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bidi w:val="0"/>
        <w:adjustRightInd/>
        <w:snapToGrid/>
        <w:spacing w:line="560" w:lineRule="exact"/>
        <w:jc w:val="center"/>
        <w:textAlignment w:val="auto"/>
        <w:outlineLvl w:val="9"/>
        <w:rPr>
          <w:rFonts w:hint="eastAsia" w:ascii="黑体" w:hAnsi="黑体" w:eastAsia="黑体" w:cs="黑体"/>
          <w:color w:val="auto"/>
          <w:sz w:val="48"/>
          <w:szCs w:val="48"/>
          <w:lang w:val="en-US" w:eastAsia="zh-CN"/>
        </w:rPr>
      </w:pPr>
      <w:bookmarkStart w:id="0" w:name="_Toc16807"/>
      <w:bookmarkStart w:id="1" w:name="_Toc5418"/>
    </w:p>
    <w:p>
      <w:pPr>
        <w:pStyle w:val="2"/>
        <w:rPr>
          <w:rFonts w:hint="eastAsia"/>
          <w:color w:val="auto"/>
          <w:lang w:val="en-US" w:eastAsia="zh-CN"/>
        </w:rPr>
      </w:pPr>
    </w:p>
    <w:p>
      <w:pPr>
        <w:pStyle w:val="2"/>
        <w:rPr>
          <w:rFonts w:hint="eastAsia"/>
          <w:color w:val="auto"/>
          <w:lang w:val="en-US" w:eastAsia="zh-CN"/>
        </w:rPr>
      </w:pPr>
    </w:p>
    <w:p>
      <w:pPr>
        <w:pageBreakBefore w:val="0"/>
        <w:kinsoku/>
        <w:wordWrap/>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sz w:val="44"/>
          <w:szCs w:val="44"/>
          <w:lang w:val="en-US" w:eastAsia="zh-CN"/>
        </w:rPr>
      </w:pPr>
      <w:bookmarkStart w:id="2" w:name="_Toc21628"/>
      <w:bookmarkStart w:id="3" w:name="_Toc22698"/>
      <w:bookmarkStart w:id="4" w:name="_Toc8010"/>
      <w:bookmarkStart w:id="5" w:name="_Toc31834"/>
      <w:bookmarkStart w:id="6" w:name="_Toc15066"/>
      <w:r>
        <w:rPr>
          <w:rFonts w:hint="eastAsia" w:ascii="方正小标宋简体" w:hAnsi="方正小标宋简体" w:eastAsia="方正小标宋简体" w:cs="方正小标宋简体"/>
          <w:color w:val="auto"/>
          <w:sz w:val="44"/>
          <w:szCs w:val="44"/>
          <w:lang w:val="en-US" w:eastAsia="zh-CN"/>
        </w:rPr>
        <w:t>伊金霍洛旗石油天然气长输管道安全事故</w:t>
      </w:r>
      <w:bookmarkEnd w:id="2"/>
      <w:bookmarkEnd w:id="3"/>
      <w:bookmarkEnd w:id="4"/>
      <w:bookmarkEnd w:id="5"/>
      <w:bookmarkEnd w:id="6"/>
    </w:p>
    <w:p>
      <w:pPr>
        <w:pageBreakBefore w:val="0"/>
        <w:kinsoku/>
        <w:wordWrap/>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sz w:val="44"/>
          <w:szCs w:val="44"/>
          <w:lang w:val="en-US" w:eastAsia="zh-CN"/>
        </w:rPr>
      </w:pPr>
      <w:bookmarkStart w:id="7" w:name="_Toc22721"/>
      <w:bookmarkStart w:id="8" w:name="_Toc9741"/>
      <w:bookmarkStart w:id="9" w:name="_Toc7448"/>
      <w:bookmarkStart w:id="10" w:name="_Toc20841"/>
      <w:bookmarkStart w:id="11" w:name="_Toc10531"/>
      <w:r>
        <w:rPr>
          <w:rFonts w:hint="eastAsia" w:ascii="方正小标宋简体" w:hAnsi="方正小标宋简体" w:eastAsia="方正小标宋简体" w:cs="方正小标宋简体"/>
          <w:color w:val="auto"/>
          <w:sz w:val="44"/>
          <w:szCs w:val="44"/>
          <w:lang w:val="en-US" w:eastAsia="zh-CN"/>
        </w:rPr>
        <w:t>应急预案</w:t>
      </w:r>
      <w:bookmarkEnd w:id="0"/>
      <w:bookmarkEnd w:id="1"/>
      <w:bookmarkEnd w:id="7"/>
      <w:bookmarkEnd w:id="8"/>
      <w:bookmarkEnd w:id="9"/>
      <w:bookmarkEnd w:id="10"/>
      <w:bookmarkEnd w:id="11"/>
    </w:p>
    <w:p>
      <w:pPr>
        <w:pageBreakBefore w:val="0"/>
        <w:kinsoku/>
        <w:wordWrap/>
        <w:overflowPunct/>
        <w:topLinePunct w:val="0"/>
        <w:autoSpaceDE/>
        <w:autoSpaceDN/>
        <w:bidi w:val="0"/>
        <w:adjustRightInd/>
        <w:snapToGrid/>
        <w:spacing w:line="560" w:lineRule="exact"/>
        <w:jc w:val="center"/>
        <w:rPr>
          <w:rFonts w:hint="eastAsia" w:ascii="黑体" w:hAnsi="黑体" w:eastAsia="黑体" w:cs="黑体"/>
          <w:color w:val="auto"/>
          <w:sz w:val="48"/>
          <w:szCs w:val="48"/>
          <w:lang w:val="en-US" w:eastAsia="zh-CN"/>
        </w:rPr>
      </w:pPr>
    </w:p>
    <w:p>
      <w:pPr>
        <w:pStyle w:val="2"/>
        <w:rPr>
          <w:rFonts w:hint="eastAsia"/>
          <w:color w:val="auto"/>
          <w:lang w:val="en-US" w:eastAsia="zh-CN"/>
        </w:rPr>
      </w:pPr>
    </w:p>
    <w:p>
      <w:pPr>
        <w:pageBreakBefore w:val="0"/>
        <w:kinsoku/>
        <w:wordWrap/>
        <w:overflowPunct/>
        <w:topLinePunct w:val="0"/>
        <w:autoSpaceDE/>
        <w:autoSpaceDN/>
        <w:bidi w:val="0"/>
        <w:adjustRightInd/>
        <w:snapToGrid/>
        <w:spacing w:line="560" w:lineRule="exact"/>
        <w:jc w:val="center"/>
        <w:rPr>
          <w:rFonts w:hint="eastAsia" w:ascii="黑体" w:hAnsi="黑体" w:eastAsia="黑体" w:cs="黑体"/>
          <w:color w:val="auto"/>
          <w:sz w:val="48"/>
          <w:szCs w:val="48"/>
          <w:lang w:val="en-US" w:eastAsia="zh-CN"/>
        </w:rPr>
      </w:pPr>
    </w:p>
    <w:p>
      <w:pPr>
        <w:pageBreakBefore w:val="0"/>
        <w:kinsoku/>
        <w:wordWrap/>
        <w:overflowPunct/>
        <w:topLinePunct w:val="0"/>
        <w:autoSpaceDE/>
        <w:autoSpaceDN/>
        <w:bidi w:val="0"/>
        <w:adjustRightInd/>
        <w:snapToGrid/>
        <w:spacing w:line="560" w:lineRule="exact"/>
        <w:jc w:val="center"/>
        <w:rPr>
          <w:rFonts w:hint="eastAsia" w:ascii="黑体" w:hAnsi="黑体" w:eastAsia="黑体" w:cs="黑体"/>
          <w:color w:val="auto"/>
          <w:sz w:val="48"/>
          <w:szCs w:val="48"/>
          <w:lang w:val="en-US" w:eastAsia="zh-CN"/>
        </w:rPr>
      </w:pPr>
    </w:p>
    <w:p>
      <w:pPr>
        <w:pageBreakBefore w:val="0"/>
        <w:kinsoku/>
        <w:wordWrap/>
        <w:overflowPunct/>
        <w:topLinePunct w:val="0"/>
        <w:autoSpaceDE/>
        <w:autoSpaceDN/>
        <w:bidi w:val="0"/>
        <w:adjustRightInd/>
        <w:snapToGrid/>
        <w:spacing w:line="560" w:lineRule="exact"/>
        <w:jc w:val="center"/>
        <w:rPr>
          <w:rFonts w:hint="eastAsia" w:ascii="黑体" w:hAnsi="黑体" w:eastAsia="黑体" w:cs="黑体"/>
          <w:color w:val="auto"/>
          <w:sz w:val="48"/>
          <w:szCs w:val="48"/>
          <w:lang w:val="en-US" w:eastAsia="zh-CN"/>
        </w:rPr>
      </w:pPr>
    </w:p>
    <w:p>
      <w:pPr>
        <w:pageBreakBefore w:val="0"/>
        <w:kinsoku/>
        <w:wordWrap/>
        <w:overflowPunct/>
        <w:topLinePunct w:val="0"/>
        <w:autoSpaceDE/>
        <w:autoSpaceDN/>
        <w:bidi w:val="0"/>
        <w:adjustRightInd/>
        <w:snapToGrid/>
        <w:spacing w:line="560" w:lineRule="exact"/>
        <w:jc w:val="center"/>
        <w:rPr>
          <w:rFonts w:hint="eastAsia" w:ascii="黑体" w:hAnsi="黑体" w:eastAsia="黑体" w:cs="黑体"/>
          <w:color w:val="auto"/>
          <w:sz w:val="48"/>
          <w:szCs w:val="48"/>
          <w:lang w:val="en-US" w:eastAsia="zh-CN"/>
        </w:rPr>
      </w:pPr>
    </w:p>
    <w:p>
      <w:pPr>
        <w:pageBreakBefore w:val="0"/>
        <w:kinsoku/>
        <w:wordWrap/>
        <w:overflowPunct/>
        <w:topLinePunct w:val="0"/>
        <w:autoSpaceDE/>
        <w:autoSpaceDN/>
        <w:bidi w:val="0"/>
        <w:adjustRightInd/>
        <w:snapToGrid/>
        <w:spacing w:line="560" w:lineRule="exact"/>
        <w:jc w:val="center"/>
        <w:rPr>
          <w:rFonts w:hint="eastAsia" w:ascii="黑体" w:hAnsi="黑体" w:eastAsia="黑体" w:cs="黑体"/>
          <w:color w:val="auto"/>
          <w:sz w:val="48"/>
          <w:szCs w:val="48"/>
          <w:lang w:val="en-US" w:eastAsia="zh-CN"/>
        </w:rPr>
      </w:pPr>
    </w:p>
    <w:p>
      <w:pPr>
        <w:pageBreakBefore w:val="0"/>
        <w:kinsoku/>
        <w:wordWrap/>
        <w:overflowPunct/>
        <w:topLinePunct w:val="0"/>
        <w:autoSpaceDE/>
        <w:autoSpaceDN/>
        <w:bidi w:val="0"/>
        <w:adjustRightInd/>
        <w:snapToGrid/>
        <w:spacing w:line="560" w:lineRule="exact"/>
        <w:jc w:val="center"/>
        <w:rPr>
          <w:rFonts w:hint="eastAsia" w:ascii="黑体" w:hAnsi="黑体" w:eastAsia="黑体" w:cs="黑体"/>
          <w:color w:val="auto"/>
          <w:sz w:val="48"/>
          <w:szCs w:val="48"/>
          <w:lang w:val="en-US" w:eastAsia="zh-CN"/>
        </w:rPr>
      </w:pPr>
    </w:p>
    <w:p>
      <w:pPr>
        <w:pageBreakBefore w:val="0"/>
        <w:kinsoku/>
        <w:wordWrap/>
        <w:overflowPunct/>
        <w:topLinePunct w:val="0"/>
        <w:autoSpaceDE/>
        <w:autoSpaceDN/>
        <w:bidi w:val="0"/>
        <w:adjustRightInd/>
        <w:snapToGrid/>
        <w:spacing w:line="560" w:lineRule="exact"/>
        <w:jc w:val="center"/>
        <w:rPr>
          <w:rFonts w:hint="eastAsia" w:ascii="黑体" w:hAnsi="黑体" w:eastAsia="黑体" w:cs="黑体"/>
          <w:color w:val="auto"/>
          <w:sz w:val="48"/>
          <w:szCs w:val="48"/>
          <w:lang w:val="en-US" w:eastAsia="zh-CN"/>
        </w:rPr>
      </w:pPr>
    </w:p>
    <w:p>
      <w:pPr>
        <w:pageBreakBefore w:val="0"/>
        <w:kinsoku/>
        <w:wordWrap/>
        <w:overflowPunct/>
        <w:topLinePunct w:val="0"/>
        <w:autoSpaceDE/>
        <w:autoSpaceDN/>
        <w:bidi w:val="0"/>
        <w:adjustRightInd/>
        <w:snapToGrid/>
        <w:spacing w:line="560" w:lineRule="exact"/>
        <w:jc w:val="center"/>
        <w:rPr>
          <w:rFonts w:hint="eastAsia" w:ascii="黑体" w:hAnsi="黑体" w:eastAsia="黑体" w:cs="黑体"/>
          <w:color w:val="auto"/>
          <w:sz w:val="48"/>
          <w:szCs w:val="48"/>
          <w:lang w:val="en-US" w:eastAsia="zh-CN"/>
        </w:rPr>
      </w:pPr>
    </w:p>
    <w:p>
      <w:pPr>
        <w:pageBreakBefore w:val="0"/>
        <w:kinsoku/>
        <w:wordWrap/>
        <w:overflowPunct/>
        <w:topLinePunct w:val="0"/>
        <w:autoSpaceDE/>
        <w:autoSpaceDN/>
        <w:bidi w:val="0"/>
        <w:adjustRightInd/>
        <w:snapToGrid/>
        <w:spacing w:line="560" w:lineRule="exact"/>
        <w:jc w:val="center"/>
        <w:rPr>
          <w:rFonts w:hint="eastAsia" w:ascii="黑体" w:hAnsi="黑体" w:eastAsia="黑体" w:cs="黑体"/>
          <w:color w:val="auto"/>
          <w:sz w:val="48"/>
          <w:szCs w:val="48"/>
          <w:lang w:val="en-US" w:eastAsia="zh-CN"/>
        </w:rPr>
      </w:pPr>
    </w:p>
    <w:p>
      <w:pPr>
        <w:pageBreakBefore w:val="0"/>
        <w:kinsoku/>
        <w:wordWrap/>
        <w:overflowPunct/>
        <w:topLinePunct w:val="0"/>
        <w:autoSpaceDE/>
        <w:autoSpaceDN/>
        <w:bidi w:val="0"/>
        <w:adjustRightInd/>
        <w:snapToGrid/>
        <w:spacing w:line="560" w:lineRule="exact"/>
        <w:jc w:val="center"/>
        <w:rPr>
          <w:rFonts w:hint="eastAsia" w:ascii="黑体" w:hAnsi="黑体" w:eastAsia="黑体" w:cs="黑体"/>
          <w:color w:val="auto"/>
          <w:sz w:val="48"/>
          <w:szCs w:val="48"/>
          <w:lang w:val="en-US" w:eastAsia="zh-CN"/>
        </w:rPr>
      </w:pPr>
    </w:p>
    <w:p>
      <w:pPr>
        <w:pageBreakBefore w:val="0"/>
        <w:kinsoku/>
        <w:wordWrap/>
        <w:overflowPunct/>
        <w:topLinePunct w:val="0"/>
        <w:autoSpaceDE/>
        <w:autoSpaceDN/>
        <w:bidi w:val="0"/>
        <w:adjustRightInd/>
        <w:snapToGrid/>
        <w:spacing w:line="560" w:lineRule="exact"/>
        <w:jc w:val="center"/>
        <w:rPr>
          <w:rFonts w:hint="eastAsia" w:ascii="黑体" w:hAnsi="黑体" w:eastAsia="黑体" w:cs="黑体"/>
          <w:color w:val="auto"/>
          <w:sz w:val="48"/>
          <w:szCs w:val="48"/>
          <w:lang w:val="en-US" w:eastAsia="zh-CN"/>
        </w:rPr>
      </w:pPr>
    </w:p>
    <w:p>
      <w:pPr>
        <w:pStyle w:val="9"/>
        <w:rPr>
          <w:rFonts w:hint="eastAsia" w:ascii="黑体" w:hAnsi="黑体" w:eastAsia="黑体" w:cs="黑体"/>
          <w:color w:val="auto"/>
          <w:sz w:val="48"/>
          <w:szCs w:val="48"/>
          <w:lang w:val="en-US" w:eastAsia="zh-CN"/>
        </w:rPr>
      </w:pPr>
    </w:p>
    <w:p>
      <w:pPr>
        <w:pStyle w:val="8"/>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color w:val="auto"/>
          <w:lang w:val="en-US" w:eastAsia="zh-CN"/>
        </w:rPr>
      </w:pPr>
      <w:r>
        <w:rPr>
          <w:rFonts w:hint="eastAsia" w:ascii="仿宋_GB2312" w:hAnsi="仿宋_GB2312" w:eastAsia="仿宋_GB2312" w:cs="仿宋_GB2312"/>
          <w:color w:val="auto"/>
          <w:kern w:val="2"/>
          <w:sz w:val="32"/>
          <w:szCs w:val="32"/>
          <w:lang w:val="en-US" w:eastAsia="zh-CN"/>
        </w:rPr>
        <w:t>伊金霍洛旗人民政府</w:t>
      </w: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2024年9月</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color w:val="auto"/>
          <w:sz w:val="32"/>
          <w:szCs w:val="32"/>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bookmarkStart w:id="12" w:name="_Toc9229"/>
    </w:p>
    <w:sdt>
      <w:sdtPr>
        <w:rPr>
          <w:rFonts w:ascii="宋体" w:hAnsi="宋体" w:eastAsia="宋体" w:cs="Times New Roman"/>
          <w:color w:val="auto"/>
          <w:kern w:val="2"/>
          <w:sz w:val="32"/>
          <w:szCs w:val="40"/>
          <w:lang w:val="en-US" w:eastAsia="zh-CN" w:bidi="ar-SA"/>
        </w:rPr>
        <w:id w:val="147464155"/>
        <w15:color w:val="DBDBDB"/>
        <w:docPartObj>
          <w:docPartGallery w:val="Table of Contents"/>
          <w:docPartUnique/>
        </w:docPartObj>
      </w:sdtPr>
      <w:sdtEndPr>
        <w:rPr>
          <w:rFonts w:hint="eastAsia" w:ascii="黑体" w:hAnsi="黑体" w:eastAsia="黑体" w:cs="黑体"/>
          <w:b/>
          <w:color w:val="auto"/>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color w:val="auto"/>
              <w:sz w:val="32"/>
              <w:szCs w:val="40"/>
            </w:rPr>
          </w:pPr>
          <w:r>
            <w:rPr>
              <w:rFonts w:ascii="宋体" w:hAnsi="宋体" w:eastAsia="宋体"/>
              <w:color w:val="auto"/>
              <w:sz w:val="32"/>
              <w:szCs w:val="40"/>
            </w:rPr>
            <w:t>目</w:t>
          </w:r>
          <w:r>
            <w:rPr>
              <w:rFonts w:hint="eastAsia" w:ascii="宋体" w:hAnsi="宋体"/>
              <w:color w:val="auto"/>
              <w:sz w:val="32"/>
              <w:szCs w:val="40"/>
              <w:lang w:val="en-US" w:eastAsia="zh-CN"/>
            </w:rPr>
            <w:t xml:space="preserve">    </w:t>
          </w:r>
          <w:r>
            <w:rPr>
              <w:rFonts w:ascii="宋体" w:hAnsi="宋体" w:eastAsia="宋体"/>
              <w:color w:val="auto"/>
              <w:sz w:val="32"/>
              <w:szCs w:val="40"/>
            </w:rPr>
            <w:t>录</w:t>
          </w:r>
        </w:p>
        <w:p>
          <w:pPr>
            <w:pStyle w:val="12"/>
            <w:tabs>
              <w:tab w:val="right" w:leader="dot" w:pos="8845"/>
            </w:tabs>
            <w:rPr>
              <w:rFonts w:hint="eastAsia" w:ascii="仿宋" w:hAnsi="仿宋" w:eastAsia="仿宋" w:cs="仿宋"/>
              <w:color w:val="auto"/>
              <w:sz w:val="28"/>
              <w:szCs w:val="36"/>
            </w:rPr>
          </w:pP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TOC \o "1-2" \h \u </w:instrText>
          </w:r>
          <w:r>
            <w:rPr>
              <w:rFonts w:hint="eastAsia" w:ascii="黑体" w:hAnsi="黑体" w:eastAsia="黑体" w:cs="黑体"/>
              <w:color w:val="auto"/>
              <w:sz w:val="32"/>
              <w:szCs w:val="32"/>
            </w:rPr>
            <w:fldChar w:fldCharType="separate"/>
          </w: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_Toc14954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44"/>
            </w:rPr>
            <w:t>1总则</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_Toc14954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- 1 -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_Toc25696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rPr>
            <w:t>1.1</w:t>
          </w:r>
          <w:r>
            <w:rPr>
              <w:rFonts w:hint="eastAsia" w:ascii="仿宋" w:hAnsi="仿宋" w:eastAsia="仿宋" w:cs="仿宋"/>
              <w:color w:val="auto"/>
              <w:sz w:val="28"/>
              <w:szCs w:val="36"/>
              <w:lang w:val="en-US" w:eastAsia="zh-CN"/>
            </w:rPr>
            <w:t>编制目的</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_Toc25696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- 1 -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_Toc7946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rPr>
            <w:t>1.</w:t>
          </w:r>
          <w:r>
            <w:rPr>
              <w:rFonts w:hint="eastAsia" w:ascii="仿宋" w:hAnsi="仿宋" w:eastAsia="仿宋" w:cs="仿宋"/>
              <w:color w:val="auto"/>
              <w:sz w:val="28"/>
              <w:szCs w:val="36"/>
              <w:lang w:val="en-US" w:eastAsia="zh-CN"/>
            </w:rPr>
            <w:t>2编制依据</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_Toc7946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- 1 -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_Toc3990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1.3适用范围</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_Toc3990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- 1 -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_Toc15814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1.4工作原则</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_Toc15814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- 2 -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_Toc20332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1.5管道安全事故分级</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_Toc20332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- 2 -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2"/>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_Toc12999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44"/>
              <w:lang w:val="en-US" w:eastAsia="zh-CN"/>
            </w:rPr>
            <w:t>2组织指挥体系</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_Toc12999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- 3 -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_Toc14591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2.1组织机构</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_Toc14591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- 3 -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_Toc27112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2.2现场指挥部</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_Toc27112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- 5 -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_Toc20267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2.3专家组</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_Toc20267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- 5 -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_Toc12124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2.4相关企业应急指挥机构</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_Toc12124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- 6 -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2"/>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_Toc14094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44"/>
              <w:lang w:val="en-US" w:eastAsia="zh-CN"/>
            </w:rPr>
            <w:t>3风险和危害分析</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_Toc14094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- 6 -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_Toc24212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3.1风险分析</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_Toc24212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- 6 -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_Toc17891 </w:instrText>
          </w:r>
          <w:r>
            <w:rPr>
              <w:rFonts w:hint="eastAsia" w:ascii="仿宋" w:hAnsi="仿宋" w:eastAsia="仿宋" w:cs="仿宋"/>
              <w:color w:val="auto"/>
              <w:sz w:val="28"/>
              <w:szCs w:val="44"/>
            </w:rPr>
            <w:fldChar w:fldCharType="separate"/>
          </w:r>
          <w:r>
            <w:rPr>
              <w:rFonts w:hint="eastAsia" w:ascii="仿宋" w:hAnsi="仿宋" w:eastAsia="仿宋" w:cs="仿宋"/>
              <w:bCs w:val="0"/>
              <w:color w:val="auto"/>
              <w:kern w:val="2"/>
              <w:sz w:val="28"/>
              <w:szCs w:val="44"/>
              <w:lang w:val="en-US" w:eastAsia="zh-CN" w:bidi="ar-SA"/>
            </w:rPr>
            <w:t>3.2危害分析</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_Toc17891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- 7 -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2"/>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_Toc26949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44"/>
              <w:lang w:val="en-US" w:eastAsia="zh-CN"/>
            </w:rPr>
            <w:t>4隐患排查和预防</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_Toc26949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- 7 -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2"/>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_Toc23133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44"/>
              <w:lang w:val="en-US" w:eastAsia="zh-CN"/>
            </w:rPr>
            <w:t>5监测与预警</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_Toc23133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- 8 -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_Toc32710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5.1监测预报</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_Toc32710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- 8 -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_Toc17961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5.2预警分级</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_Toc17961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- 8 -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_Toc11540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5.3预警发布</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_Toc11540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- 9 -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_Toc28744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5.4预警响应</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_Toc28744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- 9 -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_Toc3134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5.5预警调整与解除</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_Toc3134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- 11 -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2"/>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_Toc24406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44"/>
              <w:lang w:val="en-US" w:eastAsia="zh-CN"/>
            </w:rPr>
            <w:t>6应急处置与救援</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_Toc24406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- 11 -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_Toc10772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6.1信息报告</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_Toc10772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- 11 -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_Toc4863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6.2先期处置与公众响应</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_Toc4863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- 12 -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_Toc32060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6.3分级响应与响应分级</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_Toc32060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- 13 -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_Toc3637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6.4现场指挥</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_Toc3637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- 17 -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_Toc28715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6.5处置措施</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_Toc28715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- 19 -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_Toc16345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6.6现场处置要点</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_Toc16345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- 21 -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_Toc5001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6.7信息发布与舆论引导</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_Toc5001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- 22 -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_Toc9726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6.8应急结束</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_Toc9726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- 23 -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2"/>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_Toc10220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44"/>
              <w:lang w:val="en-US" w:eastAsia="zh-CN"/>
            </w:rPr>
            <w:t>7后期处置</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_Toc10220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- 23 -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_Toc13750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7.1善后处置</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_Toc13750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- 23 -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_Toc17800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7.2事故调查与评估</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_Toc17800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- 24 -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_Toc21614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7.3责任与奖惩</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_Toc21614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- 24 -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2"/>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_Toc28378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44"/>
              <w:lang w:val="en-US" w:eastAsia="zh-CN"/>
            </w:rPr>
            <w:t>8保障措施</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_Toc28378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- 24 -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_Toc936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8.1应急队伍保障</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_Toc936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- 24 -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_Toc11450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8.2物资装备保障</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_Toc11450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- 25 -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_Toc0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8.3资金保障</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_Toc0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- 25 -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_Toc19437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8.4医疗卫生保障</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_Toc19437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- 25 -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_Toc17237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8.5技术保障</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_Toc17237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- 25 -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2"/>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_Toc1603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44"/>
              <w:lang w:val="en-US" w:eastAsia="zh-CN"/>
            </w:rPr>
            <w:t>9附则</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_Toc1603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- 25 -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_Toc20991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9.1预案的宣传、培训和演练</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_Toc20991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- 25 -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_Toc16743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9.2预案管理与更新</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_Toc16743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- 26 -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_Toc2760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9.3预案解释</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_Toc2760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- 27 -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_Toc31114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9.4预案实施时间</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_Toc31114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- 27 -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ind w:left="0" w:leftChars="0" w:firstLine="0" w:firstLineChars="0"/>
            <w:rPr>
              <w:rFonts w:hint="eastAsia" w:ascii="仿宋" w:hAnsi="仿宋" w:eastAsia="仿宋" w:cs="仿宋"/>
              <w:color w:val="auto"/>
              <w:sz w:val="28"/>
              <w:szCs w:val="36"/>
            </w:rPr>
          </w:pP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_Toc22401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36"/>
              <w:lang w:val="en-US" w:eastAsia="zh-CN"/>
            </w:rPr>
            <w:t>附件</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_Toc22401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- 29 -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lang w:val="en-US" w:eastAsia="zh-CN"/>
            </w:rPr>
            <w:t>附件1</w:t>
          </w: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_Toc24083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56"/>
              <w:lang w:val="en-US" w:eastAsia="zh-CN"/>
            </w:rPr>
            <w:t>管道安全事故分级标准</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_Toc24083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- 29 -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lang w:val="en-US" w:eastAsia="zh-CN"/>
            </w:rPr>
            <w:t>附件2</w:t>
          </w: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_Toc6376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56"/>
              <w:lang w:val="en-US" w:eastAsia="zh-CN"/>
            </w:rPr>
            <w:t>旗指挥部成员职责</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_Toc6376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- 30 -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lang w:val="en-US" w:eastAsia="zh-CN"/>
            </w:rPr>
            <w:t>附件3</w:t>
          </w: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_Toc15648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56"/>
              <w:lang w:val="en-US" w:eastAsia="zh-CN"/>
            </w:rPr>
            <w:t>现场指挥部工作组组成及职责</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_Toc15648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- 35 -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lang w:val="en-US" w:eastAsia="zh-CN"/>
            </w:rPr>
            <w:t>附件4</w:t>
          </w: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_Toc22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56"/>
              <w:lang w:val="en-US" w:eastAsia="zh-CN"/>
            </w:rPr>
            <w:t>各部门应急值班电话</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_Toc22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- 37 -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rFonts w:hint="eastAsia" w:ascii="仿宋" w:hAnsi="仿宋" w:eastAsia="仿宋" w:cs="仿宋"/>
              <w:color w:val="auto"/>
              <w:sz w:val="28"/>
              <w:szCs w:val="36"/>
            </w:rPr>
          </w:pPr>
          <w:r>
            <w:rPr>
              <w:rFonts w:hint="eastAsia" w:ascii="仿宋" w:hAnsi="仿宋" w:eastAsia="仿宋" w:cs="仿宋"/>
              <w:color w:val="auto"/>
              <w:sz w:val="28"/>
              <w:szCs w:val="44"/>
              <w:lang w:val="en-US" w:eastAsia="zh-CN"/>
            </w:rPr>
            <w:t>附件5</w:t>
          </w: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_Toc14383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56"/>
              <w:lang w:val="en-US" w:eastAsia="zh-CN"/>
            </w:rPr>
            <w:t>旗应急队伍情况表</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_Toc14383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- 39 -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pStyle w:val="13"/>
            <w:tabs>
              <w:tab w:val="right" w:leader="dot" w:pos="8845"/>
            </w:tabs>
            <w:rPr>
              <w:color w:val="auto"/>
            </w:rPr>
          </w:pPr>
          <w:r>
            <w:rPr>
              <w:rFonts w:hint="eastAsia" w:ascii="仿宋" w:hAnsi="仿宋" w:eastAsia="仿宋" w:cs="仿宋"/>
              <w:color w:val="auto"/>
              <w:sz w:val="28"/>
              <w:szCs w:val="44"/>
              <w:lang w:val="en-US" w:eastAsia="zh-CN"/>
            </w:rPr>
            <w:t>附件6</w:t>
          </w:r>
          <w:r>
            <w:rPr>
              <w:rFonts w:hint="eastAsia" w:ascii="仿宋" w:hAnsi="仿宋" w:eastAsia="仿宋" w:cs="仿宋"/>
              <w:color w:val="auto"/>
              <w:sz w:val="28"/>
              <w:szCs w:val="44"/>
            </w:rPr>
            <w:fldChar w:fldCharType="begin"/>
          </w:r>
          <w:r>
            <w:rPr>
              <w:rFonts w:hint="eastAsia" w:ascii="仿宋" w:hAnsi="仿宋" w:eastAsia="仿宋" w:cs="仿宋"/>
              <w:color w:val="auto"/>
              <w:sz w:val="28"/>
              <w:szCs w:val="44"/>
            </w:rPr>
            <w:instrText xml:space="preserve"> HYPERLINK \l _Toc14049 </w:instrText>
          </w:r>
          <w:r>
            <w:rPr>
              <w:rFonts w:hint="eastAsia" w:ascii="仿宋" w:hAnsi="仿宋" w:eastAsia="仿宋" w:cs="仿宋"/>
              <w:color w:val="auto"/>
              <w:sz w:val="28"/>
              <w:szCs w:val="44"/>
            </w:rPr>
            <w:fldChar w:fldCharType="separate"/>
          </w:r>
          <w:r>
            <w:rPr>
              <w:rFonts w:hint="eastAsia" w:ascii="仿宋" w:hAnsi="仿宋" w:eastAsia="仿宋" w:cs="仿宋"/>
              <w:color w:val="auto"/>
              <w:sz w:val="28"/>
              <w:szCs w:val="56"/>
              <w:lang w:val="en-US" w:eastAsia="zh-CN"/>
            </w:rPr>
            <w:t>管道安全事故应急处置流程图</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PAGEREF _Toc14049 \h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- 40 -</w:t>
          </w:r>
          <w:r>
            <w:rPr>
              <w:rFonts w:hint="eastAsia" w:ascii="仿宋" w:hAnsi="仿宋" w:eastAsia="仿宋" w:cs="仿宋"/>
              <w:color w:val="auto"/>
              <w:sz w:val="28"/>
              <w:szCs w:val="36"/>
            </w:rPr>
            <w:fldChar w:fldCharType="end"/>
          </w:r>
          <w:r>
            <w:rPr>
              <w:rFonts w:hint="eastAsia" w:ascii="仿宋" w:hAnsi="仿宋" w:eastAsia="仿宋" w:cs="仿宋"/>
              <w:color w:val="auto"/>
              <w:sz w:val="28"/>
              <w:szCs w:val="44"/>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textAlignment w:val="auto"/>
            <w:outlineLvl w:val="9"/>
            <w:rPr>
              <w:rFonts w:hint="eastAsia" w:ascii="黑体" w:hAnsi="黑体" w:eastAsia="黑体" w:cs="黑体"/>
              <w:color w:val="auto"/>
              <w:sz w:val="32"/>
              <w:szCs w:val="32"/>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hint="eastAsia" w:ascii="黑体" w:hAnsi="黑体" w:eastAsia="黑体" w:cs="黑体"/>
              <w:color w:val="auto"/>
              <w:szCs w:val="32"/>
            </w:rPr>
            <w:fldChar w:fldCharType="end"/>
          </w:r>
        </w:p>
      </w:sdtContent>
    </w:sdt>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ascii="黑体" w:hAnsi="黑体" w:eastAsia="黑体" w:cs="黑体"/>
          <w:color w:val="auto"/>
          <w:sz w:val="32"/>
          <w:szCs w:val="32"/>
        </w:rPr>
      </w:pPr>
      <w:bookmarkStart w:id="13" w:name="_Toc14954"/>
      <w:r>
        <w:rPr>
          <w:rFonts w:hint="eastAsia" w:ascii="黑体" w:hAnsi="黑体" w:eastAsia="黑体" w:cs="黑体"/>
          <w:color w:val="auto"/>
          <w:sz w:val="32"/>
          <w:szCs w:val="32"/>
        </w:rPr>
        <w:t>1总则</w:t>
      </w:r>
      <w:bookmarkEnd w:id="12"/>
      <w:bookmarkEnd w:id="13"/>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楷体_GB2312" w:hAnsi="楷体_GB2312" w:eastAsia="楷体_GB2312" w:cs="楷体_GB2312"/>
          <w:color w:val="auto"/>
          <w:lang w:val="en-US" w:eastAsia="zh-CN"/>
        </w:rPr>
      </w:pPr>
      <w:bookmarkStart w:id="14" w:name="_Toc89032870"/>
      <w:bookmarkStart w:id="15" w:name="_Toc5237"/>
      <w:bookmarkStart w:id="16" w:name="_Toc6015"/>
      <w:bookmarkStart w:id="17" w:name="_Toc25696"/>
      <w:bookmarkStart w:id="18" w:name="_Toc30333"/>
      <w:bookmarkStart w:id="19" w:name="_Toc899"/>
      <w:r>
        <w:rPr>
          <w:rFonts w:hint="eastAsia" w:ascii="楷体_GB2312" w:hAnsi="楷体_GB2312" w:eastAsia="楷体_GB2312" w:cs="楷体_GB2312"/>
          <w:color w:val="auto"/>
        </w:rPr>
        <w:t>1.1</w:t>
      </w:r>
      <w:bookmarkEnd w:id="14"/>
      <w:bookmarkEnd w:id="15"/>
      <w:bookmarkEnd w:id="16"/>
      <w:r>
        <w:rPr>
          <w:rFonts w:hint="eastAsia" w:ascii="楷体_GB2312" w:hAnsi="楷体_GB2312" w:eastAsia="楷体_GB2312" w:cs="楷体_GB2312"/>
          <w:color w:val="auto"/>
          <w:lang w:val="en-US" w:eastAsia="zh-CN"/>
        </w:rPr>
        <w:t>编制目的</w:t>
      </w:r>
      <w:bookmarkEnd w:id="17"/>
      <w:bookmarkEnd w:id="18"/>
      <w:bookmarkEnd w:id="19"/>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建立健全石油、天然气长输管道（以下简称管道）安全事故</w:t>
      </w:r>
      <w:r>
        <w:rPr>
          <w:rFonts w:hint="default" w:ascii="仿宋_GB2312" w:hAnsi="仿宋_GB2312" w:eastAsia="仿宋_GB2312" w:cs="仿宋_GB2312"/>
          <w:i w:val="0"/>
          <w:iCs w:val="0"/>
          <w:caps w:val="0"/>
          <w:color w:val="auto"/>
          <w:spacing w:val="0"/>
          <w:sz w:val="32"/>
          <w:szCs w:val="32"/>
          <w:shd w:val="clear" w:fill="FFFFFF"/>
          <w:lang w:val="en-US" w:eastAsia="zh-CN"/>
        </w:rPr>
        <w:t>应急处置机制，依法、迅速、科学、有序应对管道安全事故，明确应急处置职责，规范应急处置程序，有效控制和最大程度减少因管道安全事故造成的影响和损失，切实维护国家安全、社会稳定和人民生命财产安全。</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楷体_GB2312" w:hAnsi="楷体_GB2312" w:eastAsia="楷体_GB2312" w:cs="楷体_GB2312"/>
          <w:color w:val="auto"/>
          <w:lang w:val="en-US" w:eastAsia="zh-CN"/>
        </w:rPr>
      </w:pPr>
      <w:bookmarkStart w:id="20" w:name="_Toc7946"/>
      <w:r>
        <w:rPr>
          <w:rFonts w:hint="eastAsia" w:ascii="楷体_GB2312" w:hAnsi="楷体_GB2312" w:eastAsia="楷体_GB2312" w:cs="楷体_GB2312"/>
          <w:color w:val="auto"/>
        </w:rPr>
        <w:t>1.</w:t>
      </w:r>
      <w:r>
        <w:rPr>
          <w:rFonts w:hint="eastAsia" w:ascii="楷体_GB2312" w:hAnsi="楷体_GB2312" w:eastAsia="楷体_GB2312" w:cs="楷体_GB2312"/>
          <w:color w:val="auto"/>
          <w:lang w:val="en-US" w:eastAsia="zh-CN"/>
        </w:rPr>
        <w:t>2编制依据</w:t>
      </w:r>
      <w:bookmarkEnd w:id="20"/>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依据《中华人民共和国突发事件应对法》《中华人民共和国</w:t>
      </w:r>
      <w:r>
        <w:rPr>
          <w:rFonts w:hint="default" w:ascii="仿宋_GB2312" w:hAnsi="仿宋_GB2312" w:eastAsia="仿宋_GB2312" w:cs="仿宋_GB2312"/>
          <w:i w:val="0"/>
          <w:iCs w:val="0"/>
          <w:caps w:val="0"/>
          <w:color w:val="auto"/>
          <w:spacing w:val="0"/>
          <w:sz w:val="32"/>
          <w:szCs w:val="32"/>
          <w:shd w:val="clear" w:fill="FFFFFF"/>
          <w:lang w:val="en-US" w:eastAsia="zh-CN"/>
        </w:rPr>
        <w:t>安全生产法》《中华人民共和国石油天然气管道保护法》《中华人民共和国特种设备安全法》《中华人民共和国消防法》《生产安全事故应急条例》《生产安全事故报告和调查处理条例》《生产安全事故应急预案管理办法》《内蒙古自治区突发事件预警信息发布管理办法》</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default" w:ascii="仿宋_GB2312" w:hAnsi="仿宋_GB2312" w:eastAsia="仿宋_GB2312" w:cs="仿宋_GB2312"/>
          <w:i w:val="0"/>
          <w:iCs w:val="0"/>
          <w:caps w:val="0"/>
          <w:color w:val="auto"/>
          <w:spacing w:val="0"/>
          <w:sz w:val="32"/>
          <w:szCs w:val="32"/>
          <w:shd w:val="clear" w:fill="FFFFFF"/>
          <w:lang w:val="en-US" w:eastAsia="zh-CN"/>
        </w:rPr>
        <w:t>内蒙古自治区</w:t>
      </w:r>
      <w:r>
        <w:rPr>
          <w:rFonts w:hint="eastAsia" w:ascii="仿宋_GB2312" w:hAnsi="仿宋_GB2312" w:eastAsia="仿宋_GB2312" w:cs="仿宋_GB2312"/>
          <w:i w:val="0"/>
          <w:iCs w:val="0"/>
          <w:caps w:val="0"/>
          <w:color w:val="auto"/>
          <w:spacing w:val="0"/>
          <w:sz w:val="32"/>
          <w:szCs w:val="32"/>
          <w:shd w:val="clear" w:fill="FFFFFF"/>
          <w:lang w:val="en-US" w:eastAsia="zh-CN"/>
        </w:rPr>
        <w:t>石油天然气长输管道安全事故应急预案（2023）》《鄂尔多斯市能源局石油天然气长输管道生产安全事故应急救援预案》《伊金霍洛旗突发事件总体应急预案》《伊金霍洛旗生产安全事故应急预案》等法律、法规、规章和规范性文件</w:t>
      </w:r>
      <w:r>
        <w:rPr>
          <w:rFonts w:hint="default" w:ascii="仿宋_GB2312" w:hAnsi="仿宋_GB2312" w:eastAsia="仿宋_GB2312" w:cs="仿宋_GB2312"/>
          <w:i w:val="0"/>
          <w:iCs w:val="0"/>
          <w:caps w:val="0"/>
          <w:color w:val="auto"/>
          <w:spacing w:val="0"/>
          <w:sz w:val="32"/>
          <w:szCs w:val="32"/>
          <w:shd w:val="clear" w:fill="FFFFFF"/>
          <w:lang w:val="en-US" w:eastAsia="zh-CN"/>
        </w:rPr>
        <w:t xml:space="preserve">，制定本预案。 </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楷体_GB2312" w:hAnsi="楷体_GB2312" w:eastAsia="楷体_GB2312" w:cs="楷体_GB2312"/>
          <w:color w:val="auto"/>
        </w:rPr>
      </w:pPr>
      <w:bookmarkStart w:id="21" w:name="_Toc3990"/>
      <w:r>
        <w:rPr>
          <w:rFonts w:hint="eastAsia" w:ascii="楷体_GB2312" w:hAnsi="楷体_GB2312" w:eastAsia="楷体_GB2312" w:cs="楷体_GB2312"/>
          <w:color w:val="auto"/>
          <w:lang w:val="en-US" w:eastAsia="zh-CN"/>
        </w:rPr>
        <w:t>1.3适用范围</w:t>
      </w:r>
      <w:bookmarkEnd w:id="21"/>
      <w:r>
        <w:rPr>
          <w:rFonts w:hint="eastAsia" w:ascii="楷体_GB2312" w:hAnsi="楷体_GB2312" w:eastAsia="楷体_GB2312" w:cs="楷体_GB2312"/>
          <w:color w:val="auto"/>
          <w:lang w:val="en-US" w:eastAsia="zh-CN"/>
        </w:rPr>
        <w:t xml:space="preserve"> </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本预案适用于</w:t>
      </w:r>
      <w:r>
        <w:rPr>
          <w:rFonts w:hint="eastAsia" w:ascii="仿宋_GB2312" w:hAnsi="仿宋_GB2312" w:eastAsia="仿宋_GB2312" w:cs="仿宋_GB2312"/>
          <w:i w:val="0"/>
          <w:iCs w:val="0"/>
          <w:caps w:val="0"/>
          <w:color w:val="auto"/>
          <w:spacing w:val="0"/>
          <w:sz w:val="32"/>
          <w:szCs w:val="32"/>
          <w:shd w:val="clear" w:fill="FFFFFF"/>
          <w:lang w:val="en-US" w:eastAsia="zh-CN"/>
        </w:rPr>
        <w:t>伊金霍洛旗</w:t>
      </w:r>
      <w:r>
        <w:rPr>
          <w:rFonts w:hint="default" w:ascii="仿宋_GB2312" w:hAnsi="仿宋_GB2312" w:eastAsia="仿宋_GB2312" w:cs="仿宋_GB2312"/>
          <w:i w:val="0"/>
          <w:iCs w:val="0"/>
          <w:caps w:val="0"/>
          <w:color w:val="auto"/>
          <w:spacing w:val="0"/>
          <w:sz w:val="32"/>
          <w:szCs w:val="32"/>
          <w:shd w:val="clear" w:fill="FFFFFF"/>
          <w:lang w:val="en-US" w:eastAsia="zh-CN"/>
        </w:rPr>
        <w:t xml:space="preserve">行政区域内，符合《中华人民共和国石油天然气管道保护法》规定的管道安全事故应急处置。油气田内部集输管网、城区燃气管道和炼油、化工等企业厂区内管道的安全事故应急处置不适用本预案。 </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 xml:space="preserve">本预案所称的管道安全事故，是指管道在运行、停止运行、封存、报废等过程中，发生的泄漏、火灾、爆炸等安全事故。 </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楷体_GB2312" w:hAnsi="楷体_GB2312" w:eastAsia="楷体_GB2312" w:cs="楷体_GB2312"/>
          <w:color w:val="auto"/>
          <w:lang w:val="en-US" w:eastAsia="zh-CN"/>
        </w:rPr>
      </w:pPr>
      <w:bookmarkStart w:id="22" w:name="_Toc15814"/>
      <w:r>
        <w:rPr>
          <w:rFonts w:hint="default" w:ascii="楷体_GB2312" w:hAnsi="楷体_GB2312" w:eastAsia="楷体_GB2312" w:cs="楷体_GB2312"/>
          <w:color w:val="auto"/>
          <w:lang w:val="en-US" w:eastAsia="zh-CN"/>
        </w:rPr>
        <w:t>1.4工作原则</w:t>
      </w:r>
      <w:bookmarkEnd w:id="22"/>
      <w:r>
        <w:rPr>
          <w:rFonts w:hint="default" w:ascii="楷体_GB2312" w:hAnsi="楷体_GB2312" w:eastAsia="楷体_GB2312" w:cs="楷体_GB2312"/>
          <w:color w:val="auto"/>
          <w:lang w:val="en-US" w:eastAsia="zh-CN"/>
        </w:rPr>
        <w:t xml:space="preserve"> </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 xml:space="preserve">（1）以人为本，预防为主。始终把保障人民群众的生命和健康安全放在首位，坚持预防与应急处置相结合，加强管道安全事故防范，最大限度防控事故发生和减少人员、财产损失。 </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（2）统一指挥，分级负责。在</w:t>
      </w:r>
      <w:r>
        <w:rPr>
          <w:rFonts w:hint="eastAsia" w:ascii="仿宋_GB2312" w:hAnsi="仿宋_GB2312" w:eastAsia="仿宋_GB2312" w:cs="仿宋_GB2312"/>
          <w:i w:val="0"/>
          <w:iCs w:val="0"/>
          <w:caps w:val="0"/>
          <w:color w:val="auto"/>
          <w:spacing w:val="0"/>
          <w:sz w:val="32"/>
          <w:szCs w:val="32"/>
          <w:shd w:val="clear" w:fill="FFFFFF"/>
          <w:lang w:val="en-US" w:eastAsia="zh-CN"/>
        </w:rPr>
        <w:t>旗委、旗人民</w:t>
      </w:r>
      <w:r>
        <w:rPr>
          <w:rFonts w:hint="default" w:ascii="仿宋_GB2312" w:hAnsi="仿宋_GB2312" w:eastAsia="仿宋_GB2312" w:cs="仿宋_GB2312"/>
          <w:i w:val="0"/>
          <w:iCs w:val="0"/>
          <w:caps w:val="0"/>
          <w:color w:val="auto"/>
          <w:spacing w:val="0"/>
          <w:sz w:val="32"/>
          <w:szCs w:val="32"/>
          <w:shd w:val="clear" w:fill="FFFFFF"/>
          <w:lang w:val="en-US" w:eastAsia="zh-CN"/>
        </w:rPr>
        <w:t>政府统一领导下，有关部门、专家</w:t>
      </w:r>
      <w:r>
        <w:rPr>
          <w:rFonts w:hint="eastAsia" w:ascii="仿宋_GB2312" w:hAnsi="仿宋_GB2312" w:eastAsia="仿宋_GB2312" w:cs="仿宋_GB2312"/>
          <w:i w:val="0"/>
          <w:iCs w:val="0"/>
          <w:caps w:val="0"/>
          <w:color w:val="auto"/>
          <w:spacing w:val="0"/>
          <w:sz w:val="32"/>
          <w:szCs w:val="32"/>
          <w:shd w:val="clear" w:fill="FFFFFF"/>
          <w:lang w:val="en-US" w:eastAsia="zh-CN"/>
        </w:rPr>
        <w:t>和</w:t>
      </w:r>
      <w:r>
        <w:rPr>
          <w:rFonts w:hint="default" w:ascii="仿宋_GB2312" w:hAnsi="仿宋_GB2312" w:eastAsia="仿宋_GB2312" w:cs="仿宋_GB2312"/>
          <w:i w:val="0"/>
          <w:iCs w:val="0"/>
          <w:caps w:val="0"/>
          <w:color w:val="auto"/>
          <w:spacing w:val="0"/>
          <w:sz w:val="32"/>
          <w:szCs w:val="32"/>
          <w:shd w:val="clear" w:fill="FFFFFF"/>
          <w:lang w:val="en-US" w:eastAsia="zh-CN"/>
        </w:rPr>
        <w:t>相关企事业单位各负其责，有效处置管道安全事故</w:t>
      </w:r>
      <w:r>
        <w:rPr>
          <w:rFonts w:hint="eastAsia" w:ascii="仿宋_GB2312" w:hAnsi="仿宋_GB2312" w:eastAsia="仿宋_GB2312" w:cs="仿宋_GB2312"/>
          <w:i w:val="0"/>
          <w:iCs w:val="0"/>
          <w:caps w:val="0"/>
          <w:color w:val="auto"/>
          <w:spacing w:val="0"/>
          <w:sz w:val="32"/>
          <w:szCs w:val="32"/>
          <w:shd w:val="clear" w:fill="FFFFFF"/>
          <w:lang w:val="en-US" w:eastAsia="zh-CN"/>
        </w:rPr>
        <w:t>。</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default" w:ascii="仿宋_GB2312" w:hAnsi="仿宋_GB2312" w:eastAsia="仿宋_GB2312" w:cs="仿宋_GB2312"/>
          <w:i w:val="0"/>
          <w:iCs w:val="0"/>
          <w:caps w:val="0"/>
          <w:color w:val="auto"/>
          <w:spacing w:val="0"/>
          <w:sz w:val="32"/>
          <w:szCs w:val="32"/>
          <w:highlight w:val="none"/>
          <w:shd w:val="clear" w:fill="FFFFFF"/>
          <w:lang w:val="en-US" w:eastAsia="zh-CN"/>
        </w:rPr>
        <w:t>（3）备用结合，专兼结合。</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旗</w:t>
      </w:r>
      <w:r>
        <w:rPr>
          <w:rFonts w:hint="default" w:ascii="仿宋_GB2312" w:hAnsi="仿宋_GB2312" w:eastAsia="仿宋_GB2312" w:cs="仿宋_GB2312"/>
          <w:i w:val="0"/>
          <w:iCs w:val="0"/>
          <w:caps w:val="0"/>
          <w:color w:val="auto"/>
          <w:spacing w:val="0"/>
          <w:sz w:val="32"/>
          <w:szCs w:val="32"/>
          <w:highlight w:val="none"/>
          <w:shd w:val="clear" w:fill="FFFFFF"/>
          <w:lang w:val="en-US" w:eastAsia="zh-CN"/>
        </w:rPr>
        <w:t xml:space="preserve">人民政府和相关企业统筹规划、整合资源，结合实际组建各类专业和兼职应急队伍，在做好日常安全生产工作的同时，扎实做好应对管道安全事故的准备工作。 </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 xml:space="preserve">（4）科技支撑，加强管理。依靠科技进步，充分发挥专家队伍和专业技术、专用装备作用，提高管理水平，不断提升管道安全事故应急处置能力。 </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 xml:space="preserve">（5）区域协同，联防联控。健全完善跨区域应急处置协调联动机制，强化协同应急救援能力，加强信息沟通、政策协调和资源共享，联合开展应急演练，实现管道安全事故联防联控。 </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楷体_GB2312" w:hAnsi="楷体_GB2312" w:eastAsia="楷体_GB2312" w:cs="楷体_GB2312"/>
          <w:color w:val="auto"/>
          <w:lang w:val="en-US" w:eastAsia="zh-CN"/>
        </w:rPr>
      </w:pPr>
      <w:bookmarkStart w:id="23" w:name="_Toc20332"/>
      <w:r>
        <w:rPr>
          <w:rFonts w:hint="eastAsia" w:ascii="楷体_GB2312" w:hAnsi="楷体_GB2312" w:eastAsia="楷体_GB2312" w:cs="楷体_GB2312"/>
          <w:color w:val="auto"/>
          <w:lang w:val="en-US" w:eastAsia="zh-CN"/>
        </w:rPr>
        <w:t>1.5管道安全事故分级</w:t>
      </w:r>
      <w:bookmarkEnd w:id="23"/>
      <w:r>
        <w:rPr>
          <w:rFonts w:hint="eastAsia" w:ascii="楷体_GB2312" w:hAnsi="楷体_GB2312" w:eastAsia="楷体_GB2312" w:cs="楷体_GB2312"/>
          <w:color w:val="auto"/>
          <w:lang w:val="en-US" w:eastAsia="zh-CN"/>
        </w:rPr>
        <w:t xml:space="preserve"> </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按照管道安全事故造成的人员伤亡及财产损失等严重程度，管道安全事故分为特别重大、重大、较大、一般四个等级。（分级标准见附件1）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黑体" w:hAnsi="黑体" w:eastAsia="黑体" w:cs="黑体"/>
          <w:color w:val="auto"/>
          <w:sz w:val="32"/>
          <w:szCs w:val="32"/>
          <w:lang w:val="en-US" w:eastAsia="zh-CN"/>
        </w:rPr>
      </w:pPr>
      <w:bookmarkStart w:id="24" w:name="_Toc22819"/>
      <w:bookmarkStart w:id="25" w:name="_Toc12999"/>
      <w:r>
        <w:rPr>
          <w:rFonts w:hint="eastAsia" w:ascii="黑体" w:hAnsi="黑体" w:eastAsia="黑体" w:cs="黑体"/>
          <w:color w:val="auto"/>
          <w:sz w:val="32"/>
          <w:szCs w:val="32"/>
          <w:lang w:val="en-US" w:eastAsia="zh-CN"/>
        </w:rPr>
        <w:t>2组织指挥体系</w:t>
      </w:r>
      <w:bookmarkEnd w:id="24"/>
      <w:bookmarkEnd w:id="25"/>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楷体_GB2312" w:hAnsi="楷体_GB2312" w:eastAsia="楷体_GB2312" w:cs="楷体_GB2312"/>
          <w:color w:val="auto"/>
          <w:lang w:val="en-US" w:eastAsia="zh-CN"/>
        </w:rPr>
      </w:pPr>
      <w:bookmarkStart w:id="26" w:name="_Toc23048"/>
      <w:bookmarkStart w:id="27" w:name="_Toc24051"/>
      <w:bookmarkStart w:id="28" w:name="_Toc14591"/>
      <w:r>
        <w:rPr>
          <w:rFonts w:hint="eastAsia" w:ascii="楷体_GB2312" w:hAnsi="楷体_GB2312" w:eastAsia="楷体_GB2312" w:cs="楷体_GB2312"/>
          <w:color w:val="auto"/>
          <w:lang w:val="en-US" w:eastAsia="zh-CN"/>
        </w:rPr>
        <w:t>2.1组织</w:t>
      </w:r>
      <w:bookmarkEnd w:id="26"/>
      <w:r>
        <w:rPr>
          <w:rFonts w:hint="eastAsia" w:ascii="楷体_GB2312" w:hAnsi="楷体_GB2312" w:eastAsia="楷体_GB2312" w:cs="楷体_GB2312"/>
          <w:color w:val="auto"/>
          <w:lang w:val="en-US" w:eastAsia="zh-CN"/>
        </w:rPr>
        <w:t>机构</w:t>
      </w:r>
      <w:bookmarkEnd w:id="27"/>
      <w:bookmarkEnd w:id="28"/>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在</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旗</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委</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、旗人民政府</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的统一领导下，成立</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伊金霍洛旗管道</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安全事故应急指挥部</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以下简称</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旗</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指挥部</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，统一领导全</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旗管道</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安全事故监测预警、抢险救援和应急处置工作，组织指挥</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一般管道</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安全事故应急处置，先期处置特别重大、重大</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和较大管道</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安全事故</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2.1.1旗指挥部组成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指 挥 长：旗人民政府旗长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CFCFC"/>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副指挥长：</w:t>
      </w:r>
      <w:r>
        <w:rPr>
          <w:rFonts w:hint="eastAsia" w:ascii="仿宋_GB2312" w:hAnsi="仿宋_GB2312" w:eastAsia="仿宋_GB2312" w:cs="仿宋_GB2312"/>
          <w:i w:val="0"/>
          <w:iCs w:val="0"/>
          <w:caps w:val="0"/>
          <w:color w:val="auto"/>
          <w:spacing w:val="0"/>
          <w:sz w:val="32"/>
          <w:szCs w:val="32"/>
          <w:shd w:val="clear"/>
          <w:lang w:val="en-US" w:eastAsia="zh-CN"/>
        </w:rPr>
        <w:t>旗人民政府</w:t>
      </w:r>
      <w:r>
        <w:rPr>
          <w:rFonts w:hint="eastAsia" w:ascii="仿宋_GB2312" w:hAnsi="仿宋_GB2312" w:eastAsia="仿宋_GB2312" w:cs="仿宋_GB2312"/>
          <w:i w:val="0"/>
          <w:iCs w:val="0"/>
          <w:caps w:val="0"/>
          <w:color w:val="auto"/>
          <w:spacing w:val="0"/>
          <w:sz w:val="32"/>
          <w:szCs w:val="32"/>
          <w:shd w:val="clear"/>
          <w:lang w:eastAsia="zh-CN"/>
        </w:rPr>
        <w:t>分管副</w:t>
      </w:r>
      <w:r>
        <w:rPr>
          <w:rFonts w:hint="eastAsia" w:ascii="仿宋_GB2312" w:hAnsi="仿宋_GB2312" w:eastAsia="仿宋_GB2312" w:cs="仿宋_GB2312"/>
          <w:i w:val="0"/>
          <w:iCs w:val="0"/>
          <w:caps w:val="0"/>
          <w:color w:val="auto"/>
          <w:spacing w:val="0"/>
          <w:sz w:val="32"/>
          <w:szCs w:val="32"/>
          <w:shd w:val="clear"/>
          <w:lang w:val="en-US" w:eastAsia="zh-CN"/>
        </w:rPr>
        <w:t>旗长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2240" w:firstLineChars="7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旗应急管理局</w:t>
      </w:r>
      <w:r>
        <w:rPr>
          <w:rFonts w:hint="eastAsia" w:ascii="仿宋_GB2312" w:hAnsi="仿宋_GB2312" w:eastAsia="仿宋_GB2312" w:cs="仿宋_GB2312"/>
          <w:i w:val="0"/>
          <w:iCs w:val="0"/>
          <w:caps w:val="0"/>
          <w:color w:val="auto"/>
          <w:spacing w:val="0"/>
          <w:sz w:val="32"/>
          <w:szCs w:val="32"/>
          <w:shd w:val="clear" w:fill="FFFFFF"/>
          <w:lang w:val="en-US" w:eastAsia="zh-CN"/>
        </w:rPr>
        <w:t>局长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2240" w:firstLineChars="7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旗</w:t>
      </w:r>
      <w:r>
        <w:rPr>
          <w:rFonts w:hint="eastAsia" w:ascii="仿宋_GB2312" w:hAnsi="仿宋_GB2312" w:eastAsia="仿宋_GB2312" w:cs="仿宋_GB2312"/>
          <w:i w:val="0"/>
          <w:iCs w:val="0"/>
          <w:caps w:val="0"/>
          <w:color w:val="auto"/>
          <w:spacing w:val="0"/>
          <w:sz w:val="32"/>
          <w:szCs w:val="32"/>
          <w:shd w:val="clear" w:fill="FFFFFF"/>
          <w:lang w:val="en-US" w:eastAsia="zh-CN"/>
        </w:rPr>
        <w:t>能源局局长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2240" w:firstLineChars="7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旗</w:t>
      </w:r>
      <w:r>
        <w:rPr>
          <w:rFonts w:hint="eastAsia" w:ascii="仿宋_GB2312" w:hAnsi="仿宋_GB2312" w:eastAsia="仿宋_GB2312" w:cs="仿宋_GB2312"/>
          <w:i w:val="0"/>
          <w:iCs w:val="0"/>
          <w:caps w:val="0"/>
          <w:color w:val="auto"/>
          <w:spacing w:val="0"/>
          <w:sz w:val="32"/>
          <w:szCs w:val="32"/>
          <w:shd w:val="clear" w:fill="FFFFFF"/>
          <w:lang w:val="en-US" w:eastAsia="zh-CN"/>
        </w:rPr>
        <w:t>消防救援大队大队长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成    员：旗委宣传部、旗网络安全应急指挥中心，旗发展改革和科学技术局、旗公安局、旗应急管理局、旗能源局、旗司法局、旗民政局、旗财政局、旗生态环境局、旗住房和城乡建设局、旗交通运输局、旗工业信息化和投资促进局、旗农牧和水利局、旗卫生健康委员会、旗市场监督管理局、旗人力资源和社会保障局、旗气象局、旗自然资源局、旗消防救援大队、旗林业和草原局、旗</w:t>
      </w:r>
      <w:r>
        <w:rPr>
          <w:rFonts w:hint="eastAsia" w:ascii="仿宋_GB2312" w:hAnsi="仿宋_GB2312" w:eastAsia="仿宋_GB2312" w:cs="仿宋_GB2312"/>
          <w:i w:val="0"/>
          <w:iCs w:val="0"/>
          <w:caps w:val="0"/>
          <w:color w:val="auto"/>
          <w:spacing w:val="0"/>
          <w:sz w:val="32"/>
          <w:szCs w:val="32"/>
          <w:highlight w:val="none"/>
          <w:shd w:val="clear"/>
          <w:lang w:eastAsia="zh-CN"/>
        </w:rPr>
        <w:t>红十字会、</w:t>
      </w:r>
      <w:r>
        <w:rPr>
          <w:rFonts w:hint="eastAsia" w:ascii="仿宋_GB2312" w:hAnsi="仿宋_GB2312" w:eastAsia="仿宋_GB2312" w:cs="仿宋_GB2312"/>
          <w:i w:val="0"/>
          <w:iCs w:val="0"/>
          <w:caps w:val="0"/>
          <w:color w:val="auto"/>
          <w:spacing w:val="0"/>
          <w:sz w:val="32"/>
          <w:szCs w:val="32"/>
          <w:highlight w:val="none"/>
          <w:shd w:val="clear"/>
          <w:lang w:val="en-US" w:eastAsia="zh-CN"/>
        </w:rPr>
        <w:t>伊金霍洛</w:t>
      </w:r>
      <w:r>
        <w:rPr>
          <w:rFonts w:hint="eastAsia" w:ascii="仿宋_GB2312" w:hAnsi="仿宋_GB2312" w:eastAsia="仿宋_GB2312" w:cs="仿宋_GB2312"/>
          <w:i w:val="0"/>
          <w:iCs w:val="0"/>
          <w:caps w:val="0"/>
          <w:color w:val="auto"/>
          <w:spacing w:val="0"/>
          <w:sz w:val="32"/>
          <w:szCs w:val="32"/>
          <w:highlight w:val="none"/>
          <w:shd w:val="clear"/>
          <w:lang w:eastAsia="zh-CN"/>
        </w:rPr>
        <w:t>供电</w:t>
      </w:r>
      <w:r>
        <w:rPr>
          <w:rFonts w:hint="eastAsia" w:ascii="仿宋_GB2312" w:hAnsi="仿宋_GB2312" w:eastAsia="仿宋_GB2312" w:cs="仿宋_GB2312"/>
          <w:i w:val="0"/>
          <w:iCs w:val="0"/>
          <w:caps w:val="0"/>
          <w:color w:val="auto"/>
          <w:spacing w:val="0"/>
          <w:sz w:val="32"/>
          <w:szCs w:val="32"/>
          <w:highlight w:val="none"/>
          <w:shd w:val="clear"/>
          <w:lang w:val="en-US" w:eastAsia="zh-CN"/>
        </w:rPr>
        <w:t>分公司</w:t>
      </w:r>
      <w:r>
        <w:rPr>
          <w:rFonts w:hint="eastAsia" w:ascii="仿宋_GB2312" w:hAnsi="仿宋_GB2312" w:eastAsia="仿宋_GB2312" w:cs="仿宋_GB2312"/>
          <w:i w:val="0"/>
          <w:iCs w:val="0"/>
          <w:caps w:val="0"/>
          <w:color w:val="auto"/>
          <w:spacing w:val="0"/>
          <w:sz w:val="32"/>
          <w:szCs w:val="32"/>
          <w:shd w:val="clear"/>
          <w:lang w:val="en-US"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根据工作实际需要，可增加成员单位，新增成员单位按照部门职能参与应急处置和救援工作。各成员单位应建立应急联动工作机制，明确联系人及联系方式，保证联络通畅，并加强与其他应急机构的衔接配合。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旗指挥部主要职责：</w:t>
      </w:r>
      <w:bookmarkStart w:id="29" w:name="_Hlk103265938"/>
      <w:r>
        <w:rPr>
          <w:rFonts w:hint="eastAsia" w:ascii="仿宋_GB2312" w:hAnsi="仿宋_GB2312" w:eastAsia="仿宋_GB2312" w:cs="仿宋_GB2312"/>
          <w:i w:val="0"/>
          <w:iCs w:val="0"/>
          <w:caps w:val="0"/>
          <w:color w:val="auto"/>
          <w:spacing w:val="0"/>
          <w:sz w:val="32"/>
          <w:szCs w:val="32"/>
          <w:shd w:val="clear" w:fill="FFFFFF"/>
          <w:lang w:val="en-US" w:eastAsia="zh-CN"/>
        </w:rPr>
        <w:t>负责贯彻落实国家、自治区、市、旗关于应急管理工作的决策部署，统一领导全旗管道安全事故的防范和应对工作；根据救援工作需要，成立应急工作组，指挥各应急工作组参与事故救援，指定承担管道安全事故核心区救援指挥工作的具体部门；对</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跨旗县级行政区域的</w:t>
      </w:r>
      <w:r>
        <w:rPr>
          <w:rFonts w:hint="eastAsia" w:ascii="仿宋_GB2312" w:hAnsi="仿宋_GB2312" w:eastAsia="仿宋_GB2312" w:cs="仿宋_GB2312"/>
          <w:i w:val="0"/>
          <w:iCs w:val="0"/>
          <w:caps w:val="0"/>
          <w:color w:val="auto"/>
          <w:spacing w:val="0"/>
          <w:sz w:val="32"/>
          <w:szCs w:val="32"/>
          <w:shd w:val="clear" w:fill="FFFFFF"/>
          <w:lang w:val="en-US" w:eastAsia="zh-CN"/>
        </w:rPr>
        <w:t>管道安全事故，做好与相关旗县</w:t>
      </w:r>
      <w:r>
        <w:rPr>
          <w:rFonts w:hint="default" w:ascii="仿宋_GB2312" w:hAnsi="仿宋_GB2312" w:eastAsia="仿宋_GB2312" w:cs="仿宋_GB2312"/>
          <w:i w:val="0"/>
          <w:iCs w:val="0"/>
          <w:caps w:val="0"/>
          <w:color w:val="auto"/>
          <w:spacing w:val="0"/>
          <w:sz w:val="32"/>
          <w:szCs w:val="32"/>
          <w:shd w:val="clear" w:fill="FFFFFF"/>
          <w:lang w:val="en-US" w:eastAsia="zh-CN"/>
        </w:rPr>
        <w:t>的协调工作；</w:t>
      </w:r>
      <w:r>
        <w:rPr>
          <w:rFonts w:hint="eastAsia" w:ascii="仿宋_GB2312" w:hAnsi="仿宋" w:eastAsia="仿宋_GB2312" w:cs="仿宋_GB2312"/>
          <w:i w:val="0"/>
          <w:iCs w:val="0"/>
          <w:caps w:val="0"/>
          <w:color w:val="auto"/>
          <w:spacing w:val="0"/>
          <w:sz w:val="32"/>
          <w:szCs w:val="32"/>
          <w:shd w:val="clear" w:fill="FFFFFF"/>
          <w:lang w:val="en-US" w:eastAsia="zh-CN"/>
        </w:rPr>
        <w:t>向市委、市人民政府报告事故和救援情况，必要时，请求协调支援</w:t>
      </w:r>
      <w:r>
        <w:rPr>
          <w:rFonts w:hint="eastAsia" w:ascii="仿宋_GB2312" w:hAnsi="仿宋_GB2312" w:eastAsia="仿宋_GB2312" w:cs="仿宋_GB2312"/>
          <w:i w:val="0"/>
          <w:iCs w:val="0"/>
          <w:caps w:val="0"/>
          <w:color w:val="auto"/>
          <w:spacing w:val="0"/>
          <w:sz w:val="32"/>
          <w:szCs w:val="32"/>
          <w:shd w:val="clear" w:fill="FFFFFF"/>
          <w:lang w:val="en-US" w:eastAsia="zh-CN"/>
        </w:rPr>
        <w:t>。</w:t>
      </w:r>
      <w:bookmarkEnd w:id="29"/>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2.1.2旗</w:t>
      </w:r>
      <w:r>
        <w:rPr>
          <w:rFonts w:hint="default" w:ascii="仿宋_GB2312" w:hAnsi="仿宋_GB2312" w:eastAsia="仿宋_GB2312" w:cs="仿宋_GB2312"/>
          <w:i w:val="0"/>
          <w:iCs w:val="0"/>
          <w:caps w:val="0"/>
          <w:color w:val="auto"/>
          <w:spacing w:val="0"/>
          <w:sz w:val="32"/>
          <w:szCs w:val="32"/>
          <w:shd w:val="clear" w:fill="FFFFFF"/>
          <w:lang w:val="en-US" w:eastAsia="zh-CN"/>
        </w:rPr>
        <w:t>指挥部办公室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旗指挥部办公室设在旗能源局，负责旗指挥部</w:t>
      </w:r>
      <w:r>
        <w:rPr>
          <w:rFonts w:hint="default" w:ascii="仿宋_GB2312" w:hAnsi="仿宋_GB2312" w:eastAsia="仿宋_GB2312" w:cs="仿宋_GB2312"/>
          <w:i w:val="0"/>
          <w:iCs w:val="0"/>
          <w:caps w:val="0"/>
          <w:color w:val="auto"/>
          <w:spacing w:val="0"/>
          <w:sz w:val="32"/>
          <w:szCs w:val="32"/>
          <w:shd w:val="clear" w:fill="FFFFFF"/>
          <w:lang w:val="en-US" w:eastAsia="zh-CN"/>
        </w:rPr>
        <w:t>日常工作，办公室主任由</w:t>
      </w:r>
      <w:r>
        <w:rPr>
          <w:rFonts w:hint="eastAsia" w:ascii="仿宋_GB2312" w:hAnsi="仿宋_GB2312" w:eastAsia="仿宋_GB2312" w:cs="仿宋_GB2312"/>
          <w:i w:val="0"/>
          <w:iCs w:val="0"/>
          <w:caps w:val="0"/>
          <w:color w:val="auto"/>
          <w:spacing w:val="0"/>
          <w:sz w:val="32"/>
          <w:szCs w:val="32"/>
          <w:shd w:val="clear" w:fill="FFFFFF"/>
          <w:lang w:val="en-US" w:eastAsia="zh-CN"/>
        </w:rPr>
        <w:t>旗</w:t>
      </w:r>
      <w:r>
        <w:rPr>
          <w:rFonts w:hint="default" w:ascii="仿宋_GB2312" w:hAnsi="仿宋_GB2312" w:eastAsia="仿宋_GB2312" w:cs="仿宋_GB2312"/>
          <w:i w:val="0"/>
          <w:iCs w:val="0"/>
          <w:caps w:val="0"/>
          <w:color w:val="auto"/>
          <w:spacing w:val="0"/>
          <w:sz w:val="32"/>
          <w:szCs w:val="32"/>
          <w:shd w:val="clear" w:fill="FFFFFF"/>
          <w:lang w:val="en-US" w:eastAsia="zh-CN"/>
        </w:rPr>
        <w:t>能源局局长担任。主要职责：做好管道安全事故应急值守工作，收集上报事故信息，并通报</w:t>
      </w:r>
      <w:r>
        <w:rPr>
          <w:rFonts w:hint="eastAsia" w:ascii="仿宋_GB2312" w:hAnsi="仿宋_GB2312" w:eastAsia="仿宋_GB2312" w:cs="仿宋_GB2312"/>
          <w:i w:val="0"/>
          <w:iCs w:val="0"/>
          <w:caps w:val="0"/>
          <w:color w:val="auto"/>
          <w:spacing w:val="0"/>
          <w:sz w:val="32"/>
          <w:szCs w:val="32"/>
          <w:shd w:val="clear" w:fill="FFFFFF"/>
          <w:lang w:val="en-US" w:eastAsia="zh-CN"/>
        </w:rPr>
        <w:t>旗</w:t>
      </w:r>
      <w:r>
        <w:rPr>
          <w:rFonts w:hint="default" w:ascii="仿宋_GB2312" w:hAnsi="仿宋_GB2312" w:eastAsia="仿宋_GB2312" w:cs="仿宋_GB2312"/>
          <w:i w:val="0"/>
          <w:iCs w:val="0"/>
          <w:caps w:val="0"/>
          <w:color w:val="auto"/>
          <w:spacing w:val="0"/>
          <w:sz w:val="32"/>
          <w:szCs w:val="32"/>
          <w:shd w:val="clear" w:fill="FFFFFF"/>
          <w:lang w:val="en-US" w:eastAsia="zh-CN"/>
        </w:rPr>
        <w:t>有关部门单位；贯彻落实</w:t>
      </w:r>
      <w:r>
        <w:rPr>
          <w:rFonts w:hint="eastAsia" w:ascii="仿宋_GB2312" w:hAnsi="仿宋_GB2312" w:eastAsia="仿宋_GB2312" w:cs="仿宋_GB2312"/>
          <w:i w:val="0"/>
          <w:iCs w:val="0"/>
          <w:caps w:val="0"/>
          <w:color w:val="auto"/>
          <w:spacing w:val="0"/>
          <w:sz w:val="32"/>
          <w:szCs w:val="32"/>
          <w:shd w:val="clear" w:fill="FFFFFF"/>
          <w:lang w:val="en-US" w:eastAsia="zh-CN"/>
        </w:rPr>
        <w:t>旗</w:t>
      </w:r>
      <w:r>
        <w:rPr>
          <w:rFonts w:hint="default" w:ascii="仿宋_GB2312" w:hAnsi="仿宋_GB2312" w:eastAsia="仿宋_GB2312" w:cs="仿宋_GB2312"/>
          <w:i w:val="0"/>
          <w:iCs w:val="0"/>
          <w:caps w:val="0"/>
          <w:color w:val="auto"/>
          <w:spacing w:val="0"/>
          <w:sz w:val="32"/>
          <w:szCs w:val="32"/>
          <w:shd w:val="clear" w:fill="FFFFFF"/>
          <w:lang w:val="en-US" w:eastAsia="zh-CN"/>
        </w:rPr>
        <w:t>指挥部指示和部署；承担</w:t>
      </w:r>
      <w:r>
        <w:rPr>
          <w:rFonts w:hint="eastAsia" w:ascii="仿宋_GB2312" w:hAnsi="仿宋_GB2312" w:eastAsia="仿宋_GB2312" w:cs="仿宋_GB2312"/>
          <w:i w:val="0"/>
          <w:iCs w:val="0"/>
          <w:caps w:val="0"/>
          <w:color w:val="auto"/>
          <w:spacing w:val="0"/>
          <w:sz w:val="32"/>
          <w:szCs w:val="32"/>
          <w:shd w:val="clear" w:fill="FFFFFF"/>
          <w:lang w:val="en-US" w:eastAsia="zh-CN"/>
        </w:rPr>
        <w:t>旗</w:t>
      </w:r>
      <w:r>
        <w:rPr>
          <w:rFonts w:hint="default" w:ascii="仿宋_GB2312" w:hAnsi="仿宋_GB2312" w:eastAsia="仿宋_GB2312" w:cs="仿宋_GB2312"/>
          <w:i w:val="0"/>
          <w:iCs w:val="0"/>
          <w:caps w:val="0"/>
          <w:color w:val="auto"/>
          <w:spacing w:val="0"/>
          <w:sz w:val="32"/>
          <w:szCs w:val="32"/>
          <w:shd w:val="clear" w:fill="FFFFFF"/>
          <w:lang w:val="en-US" w:eastAsia="zh-CN"/>
        </w:rPr>
        <w:t>指挥部文电、会务、资料整理归档等工作。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2.1.</w:t>
      </w:r>
      <w:r>
        <w:rPr>
          <w:rFonts w:hint="eastAsia" w:ascii="仿宋_GB2312" w:hAnsi="仿宋_GB2312" w:eastAsia="仿宋_GB2312" w:cs="仿宋_GB2312"/>
          <w:i w:val="0"/>
          <w:iCs w:val="0"/>
          <w:caps w:val="0"/>
          <w:color w:val="auto"/>
          <w:spacing w:val="0"/>
          <w:sz w:val="32"/>
          <w:szCs w:val="32"/>
          <w:shd w:val="clear" w:fill="FFFFFF"/>
          <w:lang w:val="en-US" w:eastAsia="zh-CN"/>
        </w:rPr>
        <w:t>3镇人民政府、开发区（园区）管委会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color w:val="auto"/>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各镇人民政府、各开发区（园区）管委会应当履行石油天然气管道保护的属地管理责任，明确负责管道安全应急管理的有关工作机构及其职责，协助旗人民政府及有关部门或按照授权依法履行生产安全应急管理职责。</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楷体_GB2312" w:hAnsi="楷体_GB2312" w:eastAsia="楷体_GB2312" w:cs="楷体_GB2312"/>
          <w:color w:val="auto"/>
          <w:lang w:val="en-US" w:eastAsia="zh-CN"/>
        </w:rPr>
      </w:pPr>
      <w:bookmarkStart w:id="30" w:name="_Toc21389"/>
      <w:bookmarkStart w:id="31" w:name="_Toc27112"/>
      <w:bookmarkStart w:id="32" w:name="_Toc3133"/>
      <w:r>
        <w:rPr>
          <w:rFonts w:hint="default" w:ascii="楷体_GB2312" w:hAnsi="楷体_GB2312" w:eastAsia="楷体_GB2312" w:cs="楷体_GB2312"/>
          <w:color w:val="auto"/>
          <w:lang w:val="en-US" w:eastAsia="zh-CN"/>
        </w:rPr>
        <w:t>2.</w:t>
      </w:r>
      <w:r>
        <w:rPr>
          <w:rFonts w:hint="eastAsia" w:ascii="楷体_GB2312" w:hAnsi="楷体_GB2312" w:eastAsia="楷体_GB2312" w:cs="楷体_GB2312"/>
          <w:color w:val="auto"/>
          <w:lang w:val="en-US" w:eastAsia="zh-CN"/>
        </w:rPr>
        <w:t>2</w:t>
      </w:r>
      <w:r>
        <w:rPr>
          <w:rFonts w:hint="default" w:ascii="楷体_GB2312" w:hAnsi="楷体_GB2312" w:eastAsia="楷体_GB2312" w:cs="楷体_GB2312"/>
          <w:color w:val="auto"/>
          <w:lang w:val="en-US" w:eastAsia="zh-CN"/>
        </w:rPr>
        <w:t>现场指挥部</w:t>
      </w:r>
      <w:bookmarkEnd w:id="30"/>
      <w:bookmarkEnd w:id="31"/>
      <w:bookmarkEnd w:id="32"/>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旗</w:t>
      </w:r>
      <w:r>
        <w:rPr>
          <w:rFonts w:hint="default" w:ascii="仿宋_GB2312" w:hAnsi="仿宋_GB2312" w:eastAsia="仿宋_GB2312" w:cs="仿宋_GB2312"/>
          <w:i w:val="0"/>
          <w:iCs w:val="0"/>
          <w:caps w:val="0"/>
          <w:color w:val="auto"/>
          <w:spacing w:val="0"/>
          <w:sz w:val="32"/>
          <w:szCs w:val="32"/>
          <w:shd w:val="clear" w:fill="FFFFFF"/>
          <w:lang w:val="en-US" w:eastAsia="zh-CN"/>
        </w:rPr>
        <w:t>指挥部视情设立现场指挥部，由</w:t>
      </w:r>
      <w:r>
        <w:rPr>
          <w:rFonts w:hint="eastAsia" w:ascii="仿宋_GB2312" w:hAnsi="仿宋_GB2312" w:eastAsia="仿宋_GB2312" w:cs="仿宋_GB2312"/>
          <w:i w:val="0"/>
          <w:iCs w:val="0"/>
          <w:caps w:val="0"/>
          <w:color w:val="auto"/>
          <w:spacing w:val="0"/>
          <w:sz w:val="32"/>
          <w:szCs w:val="32"/>
          <w:shd w:val="clear" w:fill="FFFFFF"/>
          <w:lang w:val="en-US" w:eastAsia="zh-CN"/>
        </w:rPr>
        <w:t>旗</w:t>
      </w:r>
      <w:r>
        <w:rPr>
          <w:rFonts w:hint="default" w:ascii="仿宋_GB2312" w:hAnsi="仿宋_GB2312" w:eastAsia="仿宋_GB2312" w:cs="仿宋_GB2312"/>
          <w:i w:val="0"/>
          <w:iCs w:val="0"/>
          <w:caps w:val="0"/>
          <w:color w:val="auto"/>
          <w:spacing w:val="0"/>
          <w:sz w:val="32"/>
          <w:szCs w:val="32"/>
          <w:shd w:val="clear" w:fill="FFFFFF"/>
          <w:lang w:val="en-US" w:eastAsia="zh-CN"/>
        </w:rPr>
        <w:t>指挥部</w:t>
      </w:r>
      <w:r>
        <w:rPr>
          <w:rFonts w:hint="eastAsia" w:ascii="仿宋_GB2312" w:hAnsi="仿宋_GB2312" w:eastAsia="仿宋_GB2312" w:cs="仿宋_GB2312"/>
          <w:i w:val="0"/>
          <w:iCs w:val="0"/>
          <w:caps w:val="0"/>
          <w:color w:val="auto"/>
          <w:spacing w:val="0"/>
          <w:sz w:val="32"/>
          <w:szCs w:val="32"/>
          <w:shd w:val="clear" w:fill="FFFFFF"/>
          <w:lang w:val="en-US" w:eastAsia="zh-CN"/>
        </w:rPr>
        <w:t>指挥长</w:t>
      </w:r>
      <w:r>
        <w:rPr>
          <w:rFonts w:hint="default" w:ascii="仿宋_GB2312" w:hAnsi="仿宋_GB2312" w:eastAsia="仿宋_GB2312" w:cs="仿宋_GB2312"/>
          <w:i w:val="0"/>
          <w:iCs w:val="0"/>
          <w:caps w:val="0"/>
          <w:color w:val="auto"/>
          <w:spacing w:val="0"/>
          <w:sz w:val="32"/>
          <w:szCs w:val="32"/>
          <w:shd w:val="clear" w:fill="FFFFFF"/>
          <w:lang w:val="en-US" w:eastAsia="zh-CN"/>
        </w:rPr>
        <w:t>指定现场指挥长，各应急工作组组长为成员。现场指挥机构全权负责事故的应急救援工作，主要承担制定和组织实施</w:t>
      </w:r>
      <w:r>
        <w:rPr>
          <w:rFonts w:hint="eastAsia" w:ascii="仿宋_GB2312" w:hAnsi="仿宋_GB2312" w:eastAsia="仿宋_GB2312" w:cs="仿宋_GB2312"/>
          <w:i w:val="0"/>
          <w:iCs w:val="0"/>
          <w:caps w:val="0"/>
          <w:color w:val="auto"/>
          <w:spacing w:val="0"/>
          <w:sz w:val="32"/>
          <w:szCs w:val="32"/>
          <w:shd w:val="clear" w:fill="FFFFFF"/>
          <w:lang w:val="en-US" w:eastAsia="zh-CN"/>
        </w:rPr>
        <w:t>管道安全</w:t>
      </w:r>
      <w:r>
        <w:rPr>
          <w:rFonts w:hint="default" w:ascii="仿宋_GB2312" w:hAnsi="仿宋_GB2312" w:eastAsia="仿宋_GB2312" w:cs="仿宋_GB2312"/>
          <w:i w:val="0"/>
          <w:iCs w:val="0"/>
          <w:caps w:val="0"/>
          <w:color w:val="auto"/>
          <w:spacing w:val="0"/>
          <w:sz w:val="32"/>
          <w:szCs w:val="32"/>
          <w:shd w:val="clear" w:fill="FFFFFF"/>
          <w:lang w:val="en-US" w:eastAsia="zh-CN"/>
        </w:rPr>
        <w:t>事故应急救援方案，指挥协调应急救援力量开展应急救援，及时收集、汇总并向</w:t>
      </w:r>
      <w:r>
        <w:rPr>
          <w:rFonts w:hint="eastAsia" w:ascii="仿宋_GB2312" w:hAnsi="仿宋_GB2312" w:eastAsia="仿宋_GB2312" w:cs="仿宋_GB2312"/>
          <w:i w:val="0"/>
          <w:iCs w:val="0"/>
          <w:caps w:val="0"/>
          <w:color w:val="auto"/>
          <w:spacing w:val="0"/>
          <w:sz w:val="32"/>
          <w:szCs w:val="32"/>
          <w:shd w:val="clear" w:fill="FFFFFF"/>
          <w:lang w:val="en-US" w:eastAsia="zh-CN"/>
        </w:rPr>
        <w:t>旗</w:t>
      </w:r>
      <w:r>
        <w:rPr>
          <w:rFonts w:hint="default" w:ascii="仿宋_GB2312" w:hAnsi="仿宋_GB2312" w:eastAsia="仿宋_GB2312" w:cs="仿宋_GB2312"/>
          <w:i w:val="0"/>
          <w:iCs w:val="0"/>
          <w:caps w:val="0"/>
          <w:color w:val="auto"/>
          <w:spacing w:val="0"/>
          <w:sz w:val="32"/>
          <w:szCs w:val="32"/>
          <w:shd w:val="clear" w:fill="FFFFFF"/>
          <w:lang w:val="en-US" w:eastAsia="zh-CN"/>
        </w:rPr>
        <w:t>指挥部报告事故发展态势及救援情况，落实</w:t>
      </w:r>
      <w:r>
        <w:rPr>
          <w:rFonts w:hint="eastAsia" w:ascii="仿宋_GB2312" w:hAnsi="仿宋_GB2312" w:eastAsia="仿宋_GB2312" w:cs="仿宋_GB2312"/>
          <w:i w:val="0"/>
          <w:iCs w:val="0"/>
          <w:caps w:val="0"/>
          <w:color w:val="auto"/>
          <w:spacing w:val="0"/>
          <w:sz w:val="32"/>
          <w:szCs w:val="32"/>
          <w:shd w:val="clear" w:fill="FFFFFF"/>
          <w:lang w:val="en-US" w:eastAsia="zh-CN"/>
        </w:rPr>
        <w:t>旗</w:t>
      </w:r>
      <w:r>
        <w:rPr>
          <w:rFonts w:hint="default" w:ascii="仿宋_GB2312" w:hAnsi="仿宋_GB2312" w:eastAsia="仿宋_GB2312" w:cs="仿宋_GB2312"/>
          <w:i w:val="0"/>
          <w:iCs w:val="0"/>
          <w:caps w:val="0"/>
          <w:color w:val="auto"/>
          <w:spacing w:val="0"/>
          <w:sz w:val="32"/>
          <w:szCs w:val="32"/>
          <w:shd w:val="clear" w:fill="FFFFFF"/>
          <w:lang w:val="en-US" w:eastAsia="zh-CN"/>
        </w:rPr>
        <w:t>指挥部交办的其他事项。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旗</w:t>
      </w:r>
      <w:r>
        <w:rPr>
          <w:rFonts w:hint="default" w:ascii="仿宋_GB2312" w:hAnsi="仿宋_GB2312" w:eastAsia="仿宋_GB2312" w:cs="仿宋_GB2312"/>
          <w:i w:val="0"/>
          <w:iCs w:val="0"/>
          <w:caps w:val="0"/>
          <w:color w:val="auto"/>
          <w:spacing w:val="0"/>
          <w:sz w:val="32"/>
          <w:szCs w:val="32"/>
          <w:shd w:val="clear" w:fill="FFFFFF"/>
          <w:lang w:val="en-US" w:eastAsia="zh-CN"/>
        </w:rPr>
        <w:t>指挥部、现场指挥部可根据需要设立</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抢险救援组、</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医疗救治组、治安警戒组、转移安置</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组、</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新闻报道</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组、</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调查处理</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组等</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个工作组</w:t>
      </w:r>
      <w:r>
        <w:rPr>
          <w:rFonts w:hint="default" w:ascii="仿宋_GB2312" w:hAnsi="仿宋_GB2312" w:eastAsia="仿宋_GB2312" w:cs="仿宋_GB2312"/>
          <w:i w:val="0"/>
          <w:iCs w:val="0"/>
          <w:caps w:val="0"/>
          <w:color w:val="auto"/>
          <w:spacing w:val="0"/>
          <w:sz w:val="32"/>
          <w:szCs w:val="32"/>
          <w:shd w:val="clear" w:fill="FFFFFF"/>
          <w:lang w:val="en-US" w:eastAsia="zh-CN"/>
        </w:rPr>
        <w:t>。根据事故情况及救援需要，指挥长可视情调整工作组、组成单位及职责，调集其他有关部门和单位参加事故处置工作</w:t>
      </w:r>
      <w:r>
        <w:rPr>
          <w:rFonts w:hint="eastAsia" w:ascii="仿宋_GB2312" w:hAnsi="仿宋_GB2312" w:eastAsia="仿宋_GB2312" w:cs="仿宋_GB2312"/>
          <w:i w:val="0"/>
          <w:iCs w:val="0"/>
          <w:caps w:val="0"/>
          <w:color w:val="auto"/>
          <w:spacing w:val="0"/>
          <w:sz w:val="32"/>
          <w:szCs w:val="32"/>
          <w:shd w:val="clear" w:fill="FFFFFF"/>
          <w:lang w:val="en-US" w:eastAsia="zh-CN"/>
        </w:rPr>
        <w:t>。</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楷体_GB2312" w:hAnsi="楷体_GB2312" w:eastAsia="楷体_GB2312" w:cs="楷体_GB2312"/>
          <w:color w:val="auto"/>
          <w:lang w:val="en-US" w:eastAsia="zh-CN"/>
        </w:rPr>
      </w:pPr>
      <w:bookmarkStart w:id="33" w:name="_Toc20267"/>
      <w:r>
        <w:rPr>
          <w:rFonts w:hint="default" w:ascii="楷体_GB2312" w:hAnsi="楷体_GB2312" w:eastAsia="楷体_GB2312" w:cs="楷体_GB2312"/>
          <w:color w:val="auto"/>
          <w:lang w:val="en-US" w:eastAsia="zh-CN"/>
        </w:rPr>
        <w:t>2.</w:t>
      </w:r>
      <w:r>
        <w:rPr>
          <w:rFonts w:hint="eastAsia" w:ascii="楷体_GB2312" w:hAnsi="楷体_GB2312" w:eastAsia="楷体_GB2312" w:cs="楷体_GB2312"/>
          <w:color w:val="auto"/>
          <w:lang w:val="en-US" w:eastAsia="zh-CN"/>
        </w:rPr>
        <w:t>3</w:t>
      </w:r>
      <w:r>
        <w:rPr>
          <w:rFonts w:hint="default" w:ascii="楷体_GB2312" w:hAnsi="楷体_GB2312" w:eastAsia="楷体_GB2312" w:cs="楷体_GB2312"/>
          <w:color w:val="auto"/>
          <w:lang w:val="en-US" w:eastAsia="zh-CN"/>
        </w:rPr>
        <w:t>专家组</w:t>
      </w:r>
      <w:bookmarkEnd w:id="33"/>
      <w:r>
        <w:rPr>
          <w:rFonts w:hint="default" w:ascii="楷体_GB2312" w:hAnsi="楷体_GB2312" w:eastAsia="楷体_GB2312" w:cs="楷体_GB2312"/>
          <w:color w:val="auto"/>
          <w:lang w:val="en-US" w:eastAsia="zh-CN"/>
        </w:rPr>
        <w:t xml:space="preserve">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旗指挥部专家组由相关领域的技术和管理专家组成，旗</w:t>
      </w:r>
      <w:r>
        <w:rPr>
          <w:rFonts w:hint="default" w:ascii="仿宋_GB2312" w:hAnsi="仿宋_GB2312" w:eastAsia="仿宋_GB2312" w:cs="仿宋_GB2312"/>
          <w:i w:val="0"/>
          <w:iCs w:val="0"/>
          <w:caps w:val="0"/>
          <w:color w:val="auto"/>
          <w:spacing w:val="0"/>
          <w:sz w:val="32"/>
          <w:szCs w:val="32"/>
          <w:shd w:val="clear" w:fill="FFFFFF"/>
          <w:lang w:val="en-US" w:eastAsia="zh-CN"/>
        </w:rPr>
        <w:t>指挥部办公室牵头负责组建和管理。主要职责：协助现场指挥部分析研判事故原因、发展趋势和危害程度</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default" w:ascii="仿宋_GB2312" w:hAnsi="仿宋_GB2312" w:eastAsia="仿宋_GB2312" w:cs="仿宋_GB2312"/>
          <w:i w:val="0"/>
          <w:iCs w:val="0"/>
          <w:caps w:val="0"/>
          <w:color w:val="auto"/>
          <w:spacing w:val="0"/>
          <w:sz w:val="32"/>
          <w:szCs w:val="32"/>
          <w:shd w:val="clear" w:fill="FFFFFF"/>
          <w:lang w:val="en-US" w:eastAsia="zh-CN"/>
        </w:rPr>
        <w:t xml:space="preserve"> 提出应急处置措施和方案的建议，为现场指挥部决策提供技术支持。 </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楷体_GB2312" w:hAnsi="楷体_GB2312" w:eastAsia="楷体_GB2312" w:cs="楷体_GB2312"/>
          <w:color w:val="auto"/>
          <w:lang w:val="en-US" w:eastAsia="zh-CN"/>
        </w:rPr>
      </w:pPr>
      <w:bookmarkStart w:id="34" w:name="_Toc12124"/>
      <w:r>
        <w:rPr>
          <w:rFonts w:hint="eastAsia" w:ascii="楷体_GB2312" w:hAnsi="楷体_GB2312" w:eastAsia="楷体_GB2312" w:cs="楷体_GB2312"/>
          <w:color w:val="auto"/>
          <w:lang w:val="en-US" w:eastAsia="zh-CN"/>
        </w:rPr>
        <w:t>2.4相关企业应急指挥机构</w:t>
      </w:r>
      <w:bookmarkEnd w:id="34"/>
      <w:r>
        <w:rPr>
          <w:rFonts w:hint="eastAsia" w:ascii="楷体_GB2312" w:hAnsi="楷体_GB2312" w:eastAsia="楷体_GB2312" w:cs="楷体_GB2312"/>
          <w:color w:val="auto"/>
          <w:lang w:val="en-US" w:eastAsia="zh-CN"/>
        </w:rPr>
        <w:t xml:space="preserve">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相关管道企业应当成立应急指挥机构，作为管道安全事故的第一响应人，切实做好各项应对工作。主要职责：编制企业安全事故应急预案；建立企业专（兼）职应急队伍，定期开展应急演练；做好风险评估和隐患排查治理工作，及时消除安全隐患；做好信息报告和先期处置等工作；配合各级人民政府应急指挥机构</w:t>
      </w:r>
      <w:r>
        <w:rPr>
          <w:rFonts w:hint="eastAsia" w:ascii="仿宋_GB2312" w:hAnsi="仿宋_GB2312" w:eastAsia="仿宋_GB2312" w:cs="仿宋_GB2312"/>
          <w:i w:val="0"/>
          <w:iCs w:val="0"/>
          <w:caps w:val="0"/>
          <w:color w:val="auto"/>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color w:val="auto"/>
          <w:sz w:val="32"/>
          <w:szCs w:val="32"/>
          <w:lang w:val="en-US" w:eastAsia="zh-CN"/>
        </w:rPr>
      </w:pPr>
      <w:bookmarkStart w:id="35" w:name="_Toc14094"/>
      <w:r>
        <w:rPr>
          <w:rFonts w:hint="eastAsia" w:ascii="黑体" w:hAnsi="黑体" w:eastAsia="黑体" w:cs="黑体"/>
          <w:color w:val="auto"/>
          <w:sz w:val="32"/>
          <w:szCs w:val="32"/>
          <w:lang w:val="en-US" w:eastAsia="zh-CN"/>
        </w:rPr>
        <w:t>3风险和危害分析</w:t>
      </w:r>
      <w:bookmarkEnd w:id="35"/>
      <w:r>
        <w:rPr>
          <w:rFonts w:hint="eastAsia" w:ascii="黑体" w:hAnsi="黑体" w:eastAsia="黑体" w:cs="黑体"/>
          <w:color w:val="auto"/>
          <w:sz w:val="32"/>
          <w:szCs w:val="32"/>
          <w:lang w:val="en-US" w:eastAsia="zh-CN"/>
        </w:rPr>
        <w:t xml:space="preserve"> </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楷体_GB2312" w:hAnsi="楷体_GB2312" w:eastAsia="楷体_GB2312" w:cs="楷体_GB2312"/>
          <w:color w:val="auto"/>
          <w:lang w:val="en-US" w:eastAsia="zh-CN"/>
        </w:rPr>
      </w:pPr>
      <w:bookmarkStart w:id="36" w:name="_Toc24212"/>
      <w:r>
        <w:rPr>
          <w:rFonts w:hint="eastAsia" w:ascii="楷体_GB2312" w:hAnsi="楷体_GB2312" w:eastAsia="楷体_GB2312" w:cs="楷体_GB2312"/>
          <w:color w:val="auto"/>
          <w:lang w:val="en-US" w:eastAsia="zh-CN"/>
        </w:rPr>
        <w:t>3.1风险分析</w:t>
      </w:r>
      <w:bookmarkEnd w:id="36"/>
      <w:r>
        <w:rPr>
          <w:rFonts w:hint="eastAsia" w:ascii="楷体_GB2312" w:hAnsi="楷体_GB2312" w:eastAsia="楷体_GB2312" w:cs="楷体_GB2312"/>
          <w:color w:val="auto"/>
          <w:lang w:val="en-US" w:eastAsia="zh-CN"/>
        </w:rPr>
        <w:t xml:space="preserve">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伊金霍洛旗境内共有4家天然气长输管道企业，建成天然气长输管道6条（5条管道为跨伊旗的天然气管道，1条为伊旗境内天然气长输管道），总长度约303.7公里，共有增压站1座、分输站4座、截断阀室10座，年设计输气344.5亿立方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 xml:space="preserve">石油、天然气属危险化学品，管道输送的石油、天然气具有高压、易燃、易爆等特点。管道安全事故主要包括：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 xml:space="preserve">（1）管道运行安全事故。因设备设施故障、管道腐蚀或操作失误等原因造成的管道发生大量油气泄漏、着火、爆炸事故。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 xml:space="preserve">（2）管道破坏。因打孔盗油、第三方施工、蓄意破坏管道设施，造成重大财产损失和人员伤亡事故。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 xml:space="preserve">（3）自然灾害引发事故。因洪水、泥石流、山体滑坡、地震等自然灾害引发的管道断裂、油气大量泄漏，造成重大环境污染、人员伤亡、财产损失事故。 </w:t>
      </w:r>
    </w:p>
    <w:p>
      <w:pPr>
        <w:keepNext w:val="0"/>
        <w:keepLines w:val="0"/>
        <w:widowControl/>
        <w:suppressLineNumbers w:val="0"/>
        <w:ind w:firstLine="640" w:firstLineChars="200"/>
        <w:jc w:val="left"/>
        <w:outlineLvl w:val="1"/>
        <w:rPr>
          <w:rFonts w:hint="eastAsia" w:ascii="楷体_GB2312" w:hAnsi="楷体_GB2312" w:eastAsia="楷体_GB2312" w:cs="楷体_GB2312"/>
          <w:bCs w:val="0"/>
          <w:color w:val="auto"/>
          <w:kern w:val="2"/>
          <w:sz w:val="32"/>
          <w:szCs w:val="32"/>
          <w:lang w:val="en-US" w:eastAsia="zh-CN" w:bidi="ar-SA"/>
        </w:rPr>
      </w:pPr>
      <w:bookmarkStart w:id="37" w:name="_Toc17891"/>
      <w:r>
        <w:rPr>
          <w:rFonts w:hint="eastAsia" w:ascii="楷体_GB2312" w:hAnsi="楷体_GB2312" w:eastAsia="楷体_GB2312" w:cs="楷体_GB2312"/>
          <w:bCs w:val="0"/>
          <w:color w:val="auto"/>
          <w:kern w:val="2"/>
          <w:sz w:val="32"/>
          <w:szCs w:val="32"/>
          <w:lang w:val="en-US" w:eastAsia="zh-CN" w:bidi="ar-SA"/>
        </w:rPr>
        <w:t>3.2危害分析</w:t>
      </w:r>
      <w:bookmarkEnd w:id="37"/>
      <w:r>
        <w:rPr>
          <w:rFonts w:hint="eastAsia" w:ascii="楷体_GB2312" w:hAnsi="楷体_GB2312" w:eastAsia="楷体_GB2312" w:cs="楷体_GB2312"/>
          <w:bCs w:val="0"/>
          <w:color w:val="auto"/>
          <w:kern w:val="2"/>
          <w:sz w:val="32"/>
          <w:szCs w:val="32"/>
          <w:lang w:val="en-US" w:eastAsia="zh-CN" w:bidi="ar-SA"/>
        </w:rPr>
        <w:t xml:space="preserve">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 xml:space="preserve">管道若发生泄漏、火灾或者爆炸等安全事故，除可能导致人员伤亡和经济损失外，还可能影响部分区域正常生产生活秩序及对重要基础设施造成破坏。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（1）造成人员伤亡和直接经济损失，以及上游油气田和下游工矿企业停工减产</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default" w:ascii="仿宋_GB2312" w:hAnsi="仿宋_GB2312" w:eastAsia="仿宋_GB2312" w:cs="仿宋_GB2312"/>
          <w:i w:val="0"/>
          <w:iCs w:val="0"/>
          <w:caps w:val="0"/>
          <w:color w:val="auto"/>
          <w:spacing w:val="0"/>
          <w:sz w:val="32"/>
          <w:szCs w:val="32"/>
          <w:shd w:val="clear" w:fill="FFFFFF"/>
          <w:lang w:val="en-US" w:eastAsia="zh-CN"/>
        </w:rPr>
        <w:t xml:space="preserve">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（2）导致下游工商用户、公共福利机构、交通运输及居民生活油气供应中断</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default" w:ascii="仿宋_GB2312" w:hAnsi="仿宋_GB2312" w:eastAsia="仿宋_GB2312" w:cs="仿宋_GB2312"/>
          <w:i w:val="0"/>
          <w:iCs w:val="0"/>
          <w:caps w:val="0"/>
          <w:color w:val="auto"/>
          <w:spacing w:val="0"/>
          <w:sz w:val="32"/>
          <w:szCs w:val="32"/>
          <w:shd w:val="clear" w:fill="FFFFFF"/>
          <w:lang w:val="en-US" w:eastAsia="zh-CN"/>
        </w:rPr>
        <w:t xml:space="preserve">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（3）导致区域性水、电、气供应中断或交通、通讯瘫痪等事故，引发群众恐慌，影响社会稳定</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default" w:ascii="仿宋_GB2312" w:hAnsi="仿宋_GB2312" w:eastAsia="仿宋_GB2312" w:cs="仿宋_GB2312"/>
          <w:i w:val="0"/>
          <w:iCs w:val="0"/>
          <w:caps w:val="0"/>
          <w:color w:val="auto"/>
          <w:spacing w:val="0"/>
          <w:sz w:val="32"/>
          <w:szCs w:val="32"/>
          <w:shd w:val="clear" w:fill="FFFFFF"/>
          <w:lang w:val="en-US" w:eastAsia="zh-CN"/>
        </w:rPr>
        <w:t xml:space="preserve">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（4）造成环境污染，给公共卫生和环境保护带来较长时间的负面影响。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color w:val="auto"/>
          <w:sz w:val="32"/>
          <w:szCs w:val="32"/>
          <w:lang w:val="en-US" w:eastAsia="zh-CN"/>
        </w:rPr>
      </w:pPr>
      <w:bookmarkStart w:id="38" w:name="_Toc26949"/>
      <w:r>
        <w:rPr>
          <w:rFonts w:hint="eastAsia" w:ascii="黑体" w:hAnsi="黑体" w:eastAsia="黑体" w:cs="黑体"/>
          <w:color w:val="auto"/>
          <w:sz w:val="32"/>
          <w:szCs w:val="32"/>
          <w:lang w:val="en-US" w:eastAsia="zh-CN"/>
        </w:rPr>
        <w:t>4隐患排查和预防</w:t>
      </w:r>
      <w:bookmarkEnd w:id="38"/>
      <w:r>
        <w:rPr>
          <w:rFonts w:hint="eastAsia" w:ascii="黑体" w:hAnsi="黑体" w:eastAsia="黑体" w:cs="黑体"/>
          <w:color w:val="auto"/>
          <w:sz w:val="32"/>
          <w:szCs w:val="32"/>
          <w:lang w:val="en-US" w:eastAsia="zh-CN"/>
        </w:rPr>
        <w:t xml:space="preserve">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管道企业应当认真落实安全生产主体责任，建立健全管道巡护制度，定期对管道进行检测、维修，确保处于良好运行状态；对管道存在的外部安全隐患，企业自身难以排除的，应当及时向旗</w:t>
      </w:r>
      <w:r>
        <w:rPr>
          <w:rFonts w:hint="eastAsia" w:ascii="仿宋_GB2312" w:hAnsi="仿宋_GB2312" w:eastAsia="仿宋_GB2312" w:cs="仿宋_GB2312"/>
          <w:i w:val="0"/>
          <w:iCs w:val="0"/>
          <w:caps w:val="0"/>
          <w:color w:val="auto"/>
          <w:spacing w:val="0"/>
          <w:sz w:val="32"/>
          <w:szCs w:val="32"/>
          <w:shd w:val="clear" w:fill="FFFFFF"/>
          <w:lang w:val="en-US" w:eastAsia="zh-CN"/>
        </w:rPr>
        <w:t>能源局</w:t>
      </w:r>
      <w:r>
        <w:rPr>
          <w:rFonts w:hint="default" w:ascii="仿宋_GB2312" w:hAnsi="仿宋_GB2312" w:eastAsia="仿宋_GB2312" w:cs="仿宋_GB2312"/>
          <w:i w:val="0"/>
          <w:iCs w:val="0"/>
          <w:caps w:val="0"/>
          <w:color w:val="auto"/>
          <w:spacing w:val="0"/>
          <w:sz w:val="32"/>
          <w:szCs w:val="32"/>
          <w:shd w:val="clear" w:fill="FFFFFF"/>
          <w:lang w:val="en-US" w:eastAsia="zh-CN"/>
        </w:rPr>
        <w:t>、应急管理</w:t>
      </w:r>
      <w:r>
        <w:rPr>
          <w:rFonts w:hint="eastAsia" w:ascii="仿宋_GB2312" w:hAnsi="仿宋_GB2312" w:eastAsia="仿宋_GB2312" w:cs="仿宋_GB2312"/>
          <w:i w:val="0"/>
          <w:iCs w:val="0"/>
          <w:caps w:val="0"/>
          <w:color w:val="auto"/>
          <w:spacing w:val="0"/>
          <w:sz w:val="32"/>
          <w:szCs w:val="32"/>
          <w:shd w:val="clear" w:fill="FFFFFF"/>
          <w:lang w:val="en-US" w:eastAsia="zh-CN"/>
        </w:rPr>
        <w:t>局</w:t>
      </w:r>
      <w:r>
        <w:rPr>
          <w:rFonts w:hint="default" w:ascii="仿宋_GB2312" w:hAnsi="仿宋_GB2312" w:eastAsia="仿宋_GB2312" w:cs="仿宋_GB2312"/>
          <w:i w:val="0"/>
          <w:iCs w:val="0"/>
          <w:caps w:val="0"/>
          <w:color w:val="auto"/>
          <w:spacing w:val="0"/>
          <w:sz w:val="32"/>
          <w:szCs w:val="32"/>
          <w:shd w:val="clear" w:fill="FFFFFF"/>
          <w:lang w:val="en-US" w:eastAsia="zh-CN"/>
        </w:rPr>
        <w:t xml:space="preserve">等有关部门报告；对管道安全风险较大的区段和场所进行重点监测，采取有效防范措施；建立健全管道保护长效机制。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旗能源局</w:t>
      </w:r>
      <w:r>
        <w:rPr>
          <w:rFonts w:hint="default" w:ascii="仿宋_GB2312" w:hAnsi="仿宋_GB2312" w:eastAsia="仿宋_GB2312" w:cs="仿宋_GB2312"/>
          <w:i w:val="0"/>
          <w:iCs w:val="0"/>
          <w:caps w:val="0"/>
          <w:color w:val="auto"/>
          <w:spacing w:val="0"/>
          <w:sz w:val="32"/>
          <w:szCs w:val="32"/>
          <w:shd w:val="clear" w:fill="FFFFFF"/>
          <w:lang w:val="en-US" w:eastAsia="zh-CN"/>
        </w:rPr>
        <w:t xml:space="preserve">要落实监管责任，持续推进安全风险管控机制建设，加强重大风险分析、评估，督促管道企业落实安全生产主体责任，采取安全防范措施，加强应急准备，建立健全信息共享和风险会商机制，及时掌握安全风险动态，发布安全生产提示、警示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color w:val="auto"/>
          <w:sz w:val="32"/>
          <w:szCs w:val="32"/>
          <w:lang w:val="en-US" w:eastAsia="zh-CN"/>
        </w:rPr>
      </w:pPr>
      <w:bookmarkStart w:id="39" w:name="_Toc23133"/>
      <w:r>
        <w:rPr>
          <w:rFonts w:hint="eastAsia" w:ascii="黑体" w:hAnsi="黑体" w:eastAsia="黑体" w:cs="黑体"/>
          <w:color w:val="auto"/>
          <w:sz w:val="32"/>
          <w:szCs w:val="32"/>
          <w:lang w:val="en-US" w:eastAsia="zh-CN"/>
        </w:rPr>
        <w:t>5监测与预警</w:t>
      </w:r>
      <w:bookmarkEnd w:id="39"/>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楷体_GB2312" w:hAnsi="楷体_GB2312" w:eastAsia="楷体_GB2312" w:cs="楷体_GB2312"/>
          <w:color w:val="auto"/>
          <w:lang w:val="en-US" w:eastAsia="zh-CN"/>
        </w:rPr>
      </w:pPr>
      <w:bookmarkStart w:id="40" w:name="_Toc32710"/>
      <w:r>
        <w:rPr>
          <w:rFonts w:hint="eastAsia" w:ascii="楷体_GB2312" w:hAnsi="楷体_GB2312" w:eastAsia="楷体_GB2312" w:cs="楷体_GB2312"/>
          <w:color w:val="auto"/>
          <w:lang w:val="en-US" w:eastAsia="zh-CN"/>
        </w:rPr>
        <w:t>5.1监测预报</w:t>
      </w:r>
      <w:bookmarkEnd w:id="40"/>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旗能源局应当加强管道保护监管平台的建设，利用信息化和互联网技术逐步完成对重点设施设备、重点区域、重要岗位以及影响生产作业安全环境状态的监测，对可能发生的管道安全事故进行综合评估和趋势分析，及时提示风险，提供预警支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管道企业是事故监测预警的责任主体，应当加强视频监控、远程监测、自动报警、智能识别等智能化监测预警系统建设；建立完善管道安全事故信息监测预警机制，将事故监测信息按规定报送旗应急管理局和能源局。监测信息报告的主要内容包括：基本情况、经研判可能产生的危害及程度、可能影响的范围及建议措施等。</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楷体_GB2312" w:hAnsi="楷体_GB2312" w:eastAsia="楷体_GB2312" w:cs="楷体_GB2312"/>
          <w:color w:val="auto"/>
          <w:lang w:val="en-US" w:eastAsia="zh-CN"/>
        </w:rPr>
      </w:pPr>
      <w:bookmarkStart w:id="41" w:name="_Toc17961"/>
      <w:r>
        <w:rPr>
          <w:rFonts w:hint="eastAsia" w:ascii="楷体_GB2312" w:hAnsi="楷体_GB2312" w:eastAsia="楷体_GB2312" w:cs="楷体_GB2312"/>
          <w:color w:val="auto"/>
          <w:lang w:val="en-US" w:eastAsia="zh-CN"/>
        </w:rPr>
        <w:t>5.2预警分级</w:t>
      </w:r>
      <w:bookmarkEnd w:id="41"/>
      <w:r>
        <w:rPr>
          <w:rFonts w:hint="eastAsia" w:ascii="楷体_GB2312" w:hAnsi="楷体_GB2312" w:eastAsia="楷体_GB2312" w:cs="楷体_GB2312"/>
          <w:color w:val="auto"/>
          <w:lang w:val="en-US" w:eastAsia="zh-CN"/>
        </w:rPr>
        <w:t xml:space="preserve">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根据管道安全事故可能造成的危害、影响范围和发展趋势，</w:t>
      </w:r>
      <w:r>
        <w:rPr>
          <w:rFonts w:hint="default" w:ascii="仿宋_GB2312" w:hAnsi="仿宋_GB2312" w:eastAsia="仿宋_GB2312" w:cs="仿宋_GB2312"/>
          <w:i w:val="0"/>
          <w:iCs w:val="0"/>
          <w:caps w:val="0"/>
          <w:color w:val="auto"/>
          <w:spacing w:val="0"/>
          <w:sz w:val="32"/>
          <w:szCs w:val="32"/>
          <w:shd w:val="clear" w:fill="FFFFFF"/>
          <w:lang w:val="en-US" w:eastAsia="zh-CN"/>
        </w:rPr>
        <w:t xml:space="preserve">预计可能发生的事故等级，预警级别分为一般（Ⅳ级）、较大（Ⅲ级）、重大（Ⅱ级）、特别重大（Ⅰ级），分别用蓝色、黄色、橙色、红色标示，Ⅰ级为最高级别。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 xml:space="preserve">蓝色预警（Ⅳ级）：预计将要发生一般以上管道安全事故，事故即将临近，事态可能会扩大。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 xml:space="preserve">黄色预警（Ⅲ级）：预计将要发生较大以上管道安全事故，事故已经临近，事态有扩大的趋势。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 xml:space="preserve">橙色预警（Ⅱ级）：预计将要发生重大以上管道安全事故，事故即将发生，事态正在逐步扩大。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 xml:space="preserve">红色预警（Ⅰ级）：预计将要发生特别重大管道安全事故，事故会随时发生，事态正在不断蔓延。 </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楷体_GB2312" w:hAnsi="楷体_GB2312" w:eastAsia="楷体_GB2312" w:cs="楷体_GB2312"/>
          <w:color w:val="auto"/>
          <w:lang w:val="en-US" w:eastAsia="zh-CN"/>
        </w:rPr>
      </w:pPr>
      <w:bookmarkStart w:id="42" w:name="_Toc11540"/>
      <w:r>
        <w:rPr>
          <w:rFonts w:hint="eastAsia" w:ascii="楷体_GB2312" w:hAnsi="楷体_GB2312" w:eastAsia="楷体_GB2312" w:cs="楷体_GB2312"/>
          <w:color w:val="auto"/>
          <w:lang w:val="en-US" w:eastAsia="zh-CN"/>
        </w:rPr>
        <w:t>5.3预警发布</w:t>
      </w:r>
      <w:bookmarkEnd w:id="42"/>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旗人民政府及有关部门收集到的有关信息预测事故即将发生或者发生的可能性增大时，由旗人民政府或授权本级旗指挥部办公室根据有关法律法规规定的权限和程序，发出相应级别的警报，发布预警公告，同时向市人民政府及有关部门报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预警发布的内容包括发布单位、发布时间、可能发生突发事件的类别、起始时间、可能影响范围、预警级别、警示事项、事态发展、相关措施、咨询电话等内容。</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0"/>
          <w:sz w:val="32"/>
          <w:szCs w:val="32"/>
          <w:highlight w:val="yellow"/>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预警信息的发布和调整可通过广播、电视、报刊、通信、网络信息、手机、报警器、政府专网、宣传车、大喇叭或组织人员逐户等方式通知。学校等特殊性场所着重、针对性地进行告知，对老、幼、病、残、孕等特殊人群</w:t>
      </w:r>
      <w:r>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t>和学校等特殊场所以及警报盲区应当采取有针对性的通知方式。媒体单位应当优先做好预警信息传播和应急宣传工作</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楷体_GB2312" w:hAnsi="楷体_GB2312" w:eastAsia="楷体_GB2312" w:cs="楷体_GB2312"/>
          <w:color w:val="auto"/>
          <w:lang w:val="en-US" w:eastAsia="zh-CN"/>
        </w:rPr>
      </w:pPr>
      <w:bookmarkStart w:id="43" w:name="_Toc28744"/>
      <w:r>
        <w:rPr>
          <w:rFonts w:hint="eastAsia" w:ascii="楷体_GB2312" w:hAnsi="楷体_GB2312" w:eastAsia="楷体_GB2312" w:cs="楷体_GB2312"/>
          <w:color w:val="auto"/>
          <w:lang w:val="en-US" w:eastAsia="zh-CN"/>
        </w:rPr>
        <w:t>5.4预警响应</w:t>
      </w:r>
      <w:bookmarkEnd w:id="43"/>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SA"/>
        </w:rPr>
        <w:t>（1）蓝色预警响应：进入蓝色预警期后，旗指挥部办公室、相关成员单位、镇人民政府（管委会）、管道企业应做好应急响应准备，按规定启动预警响应，执行24小时值班值守制度，及时收集、报告有关信息，加强事态发展情况的监测、预报和预警工作；</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旗能源局配合预计事发管道企业组织专业技术人员、有关专家对事态进行分析评估，预测发生事故的可能性大小、影响范围和强度，并做好事故应急救援准备；应急救援队伍随时待命，接到命令后迅速出发，视情况采取相应措施防止事故发生或事态进一步扩大。</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SA"/>
        </w:rPr>
        <w:t>（2）黄色预警响应：在蓝色预警响应的基础上，旗指挥部办公室立即组织力量对事态进行研判，提出相应措施并部署应急处置工作，组织专家赴现场对事态发展进行研判，提出现场处置建议；消防救援支队、专业救援队伍做好赶赴现场准备，并派遣先遣小组赴现场开展相关处置工作；旗指挥部及相关成员单位根据实际情况和分级负责的原则，依法采取以下一项或多项措施：公布信息接报和咨询电话，及时收集和上报有关信息，向社会公告采取的有关特定措施、避免和减轻危害的建议和劝告；组织应急救援队伍和负有特定职责的人员进入待命状态，动员后备人员做好应急准备；调集应急救援所需物资、装备、设备，准备应急设施和临时避险场所，确保随时可以投入正常使用；加强预警区域重点单位、重要部位和重要基础设施的安全保障；确保交通、通信、供水、排水、供电等公共设施的安全运行；转移、疏散或撤离易受事故危害的人员并妥善安置，转移重要财产；随时关闭或限制使用易受事故危害的场所，控制或限制容易导致危害扩大的公共场所的活动；其他必要的防范性、保护性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SA"/>
        </w:rPr>
        <w:t>（3）橙色预警、红色预警响应：在黄色预警响应的基础上，旗指挥部办公室按照上级应急指挥机构的统一部署，做好相关预警响应工作。</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楷体_GB2312" w:hAnsi="楷体_GB2312" w:eastAsia="楷体_GB2312" w:cs="楷体_GB2312"/>
          <w:color w:val="auto"/>
          <w:lang w:val="en-US" w:eastAsia="zh-CN"/>
        </w:rPr>
      </w:pPr>
      <w:bookmarkStart w:id="44" w:name="_Toc3134"/>
      <w:r>
        <w:rPr>
          <w:rFonts w:hint="eastAsia" w:ascii="楷体_GB2312" w:hAnsi="楷体_GB2312" w:eastAsia="楷体_GB2312" w:cs="楷体_GB2312"/>
          <w:color w:val="auto"/>
          <w:lang w:val="en-US" w:eastAsia="zh-CN"/>
        </w:rPr>
        <w:t>5.5</w:t>
      </w:r>
      <w:r>
        <w:rPr>
          <w:rFonts w:hint="default" w:ascii="楷体_GB2312" w:hAnsi="楷体_GB2312" w:eastAsia="楷体_GB2312" w:cs="楷体_GB2312"/>
          <w:color w:val="auto"/>
          <w:lang w:val="en-US" w:eastAsia="zh-CN"/>
        </w:rPr>
        <w:t>预警调整与解除</w:t>
      </w:r>
      <w:bookmarkEnd w:id="44"/>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仿宋_GB2312" w:hAnsi="仿宋_GB2312" w:eastAsia="仿宋_GB2312" w:cs="仿宋_GB2312"/>
          <w:i w:val="0"/>
          <w:iCs w:val="0"/>
          <w:caps w:val="0"/>
          <w:color w:val="auto"/>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SA"/>
        </w:rPr>
        <w:t>旗</w:t>
      </w:r>
      <w:r>
        <w:rPr>
          <w:rFonts w:hint="default" w:ascii="仿宋_GB2312" w:hAnsi="仿宋_GB2312" w:eastAsia="仿宋_GB2312" w:cs="仿宋_GB2312"/>
          <w:i w:val="0"/>
          <w:iCs w:val="0"/>
          <w:caps w:val="0"/>
          <w:color w:val="auto"/>
          <w:spacing w:val="0"/>
          <w:kern w:val="2"/>
          <w:sz w:val="32"/>
          <w:szCs w:val="32"/>
          <w:highlight w:val="none"/>
          <w:shd w:val="clear" w:fill="FFFFFF"/>
          <w:lang w:val="en-US" w:eastAsia="zh-CN" w:bidi="ar-SA"/>
        </w:rPr>
        <w:t>指挥部应密切关注事件进展情况，根据事态的发展，适时调整预警级别、更新预警信息内容，及时报告、通报和发布有关情况。有事实证明不可能发生或危险已经解除的，</w:t>
      </w:r>
      <w:r>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SA"/>
        </w:rPr>
        <w:t>旗</w:t>
      </w:r>
      <w:r>
        <w:rPr>
          <w:rFonts w:hint="default" w:ascii="仿宋_GB2312" w:hAnsi="仿宋_GB2312" w:eastAsia="仿宋_GB2312" w:cs="仿宋_GB2312"/>
          <w:i w:val="0"/>
          <w:iCs w:val="0"/>
          <w:caps w:val="0"/>
          <w:color w:val="auto"/>
          <w:spacing w:val="0"/>
          <w:kern w:val="2"/>
          <w:sz w:val="32"/>
          <w:szCs w:val="32"/>
          <w:highlight w:val="none"/>
          <w:shd w:val="clear" w:fill="FFFFFF"/>
          <w:lang w:val="en-US" w:eastAsia="zh-CN" w:bidi="ar-SA"/>
        </w:rPr>
        <w:t>指挥部应当立即宣布解除警报，终止预警，并解除已经采取的有关措施。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黑体" w:hAnsi="黑体" w:eastAsia="黑体" w:cs="黑体"/>
          <w:color w:val="auto"/>
          <w:sz w:val="32"/>
          <w:szCs w:val="32"/>
          <w:lang w:val="en-US" w:eastAsia="zh-CN"/>
        </w:rPr>
      </w:pPr>
      <w:bookmarkStart w:id="45" w:name="_Toc3773"/>
      <w:bookmarkStart w:id="46" w:name="_Toc24406"/>
      <w:r>
        <w:rPr>
          <w:rFonts w:hint="eastAsia" w:ascii="黑体" w:hAnsi="黑体" w:eastAsia="黑体" w:cs="黑体"/>
          <w:color w:val="auto"/>
          <w:sz w:val="32"/>
          <w:szCs w:val="32"/>
          <w:lang w:val="en-US" w:eastAsia="zh-CN"/>
        </w:rPr>
        <w:t>6应急处置与救援</w:t>
      </w:r>
      <w:bookmarkEnd w:id="45"/>
      <w:bookmarkEnd w:id="46"/>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楷体_GB2312" w:hAnsi="楷体_GB2312" w:eastAsia="楷体_GB2312" w:cs="楷体_GB2312"/>
          <w:color w:val="auto"/>
          <w:lang w:val="en-US" w:eastAsia="zh-CN"/>
        </w:rPr>
      </w:pPr>
      <w:bookmarkStart w:id="47" w:name="_Toc23583"/>
      <w:bookmarkStart w:id="48" w:name="_Toc10772"/>
      <w:r>
        <w:rPr>
          <w:rFonts w:hint="eastAsia" w:ascii="楷体_GB2312" w:hAnsi="楷体_GB2312" w:eastAsia="楷体_GB2312" w:cs="楷体_GB2312"/>
          <w:color w:val="auto"/>
          <w:lang w:val="en-US" w:eastAsia="zh-CN"/>
        </w:rPr>
        <w:t>6.1信息报告</w:t>
      </w:r>
      <w:bookmarkEnd w:id="47"/>
      <w:bookmarkEnd w:id="48"/>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6.1.1事故报告时限和程序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管道安全事故发生后，事故企业应立即向事发地镇人民政府或开发区（园区）管委会以及旗应急管理局和能源局报告。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Cs/>
          <w:color w:val="auto"/>
          <w:sz w:val="32"/>
          <w:szCs w:val="32"/>
          <w:lang w:val="en-US" w:eastAsia="zh-CN"/>
        </w:rPr>
        <w:t>生产安全事故信息报送分为初报、续报和应急结束终报。生产安全事故信息报告主体应按照“先核实、后报告”，“先电话、后书面”，“先初报、后跟踪续报、应急结束终报”的程序报告生产安全事故信息。</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事发地镇人民政府或开发区（园区）管委会、旗应急管理局和能源局接报后，</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按规定</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15分钟内同时向旗委（8691270）、旗政府（8691090）报告事件概况（对涉及面广、敏感、复杂的生产安全事故，同时通报旗委宣传部、旗网络安全应急智慧中心），30分钟内报送书面报告，并及时通报可能受影响的地区、部门和单位；需要上级支援的立即上报请求支援。旗应急管理局和旗能源局在依照前款规定报送事故</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情况时，应当同时报告</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市应急管理局和市能源局。当管道安全事故影响范</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围可能超出</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本旗</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行政区域时，应当及时向相关</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区管道保护主管部门通报</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6.1.2事故报告主要内容</w:t>
      </w:r>
    </w:p>
    <w:p>
      <w:pPr>
        <w:pStyle w:val="7"/>
        <w:pageBreakBefore w:val="0"/>
        <w:kinsoku/>
        <w:wordWrap/>
        <w:overflowPunct/>
        <w:topLinePunct w:val="0"/>
        <w:autoSpaceDE/>
        <w:autoSpaceDN/>
        <w:bidi w:val="0"/>
        <w:spacing w:line="360" w:lineRule="auto"/>
        <w:ind w:firstLine="64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首报及时。重点报告管道安全事故发生的时间、地点、伤亡情况、初判危害程度和趋势等。</w:t>
      </w:r>
    </w:p>
    <w:p>
      <w:pPr>
        <w:pStyle w:val="7"/>
        <w:pageBreakBefore w:val="0"/>
        <w:kinsoku/>
        <w:wordWrap/>
        <w:overflowPunct/>
        <w:topLinePunct w:val="0"/>
        <w:autoSpaceDE/>
        <w:autoSpaceDN/>
        <w:bidi w:val="0"/>
        <w:spacing w:line="360" w:lineRule="auto"/>
        <w:ind w:firstLine="64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续报准确。管道安全事故处置过程中，应当及时做好核查续报工作，在首报的基础上，重点准确报告管道安全事故性质和伤亡损失情况、处置进展、形势分析、舆情反映、对策措施等。</w:t>
      </w:r>
    </w:p>
    <w:p>
      <w:pPr>
        <w:pStyle w:val="7"/>
        <w:pageBreakBefore w:val="0"/>
        <w:kinsoku/>
        <w:wordWrap/>
        <w:overflowPunct/>
        <w:topLinePunct w:val="0"/>
        <w:autoSpaceDE/>
        <w:autoSpaceDN/>
        <w:bidi w:val="0"/>
        <w:spacing w:line="360" w:lineRule="auto"/>
        <w:ind w:firstLine="64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终报全面。灾害事故结束后，应当全面总结报告灾害事故情况，一般包括管道安全事故概况、应对工作情况、事发原因、经验教训、整改措施和相关建议等。</w:t>
      </w:r>
    </w:p>
    <w:p>
      <w:pPr>
        <w:pStyle w:val="7"/>
        <w:pageBreakBefore w:val="0"/>
        <w:kinsoku/>
        <w:wordWrap/>
        <w:overflowPunct/>
        <w:topLinePunct w:val="0"/>
        <w:autoSpaceDE/>
        <w:autoSpaceDN/>
        <w:bidi w:val="0"/>
        <w:spacing w:line="360" w:lineRule="auto"/>
        <w:ind w:firstLine="64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各部门、各单位应严格按规定时限报告生产安全事故信息，不得迟报、漏报、谎报和瞒报。</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楷体_GB2312" w:hAnsi="楷体_GB2312" w:eastAsia="楷体_GB2312" w:cs="楷体_GB2312"/>
          <w:color w:val="auto"/>
          <w:lang w:val="en-US" w:eastAsia="zh-CN"/>
        </w:rPr>
      </w:pPr>
      <w:bookmarkStart w:id="49" w:name="_Toc1356"/>
      <w:bookmarkStart w:id="50" w:name="_Toc4863"/>
      <w:r>
        <w:rPr>
          <w:rFonts w:hint="eastAsia" w:ascii="楷体_GB2312" w:hAnsi="楷体_GB2312" w:eastAsia="楷体_GB2312" w:cs="楷体_GB2312"/>
          <w:color w:val="auto"/>
          <w:lang w:val="en-US" w:eastAsia="zh-CN"/>
        </w:rPr>
        <w:t>6.2先期处置与公众响应</w:t>
      </w:r>
      <w:bookmarkEnd w:id="49"/>
      <w:bookmarkEnd w:id="50"/>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1）事发单位是事故应急救援的第一处置主体，管道安全事故发生后，事发单位要立即启动本单位相关应急预案，迅速切断油气来源和电源，第一时间组织本单位应急救援力量营救受害人员，疏散、撤离、安置受到威胁的人员；控制危险源，标明危险区域，封锁危险场所，采取其他防止危害扩大的必要措施；做好专业队伍引导；向属地政府及相关部门、有关单位报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2）事故发生地镇人民政府或开发区（园区）管委会组织救援力量，第一时间组织受影响群众的转移疏散、自救互救，采取措施控制事态发展，做好应急救援队伍引导工作，协助维护社会秩序，及时向旗委、旗人民政府报告事故进展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3）管道安全事故应对期间，受事故影响的公民、法人和其他组织迅速开展自救互救，立即进行转移疏散，采取必要措施防止危害扩大；及时向政府相关部门和机构报告安全隐患和受灾情况；服从救援抢险部门的指挥和安排，配合做好应急处置和救援工作。</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楷体_GB2312" w:hAnsi="楷体_GB2312" w:eastAsia="楷体_GB2312" w:cs="楷体_GB2312"/>
          <w:color w:val="auto"/>
          <w:lang w:val="en-US" w:eastAsia="zh-CN"/>
        </w:rPr>
      </w:pPr>
      <w:bookmarkStart w:id="51" w:name="_Toc32060"/>
      <w:bookmarkStart w:id="52" w:name="_Toc12089"/>
      <w:bookmarkStart w:id="53" w:name="_Toc30683"/>
      <w:bookmarkStart w:id="54" w:name="_Toc29051"/>
      <w:r>
        <w:rPr>
          <w:rFonts w:hint="eastAsia" w:ascii="楷体_GB2312" w:hAnsi="楷体_GB2312" w:eastAsia="楷体_GB2312" w:cs="楷体_GB2312"/>
          <w:color w:val="auto"/>
          <w:lang w:val="en-US" w:eastAsia="zh-CN"/>
        </w:rPr>
        <w:t>6</w:t>
      </w:r>
      <w:r>
        <w:rPr>
          <w:rFonts w:hint="default" w:ascii="楷体_GB2312" w:hAnsi="楷体_GB2312" w:eastAsia="楷体_GB2312" w:cs="楷体_GB2312"/>
          <w:color w:val="auto"/>
          <w:lang w:val="en-US" w:eastAsia="zh-CN"/>
        </w:rPr>
        <w:t>.</w:t>
      </w:r>
      <w:r>
        <w:rPr>
          <w:rFonts w:hint="eastAsia" w:ascii="楷体_GB2312" w:hAnsi="楷体_GB2312" w:eastAsia="楷体_GB2312" w:cs="楷体_GB2312"/>
          <w:color w:val="auto"/>
          <w:lang w:val="en-US" w:eastAsia="zh-CN"/>
        </w:rPr>
        <w:t>3</w:t>
      </w:r>
      <w:r>
        <w:rPr>
          <w:rFonts w:hint="default" w:ascii="楷体_GB2312" w:hAnsi="楷体_GB2312" w:eastAsia="楷体_GB2312" w:cs="楷体_GB2312"/>
          <w:color w:val="auto"/>
          <w:lang w:val="en-US" w:eastAsia="zh-CN"/>
        </w:rPr>
        <w:t>分级响应与响应分级</w:t>
      </w:r>
      <w:bookmarkEnd w:id="51"/>
      <w:bookmarkEnd w:id="52"/>
      <w:bookmarkEnd w:id="53"/>
      <w:bookmarkEnd w:id="5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管道安全事故应对遵循分级负责、属地为主的原则，当事故超出旗指挥部的处置能力时，由市应急指挥部提供支援或组织应对。一般管道安全事故由旗指挥部组织应对；其中，涉及面广、敏感复杂或处置不当后果严重的一般管道安全事故，报请市应急指挥部指导应对。涉及跨旗县级行政区域的，或特别重大、重大和较大管道安全事故报请市应急指挥部提供支援或组织指导应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管道安全事故发生后，旗指挥部及其有关部门、事发单位等根据事故初判级别、应急处置能力以及预期响应后果，综合研判本层级响应级别。对于管道安全事故本身比较敏感，或发生在重点地区或重大活动期间的，可提高响应级别。应急响应启动后，可视情调整响应级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旗级</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管道安全事故</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应急响应由高到低分为一级、二级、三级，</w:t>
      </w:r>
      <w:r>
        <w:rPr>
          <w:rFonts w:hint="eastAsia" w:ascii="仿宋_GB2312" w:hAnsi="仿宋_GB2312" w:eastAsia="仿宋_GB2312" w:cs="仿宋_GB2312"/>
          <w:color w:val="auto"/>
          <w:sz w:val="32"/>
          <w:szCs w:val="32"/>
          <w:lang w:val="en-US" w:eastAsia="zh-CN"/>
        </w:rPr>
        <w:t>见下表所示</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仿宋_GB2312" w:hAnsi="Times New Roman" w:eastAsia="仿宋_GB2312" w:cs="仿宋_GB2312"/>
          <w:b/>
          <w:bCs/>
          <w:color w:val="auto"/>
          <w:kern w:val="2"/>
          <w:sz w:val="32"/>
          <w:szCs w:val="32"/>
          <w:lang w:val="en-US" w:eastAsia="zh-CN" w:bidi="ar"/>
        </w:rPr>
      </w:pPr>
      <w:r>
        <w:rPr>
          <w:rFonts w:hint="eastAsia" w:ascii="仿宋_GB2312" w:hAnsi="Times New Roman" w:eastAsia="仿宋_GB2312" w:cs="仿宋_GB2312"/>
          <w:b/>
          <w:bCs/>
          <w:color w:val="auto"/>
          <w:kern w:val="2"/>
          <w:sz w:val="32"/>
          <w:szCs w:val="32"/>
          <w:lang w:val="en-US" w:eastAsia="zh-CN" w:bidi="ar"/>
        </w:rPr>
        <w:t>旗管道</w:t>
      </w:r>
      <w:r>
        <w:rPr>
          <w:rFonts w:hint="default" w:ascii="仿宋_GB2312" w:hAnsi="Times New Roman" w:eastAsia="仿宋_GB2312" w:cs="仿宋_GB2312"/>
          <w:b/>
          <w:bCs/>
          <w:color w:val="auto"/>
          <w:kern w:val="2"/>
          <w:sz w:val="32"/>
          <w:szCs w:val="32"/>
          <w:lang w:val="en-US" w:eastAsia="zh-CN" w:bidi="ar"/>
        </w:rPr>
        <w:t>安全事故应急响应条件</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37"/>
        <w:gridCol w:w="3054"/>
        <w:gridCol w:w="28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shd w:val="clear" w:color="auto" w:fill="auto"/>
            <w:vAlign w:val="top"/>
          </w:tcPr>
          <w:p>
            <w:pPr>
              <w:pStyle w:val="4"/>
              <w:keepNext w:val="0"/>
              <w:keepLines w:val="0"/>
              <w:pageBreakBefore w:val="0"/>
              <w:widowControl/>
              <w:numPr>
                <w:ilvl w:val="0"/>
                <w:numId w:val="0"/>
              </w:numPr>
              <w:suppressLineNumbers w:val="0"/>
              <w:kinsoku/>
              <w:wordWrap/>
              <w:bidi w:val="0"/>
              <w:adjustRightInd/>
              <w:snapToGrid/>
              <w:spacing w:before="0" w:beforeAutospacing="0" w:after="0" w:afterAutospacing="0" w:line="560" w:lineRule="exact"/>
              <w:ind w:leftChars="200" w:right="0" w:rightChars="0" w:firstLine="562" w:firstLineChars="200"/>
              <w:jc w:val="both"/>
              <w:rPr>
                <w:rFonts w:hint="default" w:ascii="Times New Roman" w:hAnsi="Times New Roman" w:eastAsia="仿宋_GB2312" w:cs="Times New Roman"/>
                <w:b/>
                <w:bCs/>
                <w:color w:val="auto"/>
                <w:kern w:val="0"/>
                <w:sz w:val="24"/>
                <w:szCs w:val="24"/>
                <w:lang w:val="en-US" w:eastAsia="zh-CN" w:bidi="ar"/>
              </w:rPr>
            </w:pPr>
            <w:r>
              <w:rPr>
                <w:rFonts w:hint="eastAsia" w:ascii="Times New Roman" w:hAnsi="Times New Roman" w:eastAsia="仿宋_GB2312" w:cs="Times New Roman"/>
                <w:b/>
                <w:bCs/>
                <w:color w:val="auto"/>
                <w:kern w:val="0"/>
                <w:sz w:val="28"/>
                <w:szCs w:val="28"/>
                <w:lang w:val="en-US" w:eastAsia="zh-CN" w:bidi="ar"/>
              </w:rPr>
              <w:t>一级响应</w:t>
            </w:r>
          </w:p>
        </w:tc>
        <w:tc>
          <w:tcPr>
            <w:tcW w:w="0" w:type="auto"/>
            <w:tcBorders>
              <w:tl2br w:val="nil"/>
              <w:tr2bl w:val="nil"/>
            </w:tcBorders>
            <w:shd w:val="clear" w:color="auto" w:fill="auto"/>
            <w:vAlign w:val="top"/>
          </w:tcPr>
          <w:p>
            <w:pPr>
              <w:pStyle w:val="4"/>
              <w:keepNext w:val="0"/>
              <w:keepLines w:val="0"/>
              <w:pageBreakBefore w:val="0"/>
              <w:widowControl/>
              <w:numPr>
                <w:ilvl w:val="0"/>
                <w:numId w:val="0"/>
              </w:numPr>
              <w:suppressLineNumbers w:val="0"/>
              <w:kinsoku/>
              <w:wordWrap/>
              <w:bidi w:val="0"/>
              <w:adjustRightInd/>
              <w:snapToGrid/>
              <w:spacing w:before="0" w:beforeAutospacing="0" w:after="0" w:afterAutospacing="0" w:line="560" w:lineRule="exact"/>
              <w:ind w:leftChars="200" w:right="0" w:rightChars="0"/>
              <w:jc w:val="center"/>
              <w:rPr>
                <w:rFonts w:hint="default" w:ascii="Times New Roman" w:hAnsi="Times New Roman" w:eastAsia="仿宋_GB2312" w:cs="Times New Roman"/>
                <w:b/>
                <w:bCs/>
                <w:color w:val="auto"/>
                <w:kern w:val="0"/>
                <w:sz w:val="24"/>
                <w:szCs w:val="24"/>
                <w:lang w:val="en-US" w:eastAsia="zh-CN" w:bidi="ar"/>
              </w:rPr>
            </w:pPr>
            <w:r>
              <w:rPr>
                <w:rFonts w:hint="eastAsia" w:ascii="Times New Roman" w:hAnsi="Times New Roman" w:eastAsia="仿宋_GB2312" w:cs="Times New Roman"/>
                <w:b/>
                <w:bCs/>
                <w:color w:val="auto"/>
                <w:kern w:val="0"/>
                <w:sz w:val="28"/>
                <w:szCs w:val="28"/>
                <w:lang w:val="en-US" w:eastAsia="zh-CN" w:bidi="ar"/>
              </w:rPr>
              <w:t>二级响应</w:t>
            </w:r>
          </w:p>
        </w:tc>
        <w:tc>
          <w:tcPr>
            <w:tcW w:w="0" w:type="auto"/>
            <w:tcBorders>
              <w:tl2br w:val="nil"/>
              <w:tr2bl w:val="nil"/>
            </w:tcBorders>
            <w:shd w:val="clear" w:color="auto" w:fill="auto"/>
            <w:vAlign w:val="top"/>
          </w:tcPr>
          <w:p>
            <w:pPr>
              <w:pStyle w:val="4"/>
              <w:keepNext w:val="0"/>
              <w:keepLines w:val="0"/>
              <w:pageBreakBefore w:val="0"/>
              <w:widowControl/>
              <w:numPr>
                <w:ilvl w:val="0"/>
                <w:numId w:val="0"/>
              </w:numPr>
              <w:suppressLineNumbers w:val="0"/>
              <w:kinsoku/>
              <w:wordWrap/>
              <w:bidi w:val="0"/>
              <w:adjustRightInd/>
              <w:snapToGrid/>
              <w:spacing w:before="0" w:beforeAutospacing="0" w:after="0" w:afterAutospacing="0" w:line="560" w:lineRule="exact"/>
              <w:ind w:leftChars="200" w:right="0" w:rightChars="0"/>
              <w:jc w:val="center"/>
              <w:rPr>
                <w:rFonts w:hint="default" w:ascii="Times New Roman" w:hAnsi="Times New Roman" w:eastAsia="仿宋_GB2312" w:cs="Times New Roman"/>
                <w:b/>
                <w:bCs/>
                <w:color w:val="auto"/>
                <w:kern w:val="0"/>
                <w:sz w:val="24"/>
                <w:szCs w:val="24"/>
                <w:lang w:val="en-US" w:eastAsia="zh-CN" w:bidi="ar"/>
              </w:rPr>
            </w:pPr>
            <w:r>
              <w:rPr>
                <w:rFonts w:hint="eastAsia" w:ascii="Times New Roman" w:hAnsi="Times New Roman" w:eastAsia="仿宋_GB2312" w:cs="Times New Roman"/>
                <w:b/>
                <w:bCs/>
                <w:color w:val="auto"/>
                <w:kern w:val="0"/>
                <w:sz w:val="28"/>
                <w:szCs w:val="28"/>
                <w:lang w:val="en-US" w:eastAsia="zh-CN" w:bidi="ar"/>
              </w:rPr>
              <w:t>三级响应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c>
          <w:tcPr>
            <w:tcW w:w="0" w:type="auto"/>
            <w:tcBorders>
              <w:tl2br w:val="nil"/>
              <w:tr2bl w:val="nil"/>
            </w:tcBorders>
            <w:shd w:val="clear" w:color="auto" w:fill="auto"/>
            <w:vAlign w:val="top"/>
          </w:tcPr>
          <w:p>
            <w:pPr>
              <w:pStyle w:val="4"/>
              <w:keepNext w:val="0"/>
              <w:keepLines w:val="0"/>
              <w:pageBreakBefore w:val="0"/>
              <w:widowControl/>
              <w:suppressLineNumbers w:val="0"/>
              <w:kinsoku/>
              <w:wordWrap/>
              <w:bidi w:val="0"/>
              <w:adjustRightInd/>
              <w:snapToGrid/>
              <w:spacing w:before="0" w:beforeAutospacing="0" w:after="0" w:afterAutospacing="0" w:line="240" w:lineRule="auto"/>
              <w:ind w:left="420" w:leftChars="200" w:right="0" w:firstLine="0" w:firstLineChars="0"/>
              <w:jc w:val="both"/>
              <w:rPr>
                <w:rFonts w:hint="default" w:ascii="Times New Roman" w:hAnsi="Times New Roman" w:cs="Times New Roman"/>
                <w:color w:val="auto"/>
                <w:lang w:val="en-US"/>
              </w:rPr>
            </w:pPr>
            <w:r>
              <w:rPr>
                <w:rFonts w:hint="default" w:ascii="Times New Roman" w:hAnsi="Times New Roman" w:eastAsia="仿宋_GB2312" w:cs="Times New Roman"/>
                <w:color w:val="auto"/>
                <w:kern w:val="0"/>
                <w:sz w:val="24"/>
                <w:szCs w:val="24"/>
                <w:lang w:val="en-US" w:eastAsia="zh-CN" w:bidi="ar"/>
              </w:rPr>
              <w:t>启动条件：</w:t>
            </w:r>
          </w:p>
          <w:p>
            <w:pPr>
              <w:pStyle w:val="4"/>
              <w:keepNext w:val="0"/>
              <w:keepLines w:val="0"/>
              <w:pageBreakBefore w:val="0"/>
              <w:widowControl/>
              <w:numPr>
                <w:ilvl w:val="0"/>
                <w:numId w:val="2"/>
              </w:numPr>
              <w:suppressLineNumbers w:val="0"/>
              <w:kinsoku/>
              <w:wordWrap/>
              <w:bidi w:val="0"/>
              <w:adjustRightInd/>
              <w:snapToGrid/>
              <w:spacing w:before="0" w:beforeAutospacing="0" w:after="0" w:afterAutospacing="0" w:line="240" w:lineRule="auto"/>
              <w:ind w:left="0" w:leftChars="0" w:right="0" w:firstLine="480" w:firstLineChars="200"/>
              <w:jc w:val="both"/>
              <w:rPr>
                <w:rFonts w:hint="default" w:ascii="Times New Roman" w:hAnsi="Times New Roman" w:cs="Times New Roman"/>
                <w:color w:val="auto"/>
                <w:lang w:val="en-US"/>
              </w:rPr>
            </w:pPr>
            <w:r>
              <w:rPr>
                <w:rFonts w:hint="default" w:ascii="Times New Roman" w:hAnsi="Times New Roman" w:eastAsia="仿宋_GB2312" w:cs="Times New Roman"/>
                <w:color w:val="auto"/>
                <w:kern w:val="0"/>
                <w:sz w:val="24"/>
                <w:szCs w:val="24"/>
                <w:lang w:val="en-US" w:eastAsia="zh-CN" w:bidi="ar"/>
              </w:rPr>
              <w:t>发生特别重大、重大、较大事故；</w:t>
            </w:r>
          </w:p>
          <w:p>
            <w:pPr>
              <w:pStyle w:val="4"/>
              <w:keepNext w:val="0"/>
              <w:keepLines w:val="0"/>
              <w:pageBreakBefore w:val="0"/>
              <w:widowControl/>
              <w:numPr>
                <w:ilvl w:val="0"/>
                <w:numId w:val="2"/>
              </w:numPr>
              <w:suppressLineNumbers w:val="0"/>
              <w:kinsoku/>
              <w:wordWrap/>
              <w:bidi w:val="0"/>
              <w:adjustRightInd/>
              <w:snapToGrid/>
              <w:spacing w:before="0" w:beforeAutospacing="0" w:after="0" w:afterAutospacing="0" w:line="240" w:lineRule="auto"/>
              <w:ind w:left="0" w:leftChars="0" w:right="0" w:firstLine="480" w:firstLineChars="200"/>
              <w:jc w:val="both"/>
              <w:rPr>
                <w:rFonts w:hint="default" w:ascii="Times New Roman" w:hAnsi="Times New Roman" w:cs="Times New Roman"/>
                <w:color w:val="auto"/>
                <w:lang w:val="en-US"/>
              </w:rPr>
            </w:pPr>
            <w:r>
              <w:rPr>
                <w:rFonts w:hint="default" w:ascii="Times New Roman" w:hAnsi="Times New Roman" w:eastAsia="仿宋_GB2312" w:cs="Times New Roman"/>
                <w:color w:val="auto"/>
                <w:kern w:val="0"/>
                <w:sz w:val="24"/>
                <w:szCs w:val="24"/>
                <w:lang w:val="en-US" w:eastAsia="zh-CN" w:bidi="ar"/>
              </w:rPr>
              <w:t>造成3人以上涉险、被困、失联的事故；</w:t>
            </w:r>
          </w:p>
          <w:p>
            <w:pPr>
              <w:pStyle w:val="4"/>
              <w:keepNext w:val="0"/>
              <w:keepLines w:val="0"/>
              <w:pageBreakBefore w:val="0"/>
              <w:widowControl/>
              <w:numPr>
                <w:ilvl w:val="0"/>
                <w:numId w:val="2"/>
              </w:numPr>
              <w:suppressLineNumbers w:val="0"/>
              <w:kinsoku/>
              <w:wordWrap/>
              <w:bidi w:val="0"/>
              <w:adjustRightInd/>
              <w:snapToGrid/>
              <w:spacing w:before="0" w:beforeAutospacing="0" w:after="0" w:afterAutospacing="0" w:line="240" w:lineRule="auto"/>
              <w:ind w:left="0" w:leftChars="0" w:right="0" w:firstLine="480" w:firstLineChars="200"/>
              <w:jc w:val="both"/>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需要紧急转移安置500人以上的生产安全事故；</w:t>
            </w:r>
          </w:p>
          <w:p>
            <w:pPr>
              <w:pStyle w:val="4"/>
              <w:keepNext w:val="0"/>
              <w:keepLines w:val="0"/>
              <w:pageBreakBefore w:val="0"/>
              <w:widowControl/>
              <w:numPr>
                <w:ilvl w:val="0"/>
                <w:numId w:val="2"/>
              </w:numPr>
              <w:suppressLineNumbers w:val="0"/>
              <w:kinsoku/>
              <w:wordWrap/>
              <w:bidi w:val="0"/>
              <w:adjustRightInd/>
              <w:snapToGrid/>
              <w:spacing w:before="0" w:beforeAutospacing="0" w:after="0" w:afterAutospacing="0" w:line="240" w:lineRule="auto"/>
              <w:ind w:left="0" w:leftChars="0" w:right="0" w:firstLine="480" w:firstLineChars="200"/>
              <w:jc w:val="both"/>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旗</w:t>
            </w:r>
            <w:r>
              <w:rPr>
                <w:rFonts w:hint="default" w:ascii="Times New Roman" w:hAnsi="Times New Roman" w:eastAsia="仿宋_GB2312" w:cs="Times New Roman"/>
                <w:color w:val="auto"/>
                <w:kern w:val="0"/>
                <w:sz w:val="24"/>
                <w:szCs w:val="24"/>
                <w:lang w:val="en-US" w:eastAsia="zh-CN" w:bidi="ar"/>
              </w:rPr>
              <w:t>指挥部认为需要启动一级响应的情形。</w:t>
            </w:r>
          </w:p>
        </w:tc>
        <w:tc>
          <w:tcPr>
            <w:tcW w:w="0" w:type="auto"/>
            <w:tcBorders>
              <w:tl2br w:val="nil"/>
              <w:tr2bl w:val="nil"/>
            </w:tcBorders>
            <w:shd w:val="clear" w:color="auto" w:fill="auto"/>
            <w:vAlign w:val="top"/>
          </w:tcPr>
          <w:p>
            <w:pPr>
              <w:pStyle w:val="4"/>
              <w:keepNext w:val="0"/>
              <w:keepLines w:val="0"/>
              <w:pageBreakBefore w:val="0"/>
              <w:widowControl/>
              <w:suppressLineNumbers w:val="0"/>
              <w:kinsoku/>
              <w:wordWrap/>
              <w:bidi w:val="0"/>
              <w:adjustRightInd/>
              <w:snapToGrid/>
              <w:spacing w:before="0" w:beforeAutospacing="0" w:after="0" w:afterAutospacing="0" w:line="240" w:lineRule="auto"/>
              <w:ind w:left="420" w:leftChars="200" w:right="0" w:firstLine="0" w:firstLineChars="0"/>
              <w:jc w:val="both"/>
              <w:rPr>
                <w:rFonts w:hint="default" w:ascii="Times New Roman" w:hAnsi="Times New Roman" w:cs="Times New Roman"/>
                <w:color w:val="auto"/>
                <w:lang w:val="en-US"/>
              </w:rPr>
            </w:pPr>
            <w:r>
              <w:rPr>
                <w:rFonts w:hint="default" w:ascii="Times New Roman" w:hAnsi="Times New Roman" w:eastAsia="仿宋_GB2312" w:cs="Times New Roman"/>
                <w:color w:val="auto"/>
                <w:kern w:val="0"/>
                <w:sz w:val="24"/>
                <w:szCs w:val="24"/>
                <w:lang w:val="en-US" w:eastAsia="zh-CN" w:bidi="ar"/>
              </w:rPr>
              <w:t>启动条件：</w:t>
            </w:r>
          </w:p>
          <w:p>
            <w:pPr>
              <w:pStyle w:val="4"/>
              <w:keepNext w:val="0"/>
              <w:keepLines w:val="0"/>
              <w:pageBreakBefore w:val="0"/>
              <w:widowControl/>
              <w:numPr>
                <w:ilvl w:val="0"/>
                <w:numId w:val="3"/>
              </w:numPr>
              <w:suppressLineNumbers w:val="0"/>
              <w:kinsoku/>
              <w:wordWrap/>
              <w:bidi w:val="0"/>
              <w:adjustRightInd/>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color w:val="auto"/>
                <w:lang w:val="en-US"/>
              </w:rPr>
            </w:pPr>
            <w:r>
              <w:rPr>
                <w:rFonts w:hint="default" w:ascii="Times New Roman" w:hAnsi="Times New Roman" w:eastAsia="仿宋_GB2312" w:cs="Times New Roman"/>
                <w:color w:val="auto"/>
                <w:kern w:val="0"/>
                <w:sz w:val="24"/>
                <w:szCs w:val="24"/>
                <w:lang w:val="en-US" w:eastAsia="zh-CN" w:bidi="ar"/>
              </w:rPr>
              <w:t>发生一般事故；</w:t>
            </w:r>
          </w:p>
          <w:p>
            <w:pPr>
              <w:pStyle w:val="4"/>
              <w:keepNext w:val="0"/>
              <w:keepLines w:val="0"/>
              <w:pageBreakBefore w:val="0"/>
              <w:widowControl/>
              <w:numPr>
                <w:ilvl w:val="0"/>
                <w:numId w:val="3"/>
              </w:numPr>
              <w:suppressLineNumbers w:val="0"/>
              <w:kinsoku/>
              <w:wordWrap/>
              <w:bidi w:val="0"/>
              <w:adjustRightInd/>
              <w:snapToGrid/>
              <w:spacing w:before="0" w:beforeAutospacing="0" w:after="0" w:afterAutospacing="0" w:line="240" w:lineRule="auto"/>
              <w:ind w:left="0" w:leftChars="0" w:right="0" w:rightChars="0" w:firstLine="400" w:firstLineChars="0"/>
              <w:jc w:val="both"/>
              <w:rPr>
                <w:rFonts w:hint="default" w:ascii="Times New Roman" w:hAnsi="Times New Roman" w:cs="Times New Roman"/>
                <w:color w:val="auto"/>
                <w:lang w:val="en-US"/>
              </w:rPr>
            </w:pPr>
            <w:r>
              <w:rPr>
                <w:rFonts w:hint="default" w:ascii="Times New Roman" w:hAnsi="Times New Roman" w:eastAsia="仿宋_GB2312" w:cs="Times New Roman"/>
                <w:color w:val="auto"/>
                <w:kern w:val="0"/>
                <w:sz w:val="24"/>
                <w:szCs w:val="24"/>
                <w:lang w:val="en-US" w:eastAsia="zh-CN" w:bidi="ar"/>
              </w:rPr>
              <w:t>造成3人以下涉险、被困、失联的事故；</w:t>
            </w:r>
          </w:p>
          <w:p>
            <w:pPr>
              <w:pStyle w:val="4"/>
              <w:keepNext w:val="0"/>
              <w:keepLines w:val="0"/>
              <w:pageBreakBefore w:val="0"/>
              <w:widowControl/>
              <w:numPr>
                <w:ilvl w:val="0"/>
                <w:numId w:val="3"/>
              </w:numPr>
              <w:suppressLineNumbers w:val="0"/>
              <w:kinsoku/>
              <w:wordWrap/>
              <w:bidi w:val="0"/>
              <w:adjustRightInd/>
              <w:snapToGrid/>
              <w:spacing w:before="0" w:beforeAutospacing="0" w:after="0" w:afterAutospacing="0" w:line="240" w:lineRule="auto"/>
              <w:ind w:left="0" w:leftChars="0" w:right="0" w:rightChars="0" w:firstLine="400" w:firstLineChars="0"/>
              <w:jc w:val="both"/>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需要紧急转移安置500人以下的生产安全事故；</w:t>
            </w:r>
          </w:p>
          <w:p>
            <w:pPr>
              <w:pStyle w:val="4"/>
              <w:keepNext w:val="0"/>
              <w:keepLines w:val="0"/>
              <w:pageBreakBefore w:val="0"/>
              <w:widowControl/>
              <w:numPr>
                <w:ilvl w:val="0"/>
                <w:numId w:val="3"/>
              </w:numPr>
              <w:suppressLineNumbers w:val="0"/>
              <w:kinsoku/>
              <w:wordWrap/>
              <w:bidi w:val="0"/>
              <w:adjustRightInd/>
              <w:snapToGrid/>
              <w:spacing w:before="0" w:beforeAutospacing="0" w:after="0" w:afterAutospacing="0" w:line="240" w:lineRule="auto"/>
              <w:ind w:left="0" w:leftChars="0" w:right="0" w:rightChars="0" w:firstLine="400" w:firstLineChars="0"/>
              <w:jc w:val="both"/>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旗</w:t>
            </w:r>
            <w:r>
              <w:rPr>
                <w:rFonts w:hint="default" w:ascii="Times New Roman" w:hAnsi="Times New Roman" w:eastAsia="仿宋_GB2312" w:cs="Times New Roman"/>
                <w:color w:val="auto"/>
                <w:kern w:val="0"/>
                <w:sz w:val="24"/>
                <w:szCs w:val="24"/>
                <w:lang w:val="en-US" w:eastAsia="zh-CN" w:bidi="ar"/>
              </w:rPr>
              <w:t>指挥部认为需要启动二级响应的情形。</w:t>
            </w:r>
          </w:p>
        </w:tc>
        <w:tc>
          <w:tcPr>
            <w:tcW w:w="0" w:type="auto"/>
            <w:tcBorders>
              <w:tl2br w:val="nil"/>
              <w:tr2bl w:val="nil"/>
            </w:tcBorders>
            <w:shd w:val="clear" w:color="auto" w:fill="auto"/>
            <w:vAlign w:val="top"/>
          </w:tcPr>
          <w:p>
            <w:pPr>
              <w:pStyle w:val="4"/>
              <w:keepNext w:val="0"/>
              <w:keepLines w:val="0"/>
              <w:pageBreakBefore w:val="0"/>
              <w:widowControl/>
              <w:suppressLineNumbers w:val="0"/>
              <w:kinsoku/>
              <w:wordWrap/>
              <w:bidi w:val="0"/>
              <w:adjustRightInd/>
              <w:snapToGrid/>
              <w:spacing w:before="0" w:beforeAutospacing="0" w:after="0" w:afterAutospacing="0" w:line="240" w:lineRule="auto"/>
              <w:ind w:left="420" w:leftChars="200" w:right="0" w:firstLine="0" w:firstLineChars="0"/>
              <w:jc w:val="both"/>
              <w:rPr>
                <w:rFonts w:hint="default" w:ascii="Times New Roman" w:hAnsi="Times New Roman" w:cs="Times New Roman"/>
                <w:color w:val="auto"/>
                <w:lang w:val="en-US"/>
              </w:rPr>
            </w:pPr>
            <w:r>
              <w:rPr>
                <w:rFonts w:hint="default" w:ascii="Times New Roman" w:hAnsi="Times New Roman" w:eastAsia="仿宋_GB2312" w:cs="Times New Roman"/>
                <w:color w:val="auto"/>
                <w:kern w:val="0"/>
                <w:sz w:val="24"/>
                <w:szCs w:val="24"/>
                <w:lang w:val="en-US" w:eastAsia="zh-CN" w:bidi="ar"/>
              </w:rPr>
              <w:t>启动条件；</w:t>
            </w:r>
          </w:p>
          <w:p>
            <w:pPr>
              <w:pStyle w:val="4"/>
              <w:keepNext w:val="0"/>
              <w:keepLines w:val="0"/>
              <w:pageBreakBefore w:val="0"/>
              <w:widowControl/>
              <w:numPr>
                <w:ilvl w:val="0"/>
                <w:numId w:val="4"/>
              </w:numPr>
              <w:suppressLineNumbers w:val="0"/>
              <w:kinsoku/>
              <w:wordWrap/>
              <w:bidi w:val="0"/>
              <w:adjustRightInd/>
              <w:snapToGrid/>
              <w:spacing w:before="0" w:beforeAutospacing="0" w:after="0" w:afterAutospacing="0" w:line="240" w:lineRule="auto"/>
              <w:ind w:left="0" w:leftChars="0" w:right="0" w:rightChars="0" w:firstLine="400" w:firstLineChars="0"/>
              <w:jc w:val="both"/>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发生事故，未造成人员死亡或重伤的情形；</w:t>
            </w:r>
          </w:p>
          <w:p>
            <w:pPr>
              <w:pStyle w:val="4"/>
              <w:keepNext w:val="0"/>
              <w:keepLines w:val="0"/>
              <w:pageBreakBefore w:val="0"/>
              <w:widowControl/>
              <w:numPr>
                <w:ilvl w:val="0"/>
                <w:numId w:val="4"/>
              </w:numPr>
              <w:suppressLineNumbers w:val="0"/>
              <w:kinsoku/>
              <w:wordWrap/>
              <w:bidi w:val="0"/>
              <w:adjustRightInd/>
              <w:snapToGrid/>
              <w:spacing w:before="0" w:beforeAutospacing="0" w:after="0" w:afterAutospacing="0" w:line="240" w:lineRule="auto"/>
              <w:ind w:left="0" w:leftChars="0" w:right="0" w:rightChars="0" w:firstLine="400" w:firstLineChars="0"/>
              <w:jc w:val="left"/>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旗</w:t>
            </w:r>
            <w:r>
              <w:rPr>
                <w:rFonts w:hint="default" w:ascii="Times New Roman" w:hAnsi="Times New Roman" w:eastAsia="仿宋_GB2312" w:cs="Times New Roman"/>
                <w:color w:val="auto"/>
                <w:kern w:val="0"/>
                <w:sz w:val="24"/>
                <w:szCs w:val="24"/>
                <w:lang w:val="en-US" w:eastAsia="zh-CN" w:bidi="ar"/>
              </w:rPr>
              <w:t>指挥部认为需要启动三级响应的情形。</w:t>
            </w:r>
          </w:p>
        </w:tc>
      </w:tr>
    </w:tbl>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ascii="仿宋_GB2312" w:hAnsi="仿宋_GB2312" w:eastAsia="仿宋_GB2312" w:cs="仿宋_GB2312"/>
          <w:b/>
          <w:bCs/>
          <w:color w:val="auto"/>
          <w:sz w:val="28"/>
          <w:szCs w:val="28"/>
          <w:lang w:val="en-US" w:eastAsia="zh-CN"/>
        </w:rPr>
      </w:pPr>
      <w:r>
        <w:rPr>
          <w:rFonts w:ascii="仿宋_GB2312" w:hAnsi="仿宋_GB2312" w:eastAsia="仿宋_GB2312" w:cs="仿宋_GB2312"/>
          <w:b/>
          <w:bCs/>
          <w:color w:val="auto"/>
          <w:sz w:val="28"/>
          <w:szCs w:val="28"/>
          <w:lang w:val="en-US" w:eastAsia="zh-CN"/>
        </w:rPr>
        <w:t>注：上述所称“以上”包括本数，所称“以下”不包括本数</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6.3.1三级响应</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仿宋_GB2312" w:hAnsi="仿宋_GB2312" w:eastAsia="仿宋_GB2312" w:cs="仿宋_GB2312"/>
          <w:i w:val="0"/>
          <w:iCs w:val="0"/>
          <w:caps w:val="0"/>
          <w:color w:val="auto"/>
          <w:spacing w:val="0"/>
          <w:kern w:val="2"/>
          <w:sz w:val="32"/>
          <w:szCs w:val="32"/>
          <w:shd w:val="clear" w:fill="FFFFFF"/>
          <w:lang w:val="en-US" w:eastAsia="zh-CN" w:bidi="ar-SA"/>
        </w:rPr>
      </w:pP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符合</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三</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级响应条件时</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由</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旗</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指挥部办公室主任启动</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三</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级响应</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重点做好以下工作</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（1）立即</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派出工作组</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和专家</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赶赴现场</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指导、协调事故救援工作</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（2）疏散受威胁的人员，通知可能受到事故影响的单位和人员。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（3）采取有效措施控制事态发展或发生次生、衍生灾害，研判事故发生趋势以及可能造成的损失，并向旗指挥部报告。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（4）采取必要措施，避免或者减少事故对环境造成的危害。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（5）随时掌握抢险救援进展情况，视情协调增派有关救援力量，做好扩大响应的准备。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6.3.2二级响应</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符合二级响应条件时，</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t>指挥部办公室</w:t>
      </w:r>
      <w:r>
        <w:rPr>
          <w:rFonts w:hint="eastAsia" w:ascii="仿宋_GB2312" w:hAnsi="仿宋_GB2312" w:eastAsia="仿宋_GB2312" w:cs="仿宋_GB2312"/>
          <w:bCs/>
          <w:color w:val="auto"/>
          <w:sz w:val="32"/>
          <w:szCs w:val="32"/>
          <w:highlight w:val="none"/>
          <w:lang w:val="en-US" w:eastAsia="zh-CN"/>
        </w:rPr>
        <w:t>提出进入二级响应的建议，</w:t>
      </w:r>
      <w:r>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t>由</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t>指挥部</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副指挥长</w:t>
      </w:r>
      <w:r>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t>启动二级响应</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。重点做好以下工作：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 xml:space="preserve">（1）旗指挥部办公室及时报告副指挥长，并通知有关成员单位负责人和专家等人员立即赶赴现场。同时，根据事故情况，迅速指挥调度有关救援力量赶赴现场参加抢险救援工作。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 xml:space="preserve">（2）副指挥长到达现场后，迅速成立旗现场指挥部及其工作组，接管指挥权，了解先期处置情况，分析研判事故现状及发展态势。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（3）组织管道安全事故现场侦检工作，分析研判事故影响范围和程度，划定事故核心区、警戒区、安全区。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 xml:space="preserve">（4）组织开展事故会商研判，研究制定抢险救援方案和保障方案，并根据事故发展态势及时调整应急抢险方案。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 xml:space="preserve">（5）指挥、协调抢险救援队伍和医疗救治单位积极抢救遇险人员、救治受伤人员，加强事故区域环境监测监控和救援人员安全防护，发现可能直接危及应急救援人员生命安全的紧急情况时，立即组织采取相应措施消除隐患，降低或者化解风险，必要时可以暂时撤离应急救援人员，防止事故扩大。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 xml:space="preserve">（6）做好对周边人员、场所、重要设施排查和安全处置（包括重要目标物、重大危险源的排查和安全处置）工作，防范次生灾害。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 xml:space="preserve">（7）根据事故发展态势和抢险救援需要，协调增调救援力量。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（8）组织人员展开核查、事故现场秩序维护、遇险人员和遇险遇难人员亲属安抚工作。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 xml:space="preserve">（9）做好环境、气象应急监测和交通、通讯、电力等应急保障工作。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 xml:space="preserve">（10）及时、统一发布事故发展态势、抢险救援等信息，积极协调各类新闻媒体做好新闻报道工作，做好舆情监测和引导工作。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 xml:space="preserve">（11）按照上级工作组指导意见，落实相应的工作。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（12）认真贯彻落实</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自治区、市、旗人民</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政府工作要求。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6.3.3一级响应</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仿宋_GB2312" w:hAnsi="仿宋_GB2312" w:eastAsia="仿宋_GB2312" w:cs="仿宋_GB2312"/>
          <w:i w:val="0"/>
          <w:iCs w:val="0"/>
          <w:caps w:val="0"/>
          <w:color w:val="auto"/>
          <w:spacing w:val="0"/>
          <w:kern w:val="2"/>
          <w:sz w:val="32"/>
          <w:szCs w:val="32"/>
          <w:shd w:val="clear" w:fill="FFFFFF"/>
          <w:lang w:val="en-US" w:eastAsia="zh-CN" w:bidi="ar-SA"/>
        </w:rPr>
      </w:pP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符合一级响应条件时，</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t>指挥部办公室</w:t>
      </w:r>
      <w:r>
        <w:rPr>
          <w:rFonts w:hint="eastAsia" w:ascii="仿宋_GB2312" w:hAnsi="仿宋_GB2312" w:eastAsia="仿宋_GB2312" w:cs="仿宋_GB2312"/>
          <w:bCs/>
          <w:color w:val="auto"/>
          <w:sz w:val="32"/>
          <w:szCs w:val="32"/>
          <w:highlight w:val="none"/>
          <w:lang w:val="en-US" w:eastAsia="zh-CN"/>
        </w:rPr>
        <w:t>提出进入一级响应的建议，</w:t>
      </w:r>
      <w:r>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t>由</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t>指挥部</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指挥长</w:t>
      </w:r>
      <w:r>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t>启动</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一</w:t>
      </w:r>
      <w:r>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t>级响应</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在做好二级响应重点工作基础上，进一步加强现场指挥部力量，</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同时报</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请上级有关部门给予支持；</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贯彻</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落实</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上级领导指示批示精神；积极配合自治区、市应急指挥部工作组开展响应工作</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6.3.4响应调整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旗</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指挥部或</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旗</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指挥部办公室依据事故情况变化，结合抢险救援实际，调整响应级别。</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楷体_GB2312" w:hAnsi="楷体_GB2312" w:eastAsia="楷体_GB2312" w:cs="楷体_GB2312"/>
          <w:color w:val="auto"/>
          <w:lang w:val="en-US" w:eastAsia="zh-CN"/>
        </w:rPr>
      </w:pPr>
      <w:bookmarkStart w:id="55" w:name="_Toc3637"/>
      <w:bookmarkStart w:id="56" w:name="_Toc25274"/>
      <w:r>
        <w:rPr>
          <w:rFonts w:hint="eastAsia" w:ascii="楷体_GB2312" w:hAnsi="楷体_GB2312" w:eastAsia="楷体_GB2312" w:cs="楷体_GB2312"/>
          <w:color w:val="auto"/>
          <w:lang w:val="en-US" w:eastAsia="zh-CN"/>
        </w:rPr>
        <w:t>6</w:t>
      </w:r>
      <w:r>
        <w:rPr>
          <w:rFonts w:hint="default" w:ascii="楷体_GB2312" w:hAnsi="楷体_GB2312" w:eastAsia="楷体_GB2312" w:cs="楷体_GB2312"/>
          <w:color w:val="auto"/>
          <w:lang w:val="en-US" w:eastAsia="zh-CN"/>
        </w:rPr>
        <w:t>.</w:t>
      </w:r>
      <w:r>
        <w:rPr>
          <w:rFonts w:hint="eastAsia" w:ascii="楷体_GB2312" w:hAnsi="楷体_GB2312" w:eastAsia="楷体_GB2312" w:cs="楷体_GB2312"/>
          <w:color w:val="auto"/>
          <w:lang w:val="en-US" w:eastAsia="zh-CN"/>
        </w:rPr>
        <w:t>4</w:t>
      </w:r>
      <w:r>
        <w:rPr>
          <w:rFonts w:hint="default" w:ascii="楷体_GB2312" w:hAnsi="楷体_GB2312" w:eastAsia="楷体_GB2312" w:cs="楷体_GB2312"/>
          <w:color w:val="auto"/>
          <w:lang w:val="en-US" w:eastAsia="zh-CN"/>
        </w:rPr>
        <w:t>现场指挥</w:t>
      </w:r>
      <w:bookmarkEnd w:id="55"/>
      <w:bookmarkEnd w:id="56"/>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6.4.1现场指挥部组建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根据分级响应情况，现场指挥部由旗指挥部牵头设立，到达事故现场的各方应急力量要及时向现场应急指挥机构报到、受领任务，接受统一指挥调度，严格遵守现场管理、信息发布等工作要求，并及时报告现场情况和处置进展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现场指挥部要确定相对固定的指挥场所，设置在管道安全事故上风向位置，与事故现场保持安全距离。根据情况设置统一的救援队伍集结点、物资接收点和分发点、新闻发布中心等，统一现场指挥部和人员标识。配备必要的指挥设备及通信手段，搭建现场指挥平台。现场指挥部掌握事故处置进展，及时向旗指挥部报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6.4.2现场应急指挥责任主体及指挥权交接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1）事发单位是应对管道安全事故先期处置的责任主体，对单位范围内的管道安全事故负有直接指挥权、处置权。在紧急情况下，现场带班人员、班组长和调度人员有直接处置权和指挥权，在遇到险情或事故征兆时，在采取可能的控制措施后，立即下达停产撤离命令，组织现场人员及时、有序撤离到安全地点，减少人员伤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2）管道安全事故发生后，事发单位要立即启动应急预案，先期成立本单位现场指挥部，由在场最高职位者担任现场指挥部指挥员，在确保安全的前提下采取有效措施组织抢救遇险人员，控制危险源、封锁危险场所、划定警戒隔离区，杜绝盲目施救，防止事故扩大。</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3）事故升级，在旗相关负责同志赶到现场后，事发单位应立即向旗级现场指挥部正式移交应急指挥权，并汇报事故情况、进展、风险以及影响控制事态的关键因素和问题。调动本单位所有应急资源，服从现场指挥部的指挥，做好应急处置全过程的保障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（4）</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自治区、市级层面应急指挥机构在本旗设立前方指挥部，或向本旗派出工作组时，旗现场指挥部与其对接并接受业务指导，做好相应保障工作</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4.4.3现场指挥协调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参与管道安全事故处置的各相关部门、有关单位，应立即调动所属有关人员和应急救援队伍赶赴现场，到达现场后第一时间向现场指挥部报告，在现场指挥部的统一指挥下，按照管道安全事故应急预案分工和事件处置规程要求，相互配合、密切协作，开展应急处置，及时向指挥部报告现场情况和处置工作进展情况。社会力量参与应急处置与救援时，纳入现场指挥部统一管理、统一调动、统一行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6.4.4现场协同联动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1）现场指挥部应维护好事故现场的治安秩序，做好事故处置、交通保障、伤员救治、人员疏散与安置等工作，防止事态扩大和次生、衍生灾害发生。及时掌握事件进展情况，随时向旗指挥部报告。同时结合现场实际情况，对管道安全事故进行综合分析、快速评估，研究确定现场应急处置方案。按处置方案发布命令，根据事故处置需要调集应急物资、专业处置队伍等，向受到危害的人员提供避难场所、生活必需品、医疗救护等。</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2）旗指挥部办公室应依据管道安全事故的级别和种类，适时组建由相关领域专家、应急处置队伍、相关科研力量、企业人员等组成的现场专家组，共同参与事故的处置工作。现场专家组应根据管道安全事故情况，对管道安全事故进行分析判断和事态评估，研究并提出专业处置意见，为现场指挥部提供决策咨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3）现场指挥部应随时跟踪事态进展情况，一旦发现事态有进一步扩大的趋势，有可能超出自身控制能力时，应立即下达指令，及时撤离现场应急救援人员。根据现场情况调整处置方案，报请上级应急指挥部协调调度其他应急资源参与处置工作，必要时按照有关程序向社会发出预警。根据需要，可采取协调调用企业应急装备物资，请求驻旗部队应急力量支持等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现场指挥部依据有关法律、法规、规章等规定，采取相应的强制性措施和其他必要措施。</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楷体_GB2312" w:hAnsi="楷体_GB2312" w:eastAsia="楷体_GB2312" w:cs="楷体_GB2312"/>
          <w:color w:val="auto"/>
          <w:lang w:val="en-US" w:eastAsia="zh-CN"/>
        </w:rPr>
      </w:pPr>
      <w:bookmarkStart w:id="57" w:name="_Toc28715"/>
      <w:bookmarkStart w:id="58" w:name="_Toc26311"/>
      <w:r>
        <w:rPr>
          <w:rFonts w:hint="eastAsia" w:ascii="楷体_GB2312" w:hAnsi="楷体_GB2312" w:eastAsia="楷体_GB2312" w:cs="楷体_GB2312"/>
          <w:color w:val="auto"/>
          <w:lang w:val="en-US" w:eastAsia="zh-CN"/>
        </w:rPr>
        <w:t>6</w:t>
      </w:r>
      <w:r>
        <w:rPr>
          <w:rFonts w:hint="default" w:ascii="楷体_GB2312" w:hAnsi="楷体_GB2312" w:eastAsia="楷体_GB2312" w:cs="楷体_GB2312"/>
          <w:color w:val="auto"/>
          <w:lang w:val="en-US" w:eastAsia="zh-CN"/>
        </w:rPr>
        <w:t>.</w:t>
      </w:r>
      <w:r>
        <w:rPr>
          <w:rFonts w:hint="eastAsia" w:ascii="楷体_GB2312" w:hAnsi="楷体_GB2312" w:eastAsia="楷体_GB2312" w:cs="楷体_GB2312"/>
          <w:color w:val="auto"/>
          <w:lang w:val="en-US" w:eastAsia="zh-CN"/>
        </w:rPr>
        <w:t>5</w:t>
      </w:r>
      <w:r>
        <w:rPr>
          <w:rFonts w:hint="default" w:ascii="楷体_GB2312" w:hAnsi="楷体_GB2312" w:eastAsia="楷体_GB2312" w:cs="楷体_GB2312"/>
          <w:color w:val="auto"/>
          <w:lang w:val="en-US" w:eastAsia="zh-CN"/>
        </w:rPr>
        <w:t>处置措施</w:t>
      </w:r>
      <w:bookmarkEnd w:id="57"/>
      <w:bookmarkEnd w:id="58"/>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现场指挥部需及时了解现场情况</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主要包括但不限于下列内容</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遇险人员伤亡、失踪或被困等情况</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周边建筑、地形、电源、火源等情况</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风速、风向等气象信息</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事故可能导致的后果及对周围区域的可能影响范围和危害程度</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应急救援设备物资、器械、队伍等应急力量情况</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相关装置、设备、设施损毁情况等</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w:t>
      </w:r>
      <w:r>
        <w:rPr>
          <w:rFonts w:hint="default" w:ascii="仿宋_GB2312" w:hAnsi="仿宋_GB2312" w:eastAsia="仿宋_GB2312" w:cs="仿宋_GB2312"/>
          <w:i w:val="0"/>
          <w:iCs w:val="0"/>
          <w:caps w:val="0"/>
          <w:color w:val="auto"/>
          <w:spacing w:val="0"/>
          <w:kern w:val="2"/>
          <w:sz w:val="32"/>
          <w:szCs w:val="32"/>
          <w:shd w:val="clear" w:fill="FFFFFF"/>
          <w:lang w:val="en-US" w:eastAsia="zh-CN" w:bidi="ar-SA"/>
        </w:rPr>
        <w:t>，根据事故情况，研判并采取安全、有效的应急救援措施，及时制定事故救援方案，各应急工作组应采取以下应急处置措施</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（1）现场侦检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查勘现场周边风险源，如：存在油气聚集的受限空间、地下交叉管道、城市排水系统、暗涵、高压电缆；居民区；高等级公路或铁路；敏感水体或敏感环境等。</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（2）管道抢修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油气管道企业按照应急处置预案和管道抢维修工程规范进行紧急抢险、抢修。油气管道企业在进行抢险、抢修时，要切断油气来源，进行现场可燃气体浓度检测，严禁一切火源，防止静电、碰撞、切割火花，将易燃易爆物品和危化品搬离危险区域，防止事态扩大和引发次生事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（3）群众疏散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油气管道企业应设立警戒区域、设置警示标志，及时通报可能受到事故危害的单位和居民。油气管道突发事件发生地</w:t>
      </w:r>
      <w:r>
        <w:rPr>
          <w:rFonts w:hint="eastAsia" w:ascii="仿宋_GB2312" w:hAnsi="仿宋_GB2312" w:eastAsia="仿宋_GB2312" w:cs="仿宋_GB2312"/>
          <w:i w:val="0"/>
          <w:iCs w:val="0"/>
          <w:caps w:val="0"/>
          <w:color w:val="auto"/>
          <w:spacing w:val="0"/>
          <w:sz w:val="32"/>
          <w:szCs w:val="32"/>
          <w:shd w:val="clear" w:fill="FFFFFF"/>
          <w:lang w:val="en-US" w:eastAsia="zh-CN"/>
        </w:rPr>
        <w:t>镇人民政府、开发区（园区）管委会</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应迅速组织周围群众撤离危险区域，并依照有关规定，及时公布事件信息，指导群众做好安全防护。</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（4）安全警戒</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SA"/>
        </w:rPr>
        <w:t>治安警戒组应迅速赶赴事件现场，加强现场安全警戒，对现场及周围人员进行防护指导，安排人员疏散及物资转移等工作。协助油气管道企业根据</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现场情况控制风险。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（5）人员救护</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医疗救治组应及时调集急救车辆和人员、医疗设备，对受伤人员迅速开展现场急救、</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转运，做好现场救援人员人身安全防护，避免烧伤、中毒、噪音等伤害。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（6）环境监测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设置警戒线和划定安全区域，对事件现场和周边地区进行可燃气体分析、有毒气体分析、大气环境监测和气象预报，必要时向周边居民发出警报。做好重要设施和目标的保护工作，防止对江河、湖泊、交通干线等造成重大影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（7）物件转移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SA"/>
        </w:rPr>
        <w:t>因抢救人员、防止事件扩大需要移动现场物件时，调查处理组应采取</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标志、记录、拍照、摄像和绘制现场图等措施进行现场标识，妥善保护好现场。</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楷体_GB2312" w:hAnsi="楷体_GB2312" w:eastAsia="楷体_GB2312" w:cs="楷体_GB2312"/>
          <w:color w:val="auto"/>
          <w:lang w:val="en-US" w:eastAsia="zh-CN"/>
        </w:rPr>
      </w:pPr>
      <w:bookmarkStart w:id="59" w:name="_Toc16345"/>
      <w:r>
        <w:rPr>
          <w:rFonts w:hint="eastAsia" w:ascii="楷体_GB2312" w:hAnsi="楷体_GB2312" w:eastAsia="楷体_GB2312" w:cs="楷体_GB2312"/>
          <w:color w:val="auto"/>
          <w:lang w:val="en-US" w:eastAsia="zh-CN"/>
        </w:rPr>
        <w:t>6</w:t>
      </w:r>
      <w:r>
        <w:rPr>
          <w:rFonts w:hint="default" w:ascii="楷体_GB2312" w:hAnsi="楷体_GB2312" w:eastAsia="楷体_GB2312" w:cs="楷体_GB2312"/>
          <w:color w:val="auto"/>
          <w:lang w:val="en-US" w:eastAsia="zh-CN"/>
        </w:rPr>
        <w:t>.</w:t>
      </w:r>
      <w:r>
        <w:rPr>
          <w:rFonts w:hint="eastAsia" w:ascii="楷体_GB2312" w:hAnsi="楷体_GB2312" w:eastAsia="楷体_GB2312" w:cs="楷体_GB2312"/>
          <w:color w:val="auto"/>
          <w:lang w:val="en-US" w:eastAsia="zh-CN"/>
        </w:rPr>
        <w:t>6</w:t>
      </w:r>
      <w:r>
        <w:rPr>
          <w:rFonts w:hint="default" w:ascii="楷体_GB2312" w:hAnsi="楷体_GB2312" w:eastAsia="楷体_GB2312" w:cs="楷体_GB2312"/>
          <w:color w:val="auto"/>
          <w:lang w:val="en-US" w:eastAsia="zh-CN"/>
        </w:rPr>
        <w:t>现场处置要点</w:t>
      </w:r>
      <w:bookmarkEnd w:id="59"/>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（1）石油天然气管道泄漏事故</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①现场实施紧急封闭、封锁，实行交通管制，迅速疏散撤离人群，实施紧急避险，转送受伤人员；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②立即排除现场火种，视风向、风速、水流、地形、地下空间和设施、周边环境以及油气泄漏量、扩散方向等因素，检测并估算警戒、隔离和防备距离，协助开展人员疏散撤离工作；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③配合管道专业救援队伍封堵漏点，清除泄漏的石油天然气，完成损毁管道抢修。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（2）石油天然气管道火灾爆炸事故</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①现场实施紧急封闭、封锁，实行交通管制，迅速疏散撤离人群，实施紧急避险，转送受伤人员，划定可能受火灾、爆炸影响的区域范围；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②根据输送介质的不同特性，正确选择扑救路线、方法，控制火势蔓延，防止事态扩大或者次生灾害发生；</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③配合管道专业救援队伍抢修损毁的管道，清除现场残余油气。</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楷体_GB2312" w:hAnsi="楷体_GB2312" w:eastAsia="楷体_GB2312" w:cs="楷体_GB2312"/>
          <w:color w:val="auto"/>
          <w:lang w:val="en-US" w:eastAsia="zh-CN"/>
        </w:rPr>
      </w:pPr>
      <w:bookmarkStart w:id="60" w:name="_Toc16492"/>
      <w:bookmarkStart w:id="61" w:name="_Toc5001"/>
      <w:r>
        <w:rPr>
          <w:rFonts w:hint="eastAsia" w:ascii="楷体_GB2312" w:hAnsi="楷体_GB2312" w:eastAsia="楷体_GB2312" w:cs="楷体_GB2312"/>
          <w:color w:val="auto"/>
          <w:lang w:val="en-US" w:eastAsia="zh-CN"/>
        </w:rPr>
        <w:t>6</w:t>
      </w:r>
      <w:r>
        <w:rPr>
          <w:rFonts w:hint="default" w:ascii="楷体_GB2312" w:hAnsi="楷体_GB2312" w:eastAsia="楷体_GB2312" w:cs="楷体_GB2312"/>
          <w:color w:val="auto"/>
          <w:lang w:val="en-US" w:eastAsia="zh-CN"/>
        </w:rPr>
        <w:t>.7信息发布与舆论引导</w:t>
      </w:r>
      <w:bookmarkEnd w:id="60"/>
      <w:bookmarkEnd w:id="6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6.7.1信息发布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旗人民政府统一领导一般管道安全事故新闻报道和新闻发布会的召开，旗委宣传部配合信息发布工作。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1"/>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旗委宣传部要加强网络媒体、移动新媒体信息发布内容管理和舆情分析，及时回应社会关切，引导群众依法、理性表达意见，形成积极健康的社会舆论。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1"/>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管道安全事故信息发布形式包括提供新闻通稿、接受记者采访、举办新闻发布会等，同时管道安全事故应急处置信息应及时通过政府门户网站、政务微博、政务微信公众号等快捷方式予以发布。依照法律、法规和国家有关规定应由国家、自治区、市的行政机关授权发布的，从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1"/>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未经相关应急指挥机构批准，参与应急处置工作的各有关单位和个人不得擅自对外发布事件原因、伤亡数字、责任追究等有关应急处置和事态发展的信息。任何单位和个人不得编造、传播有关应急处置和事态发展的虚假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6.7.2舆论引导</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委宣传部会同旗网信安全应急指挥中心、旗公安局、旗应急管理局等部门，收集、整理网络、市民热线等舆情社情信息，及时核实并解决反映的问题，并将工作进展情况及时公布，主动进行回应和引导。对于不实和负面信息，及时澄清并发布准确信息。</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楷体_GB2312" w:hAnsi="楷体_GB2312" w:eastAsia="楷体_GB2312" w:cs="楷体_GB2312"/>
          <w:color w:val="auto"/>
          <w:lang w:val="en-US" w:eastAsia="zh-CN"/>
        </w:rPr>
      </w:pPr>
      <w:bookmarkStart w:id="62" w:name="_Toc23480"/>
      <w:bookmarkStart w:id="63" w:name="_Toc9726"/>
      <w:r>
        <w:rPr>
          <w:rFonts w:hint="eastAsia" w:ascii="楷体_GB2312" w:hAnsi="楷体_GB2312" w:eastAsia="楷体_GB2312" w:cs="楷体_GB2312"/>
          <w:color w:val="auto"/>
          <w:lang w:val="en-US" w:eastAsia="zh-CN"/>
        </w:rPr>
        <w:t>6.8</w:t>
      </w:r>
      <w:r>
        <w:rPr>
          <w:rFonts w:hint="default" w:ascii="楷体_GB2312" w:hAnsi="楷体_GB2312" w:eastAsia="楷体_GB2312" w:cs="楷体_GB2312"/>
          <w:color w:val="auto"/>
          <w:lang w:val="en-US" w:eastAsia="zh-CN"/>
        </w:rPr>
        <w:t>应急结束</w:t>
      </w:r>
      <w:bookmarkEnd w:id="62"/>
      <w:bookmarkEnd w:id="63"/>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应急结束遵循“谁启动、谁负责”的原则。应急终止的条件</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事故现场得以控制，环境符合有关标准</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导致次生、衍生事故隐患消除</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伤亡人员得到救治，失踪人员得到确认</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现场应急处置结束，经组织专家会商，确认相关危险因素消除，</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由旗指挥部或授权现场指挥部宣布应急结束</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黑体" w:hAnsi="黑体" w:eastAsia="黑体" w:cs="黑体"/>
          <w:color w:val="auto"/>
          <w:sz w:val="32"/>
          <w:szCs w:val="32"/>
          <w:lang w:val="en-US" w:eastAsia="zh-CN"/>
        </w:rPr>
      </w:pPr>
      <w:bookmarkStart w:id="64" w:name="_Toc10220"/>
      <w:bookmarkStart w:id="65" w:name="_Toc12700"/>
      <w:r>
        <w:rPr>
          <w:rFonts w:hint="eastAsia" w:ascii="黑体" w:hAnsi="黑体" w:eastAsia="黑体" w:cs="黑体"/>
          <w:color w:val="auto"/>
          <w:sz w:val="32"/>
          <w:szCs w:val="32"/>
          <w:lang w:val="en-US" w:eastAsia="zh-CN"/>
        </w:rPr>
        <w:t>7</w:t>
      </w:r>
      <w:r>
        <w:rPr>
          <w:rFonts w:hint="default" w:ascii="黑体" w:hAnsi="黑体" w:eastAsia="黑体" w:cs="黑体"/>
          <w:color w:val="auto"/>
          <w:sz w:val="32"/>
          <w:szCs w:val="32"/>
          <w:lang w:val="en-US" w:eastAsia="zh-CN"/>
        </w:rPr>
        <w:t>后期处置</w:t>
      </w:r>
      <w:bookmarkEnd w:id="64"/>
      <w:bookmarkEnd w:id="65"/>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楷体_GB2312" w:hAnsi="楷体_GB2312" w:eastAsia="楷体_GB2312" w:cs="楷体_GB2312"/>
          <w:color w:val="auto"/>
          <w:lang w:val="en-US" w:eastAsia="zh-CN"/>
        </w:rPr>
      </w:pPr>
      <w:bookmarkStart w:id="66" w:name="_Toc31672"/>
      <w:bookmarkStart w:id="67" w:name="_Toc28682"/>
      <w:bookmarkStart w:id="68" w:name="_Toc13750"/>
      <w:r>
        <w:rPr>
          <w:rFonts w:hint="eastAsia" w:ascii="楷体_GB2312" w:hAnsi="楷体_GB2312" w:eastAsia="楷体_GB2312" w:cs="楷体_GB2312"/>
          <w:color w:val="auto"/>
          <w:lang w:val="en-US" w:eastAsia="zh-CN"/>
        </w:rPr>
        <w:t>7</w:t>
      </w:r>
      <w:r>
        <w:rPr>
          <w:rFonts w:hint="default" w:ascii="楷体_GB2312" w:hAnsi="楷体_GB2312" w:eastAsia="楷体_GB2312" w:cs="楷体_GB2312"/>
          <w:color w:val="auto"/>
          <w:lang w:val="en-US" w:eastAsia="zh-CN"/>
        </w:rPr>
        <w:t>.1</w:t>
      </w:r>
      <w:r>
        <w:rPr>
          <w:rFonts w:hint="eastAsia" w:ascii="楷体_GB2312" w:hAnsi="楷体_GB2312" w:eastAsia="楷体_GB2312" w:cs="楷体_GB2312"/>
          <w:color w:val="auto"/>
          <w:lang w:val="en-US" w:eastAsia="zh-CN"/>
        </w:rPr>
        <w:t>善</w:t>
      </w:r>
      <w:r>
        <w:rPr>
          <w:rFonts w:hint="default" w:ascii="楷体_GB2312" w:hAnsi="楷体_GB2312" w:eastAsia="楷体_GB2312" w:cs="楷体_GB2312"/>
          <w:color w:val="auto"/>
          <w:lang w:val="en-US" w:eastAsia="zh-CN"/>
        </w:rPr>
        <w:t>后处置</w:t>
      </w:r>
      <w:bookmarkEnd w:id="66"/>
      <w:bookmarkEnd w:id="67"/>
      <w:bookmarkEnd w:id="68"/>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旗人民政府要牵头积极稳妥地做好善后处置工作，</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善后处置主要包括人员安置、补偿、保险理赔、征用物资补偿、污染消除等事项。旗人民政府及有关部门和单位应当尽快消除事故影响，依据相关法律政策做好遇难者及其家属的抚慰安置及受伤人员的医疗救助等</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对应急救援中伤亡的人员及时给予救治和抚恤，做好事故伤亡人员家属的安抚工作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督促辖区内保险公司积极做好理赔服务工作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及时归还调用和征用的物资，物资被毁损、灭失、消耗的应当按照国家有关规定给予补偿</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做好现场污染物收集、清理与处理，疫病防治，事后恢复等工作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楷体_GB2312" w:hAnsi="楷体_GB2312" w:eastAsia="楷体_GB2312" w:cs="楷体_GB2312"/>
          <w:color w:val="auto"/>
          <w:lang w:val="en-US" w:eastAsia="zh-CN"/>
        </w:rPr>
      </w:pPr>
      <w:bookmarkStart w:id="69" w:name="_Toc16773"/>
      <w:bookmarkStart w:id="70" w:name="_Toc31573"/>
      <w:bookmarkStart w:id="71" w:name="_Toc6104"/>
      <w:bookmarkStart w:id="72" w:name="_Toc18733"/>
      <w:bookmarkStart w:id="73" w:name="_Toc3615"/>
      <w:bookmarkStart w:id="74" w:name="_Toc14981"/>
      <w:bookmarkStart w:id="75" w:name="_Toc12958"/>
      <w:bookmarkStart w:id="76" w:name="_Toc17800"/>
      <w:r>
        <w:rPr>
          <w:rFonts w:hint="eastAsia" w:ascii="楷体_GB2312" w:hAnsi="楷体_GB2312" w:eastAsia="楷体_GB2312" w:cs="楷体_GB2312"/>
          <w:color w:val="auto"/>
          <w:lang w:val="en-US" w:eastAsia="zh-CN"/>
        </w:rPr>
        <w:t>7.</w:t>
      </w:r>
      <w:bookmarkStart w:id="77" w:name="_Toc103837723"/>
      <w:r>
        <w:rPr>
          <w:rFonts w:hint="eastAsia" w:ascii="楷体_GB2312" w:hAnsi="楷体_GB2312" w:eastAsia="楷体_GB2312" w:cs="楷体_GB2312"/>
          <w:color w:val="auto"/>
          <w:lang w:val="en-US" w:eastAsia="zh-CN"/>
        </w:rPr>
        <w:t>2事故调查</w:t>
      </w:r>
      <w:bookmarkEnd w:id="69"/>
      <w:bookmarkEnd w:id="70"/>
      <w:bookmarkEnd w:id="77"/>
      <w:r>
        <w:rPr>
          <w:rFonts w:hint="eastAsia" w:ascii="楷体_GB2312" w:hAnsi="楷体_GB2312" w:eastAsia="楷体_GB2312" w:cs="楷体_GB2312"/>
          <w:color w:val="auto"/>
          <w:lang w:val="en-US" w:eastAsia="zh-CN"/>
        </w:rPr>
        <w:t>与</w:t>
      </w:r>
      <w:bookmarkStart w:id="78" w:name="_Toc103837724"/>
      <w:r>
        <w:rPr>
          <w:rFonts w:hint="eastAsia" w:ascii="楷体_GB2312" w:hAnsi="楷体_GB2312" w:eastAsia="楷体_GB2312" w:cs="楷体_GB2312"/>
          <w:color w:val="auto"/>
          <w:lang w:val="en-US" w:eastAsia="zh-CN"/>
        </w:rPr>
        <w:t>评估</w:t>
      </w:r>
      <w:bookmarkEnd w:id="71"/>
      <w:bookmarkEnd w:id="72"/>
      <w:bookmarkEnd w:id="73"/>
      <w:bookmarkEnd w:id="74"/>
      <w:bookmarkEnd w:id="75"/>
      <w:bookmarkEnd w:id="76"/>
      <w:bookmarkEnd w:id="78"/>
    </w:p>
    <w:p>
      <w:pPr>
        <w:pStyle w:val="2"/>
        <w:keepNext w:val="0"/>
        <w:keepLines w:val="0"/>
        <w:pageBreakBefore w:val="0"/>
        <w:widowControl w:val="0"/>
        <w:kinsoku/>
        <w:wordWrap/>
        <w:overflowPunct w:val="0"/>
        <w:topLinePunct/>
        <w:autoSpaceDE w:val="0"/>
        <w:autoSpaceDN w:val="0"/>
        <w:bidi w:val="0"/>
        <w:adjustRightInd/>
        <w:snapToGrid/>
        <w:spacing w:after="0" w:line="560" w:lineRule="exact"/>
        <w:ind w:left="0" w:leftChars="0"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事故调查应当严格按照《中华人民共和国安全生产法》《生产安全事故报告和调查处理条例》等法规和有关规定进行。</w:t>
      </w:r>
    </w:p>
    <w:p>
      <w:pPr>
        <w:pStyle w:val="2"/>
        <w:keepNext w:val="0"/>
        <w:keepLines w:val="0"/>
        <w:pageBreakBefore w:val="0"/>
        <w:widowControl w:val="0"/>
        <w:kinsoku/>
        <w:wordWrap/>
        <w:overflowPunct w:val="0"/>
        <w:topLinePunct/>
        <w:autoSpaceDE w:val="0"/>
        <w:autoSpaceDN w:val="0"/>
        <w:bidi w:val="0"/>
        <w:adjustRightInd/>
        <w:snapToGrid/>
        <w:spacing w:after="0" w:line="560" w:lineRule="exact"/>
        <w:ind w:left="0" w:leftChars="0"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79" w:name="_Toc24332"/>
      <w:bookmarkStart w:id="80" w:name="_Toc17005"/>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一般管道安全事故由旗人民政府组织调查评估，也可以授权或者委托有关部门组织事故调查组进行调查。</w:t>
      </w:r>
    </w:p>
    <w:p>
      <w:pPr>
        <w:pStyle w:val="2"/>
        <w:keepNext w:val="0"/>
        <w:keepLines w:val="0"/>
        <w:pageBreakBefore w:val="0"/>
        <w:widowControl w:val="0"/>
        <w:kinsoku/>
        <w:wordWrap/>
        <w:overflowPunct w:val="0"/>
        <w:topLinePunct/>
        <w:autoSpaceDE w:val="0"/>
        <w:autoSpaceDN w:val="0"/>
        <w:bidi w:val="0"/>
        <w:adjustRightInd/>
        <w:snapToGrid/>
        <w:spacing w:after="0" w:line="560" w:lineRule="exact"/>
        <w:ind w:left="0" w:leftChars="0"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较大及以上管道安全事故由上级人民政府组织，旗人民政府协调相关部门协助调查评估。</w:t>
      </w:r>
    </w:p>
    <w:p>
      <w:pPr>
        <w:pStyle w:val="2"/>
        <w:keepNext w:val="0"/>
        <w:keepLines w:val="0"/>
        <w:pageBreakBefore w:val="0"/>
        <w:widowControl w:val="0"/>
        <w:kinsoku/>
        <w:wordWrap/>
        <w:overflowPunct w:val="0"/>
        <w:topLinePunct/>
        <w:autoSpaceDE w:val="0"/>
        <w:autoSpaceDN w:val="0"/>
        <w:bidi w:val="0"/>
        <w:adjustRightInd/>
        <w:snapToGrid/>
        <w:spacing w:after="0" w:line="560" w:lineRule="exact"/>
        <w:ind w:left="0" w:leftChars="0"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必要时，可委托外部专业机构参与调查评估工作。</w:t>
      </w:r>
    </w:p>
    <w:bookmarkEnd w:id="79"/>
    <w:bookmarkEnd w:id="80"/>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楷体_GB2312" w:hAnsi="楷体_GB2312" w:eastAsia="楷体_GB2312" w:cs="楷体_GB2312"/>
          <w:color w:val="auto"/>
          <w:lang w:val="en-US" w:eastAsia="zh-CN"/>
        </w:rPr>
      </w:pPr>
      <w:bookmarkStart w:id="81" w:name="_Toc6833"/>
      <w:bookmarkStart w:id="82" w:name="_Toc29612"/>
      <w:bookmarkStart w:id="83" w:name="_Toc19854"/>
      <w:bookmarkStart w:id="84" w:name="_Toc25877"/>
      <w:bookmarkStart w:id="85" w:name="_Toc22463"/>
      <w:bookmarkStart w:id="86" w:name="_Toc21614"/>
      <w:bookmarkStart w:id="87" w:name="_Toc3086"/>
      <w:bookmarkStart w:id="88" w:name="_Toc10245"/>
      <w:bookmarkStart w:id="89" w:name="_Toc11729"/>
      <w:r>
        <w:rPr>
          <w:rFonts w:hint="eastAsia" w:ascii="楷体_GB2312" w:hAnsi="楷体_GB2312" w:eastAsia="楷体_GB2312" w:cs="楷体_GB2312"/>
          <w:color w:val="auto"/>
          <w:lang w:val="en-US" w:eastAsia="zh-CN"/>
        </w:rPr>
        <w:t>7.</w:t>
      </w:r>
      <w:bookmarkStart w:id="90" w:name="_Toc13630"/>
      <w:r>
        <w:rPr>
          <w:rFonts w:hint="eastAsia" w:ascii="楷体_GB2312" w:hAnsi="楷体_GB2312" w:eastAsia="楷体_GB2312" w:cs="楷体_GB2312"/>
          <w:color w:val="auto"/>
          <w:lang w:val="en-US" w:eastAsia="zh-CN"/>
        </w:rPr>
        <w:t>3责任与奖惩</w:t>
      </w:r>
      <w:bookmarkEnd w:id="81"/>
      <w:bookmarkEnd w:id="82"/>
      <w:bookmarkEnd w:id="83"/>
      <w:bookmarkEnd w:id="84"/>
      <w:bookmarkEnd w:id="85"/>
      <w:bookmarkEnd w:id="86"/>
      <w:bookmarkEnd w:id="90"/>
    </w:p>
    <w:p>
      <w:pPr>
        <w:keepNext w:val="0"/>
        <w:keepLines w:val="0"/>
        <w:pageBreakBefore w:val="0"/>
        <w:widowControl w:val="0"/>
        <w:kinsoku/>
        <w:wordWrap/>
        <w:overflowPunct w:val="0"/>
        <w:topLinePunct/>
        <w:autoSpaceDE w:val="0"/>
        <w:autoSpaceDN w:val="0"/>
        <w:bidi w:val="0"/>
        <w:adjustRightInd/>
        <w:snapToGrid/>
        <w:spacing w:line="560" w:lineRule="exact"/>
        <w:ind w:firstLine="640"/>
        <w:textAlignment w:val="auto"/>
        <w:rPr>
          <w:rFonts w:hint="eastAsia" w:hAnsi="Calibri"/>
          <w:color w:val="auto"/>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人民政府依据相关法律法规，建立健全应急管理工作领导责任制和责任追究制度。对在管道安全事故应急救援工作中有突出贡献的单位和个人给予表扬和奖励；对失职、渎职的有关人员追究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color w:val="auto"/>
          <w:sz w:val="32"/>
          <w:szCs w:val="32"/>
          <w:lang w:val="en-US" w:eastAsia="zh-CN"/>
        </w:rPr>
      </w:pPr>
      <w:bookmarkStart w:id="91" w:name="_Toc28022"/>
      <w:bookmarkStart w:id="92" w:name="_Toc28378"/>
      <w:bookmarkStart w:id="93" w:name="_Toc10170"/>
      <w:bookmarkStart w:id="94" w:name="_Toc24902"/>
      <w:bookmarkStart w:id="95" w:name="_Toc30013"/>
      <w:r>
        <w:rPr>
          <w:rFonts w:hint="eastAsia" w:ascii="黑体" w:hAnsi="黑体" w:eastAsia="黑体" w:cs="黑体"/>
          <w:color w:val="auto"/>
          <w:sz w:val="32"/>
          <w:szCs w:val="32"/>
          <w:lang w:val="en-US" w:eastAsia="zh-CN"/>
        </w:rPr>
        <w:t>8保障措施</w:t>
      </w:r>
      <w:bookmarkEnd w:id="87"/>
      <w:bookmarkEnd w:id="88"/>
      <w:bookmarkEnd w:id="89"/>
      <w:bookmarkEnd w:id="91"/>
      <w:bookmarkEnd w:id="92"/>
      <w:bookmarkEnd w:id="93"/>
      <w:bookmarkEnd w:id="94"/>
      <w:bookmarkEnd w:id="95"/>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楷体_GB2312" w:hAnsi="楷体_GB2312" w:eastAsia="楷体_GB2312" w:cs="楷体_GB2312"/>
          <w:color w:val="auto"/>
          <w:lang w:val="en-US" w:eastAsia="zh-CN"/>
        </w:rPr>
      </w:pPr>
      <w:bookmarkStart w:id="96" w:name="_Toc29394"/>
      <w:bookmarkStart w:id="97" w:name="_Toc936"/>
      <w:r>
        <w:rPr>
          <w:rFonts w:hint="eastAsia" w:ascii="楷体_GB2312" w:hAnsi="楷体_GB2312" w:eastAsia="楷体_GB2312" w:cs="楷体_GB2312"/>
          <w:color w:val="auto"/>
          <w:lang w:val="en-US" w:eastAsia="zh-CN"/>
        </w:rPr>
        <w:t>8.1应急队伍保障</w:t>
      </w:r>
      <w:bookmarkEnd w:id="96"/>
      <w:bookmarkEnd w:id="97"/>
    </w:p>
    <w:p>
      <w:pPr>
        <w:keepNext w:val="0"/>
        <w:keepLines w:val="0"/>
        <w:pageBreakBefore w:val="0"/>
        <w:widowControl w:val="0"/>
        <w:kinsoku/>
        <w:wordWrap/>
        <w:overflowPunct w:val="0"/>
        <w:topLinePunct/>
        <w:autoSpaceDE w:val="0"/>
        <w:autoSpaceDN w:val="0"/>
        <w:bidi w:val="0"/>
        <w:adjustRightInd/>
        <w:snapToGrid/>
        <w:spacing w:line="560" w:lineRule="exact"/>
        <w:ind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管道企业应当建立健全管道抢修应急专业队伍，加强设备维</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护和应急抢修技能方面的人员培训，定期开展应急演练，提高应急救援能力。</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旗人民政府根据需要组织动员其他专业应急队伍和志愿者参与管道安全事故及其次生衍生灾害处置工作。旗应急管理局、消防救援大队等应当做好应急力量支援保障。</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楷体_GB2312" w:hAnsi="楷体_GB2312" w:eastAsia="楷体_GB2312" w:cs="楷体_GB2312"/>
          <w:color w:val="auto"/>
          <w:lang w:val="en-US" w:eastAsia="zh-CN"/>
        </w:rPr>
      </w:pPr>
      <w:bookmarkStart w:id="98" w:name="_Toc11450"/>
      <w:r>
        <w:rPr>
          <w:rFonts w:hint="eastAsia" w:ascii="楷体_GB2312" w:hAnsi="楷体_GB2312" w:eastAsia="楷体_GB2312" w:cs="楷体_GB2312"/>
          <w:color w:val="auto"/>
          <w:lang w:val="en-US" w:eastAsia="zh-CN"/>
        </w:rPr>
        <w:t>8.2物资装备保障</w:t>
      </w:r>
      <w:bookmarkEnd w:id="98"/>
    </w:p>
    <w:p>
      <w:pPr>
        <w:keepNext w:val="0"/>
        <w:keepLines w:val="0"/>
        <w:pageBreakBefore w:val="0"/>
        <w:widowControl w:val="0"/>
        <w:kinsoku/>
        <w:wordWrap/>
        <w:overflowPunct w:val="0"/>
        <w:topLinePunct/>
        <w:autoSpaceDE w:val="0"/>
        <w:autoSpaceDN w:val="0"/>
        <w:bidi w:val="0"/>
        <w:adjustRightInd/>
        <w:snapToGrid/>
        <w:spacing w:line="560" w:lineRule="exact"/>
        <w:ind w:firstLine="640"/>
        <w:textAlignment w:val="auto"/>
        <w:rPr>
          <w:color w:val="auto"/>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管道企业应当根据应急需要，储备应急物资、常用装备和特</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种装备，建立应急物资、装备数据库，并向</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应急</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管理局</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和</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指挥部办公室报备。当抢险救援物资装备不足时，由</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指挥部统一调配。</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楷体_GB2312" w:hAnsi="楷体_GB2312" w:eastAsia="楷体_GB2312" w:cs="楷体_GB2312"/>
          <w:color w:val="auto"/>
          <w:lang w:val="en-US" w:eastAsia="zh-CN"/>
        </w:rPr>
      </w:pPr>
      <w:bookmarkStart w:id="99" w:name="_Toc0"/>
      <w:r>
        <w:rPr>
          <w:rFonts w:hint="eastAsia" w:ascii="楷体_GB2312" w:hAnsi="楷体_GB2312" w:eastAsia="楷体_GB2312" w:cs="楷体_GB2312"/>
          <w:color w:val="auto"/>
          <w:lang w:val="en-US" w:eastAsia="zh-CN"/>
        </w:rPr>
        <w:t>8.3资金保障</w:t>
      </w:r>
      <w:bookmarkEnd w:id="99"/>
      <w:r>
        <w:rPr>
          <w:rFonts w:hint="eastAsia" w:ascii="楷体_GB2312" w:hAnsi="楷体_GB2312" w:eastAsia="楷体_GB2312" w:cs="楷体_GB2312"/>
          <w:color w:val="auto"/>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现场处置所需经费由管道安全事故责任单位承担，事故单位</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暂时无力承担或责任暂无法明确的，由</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 xml:space="preserve">人民政府协调解决。 </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楷体_GB2312" w:hAnsi="楷体_GB2312" w:eastAsia="楷体_GB2312" w:cs="楷体_GB2312"/>
          <w:color w:val="auto"/>
          <w:lang w:val="en-US" w:eastAsia="zh-CN"/>
        </w:rPr>
      </w:pPr>
      <w:bookmarkStart w:id="100" w:name="_Toc19437"/>
      <w:r>
        <w:rPr>
          <w:rFonts w:hint="eastAsia" w:ascii="楷体_GB2312" w:hAnsi="楷体_GB2312" w:eastAsia="楷体_GB2312" w:cs="楷体_GB2312"/>
          <w:color w:val="auto"/>
          <w:lang w:val="en-US" w:eastAsia="zh-CN"/>
        </w:rPr>
        <w:t>8.4医疗卫生保障</w:t>
      </w:r>
      <w:bookmarkEnd w:id="100"/>
      <w:r>
        <w:rPr>
          <w:rFonts w:hint="eastAsia" w:ascii="楷体_GB2312" w:hAnsi="楷体_GB2312" w:eastAsia="楷体_GB2312" w:cs="楷体_GB2312"/>
          <w:color w:val="auto"/>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bidi w:val="0"/>
        <w:adjustRightInd/>
        <w:snapToGrid/>
        <w:spacing w:before="0" w:beforeAutospacing="0" w:after="0" w:afterAutospacing="0" w:line="560" w:lineRule="exact"/>
        <w:ind w:left="0" w:right="0" w:firstLine="516"/>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ascii="仿宋_GB2312" w:hAnsi="Calibri" w:eastAsia="仿宋_GB2312" w:cs="Times New Roman"/>
          <w:color w:val="auto"/>
          <w:kern w:val="2"/>
          <w:sz w:val="32"/>
          <w:szCs w:val="32"/>
          <w:highlight w:val="none"/>
          <w:lang w:val="en-US" w:eastAsia="zh-CN" w:bidi="ar-SA"/>
        </w:rPr>
        <w:t>根据相关应急预案，</w:t>
      </w:r>
      <w:r>
        <w:rPr>
          <w:rFonts w:hint="eastAsia" w:ascii="仿宋_GB2312" w:eastAsia="仿宋_GB2312" w:cs="Times New Roman"/>
          <w:color w:val="auto"/>
          <w:kern w:val="2"/>
          <w:sz w:val="32"/>
          <w:szCs w:val="32"/>
          <w:highlight w:val="none"/>
          <w:lang w:val="en-US" w:eastAsia="zh-CN" w:bidi="ar-SA"/>
        </w:rPr>
        <w:t>旗卫生健康委员会</w:t>
      </w:r>
      <w:r>
        <w:rPr>
          <w:rFonts w:ascii="仿宋_GB2312" w:hAnsi="Calibri" w:eastAsia="仿宋_GB2312" w:cs="Times New Roman"/>
          <w:color w:val="auto"/>
          <w:kern w:val="2"/>
          <w:sz w:val="32"/>
          <w:szCs w:val="32"/>
          <w:highlight w:val="none"/>
          <w:lang w:val="en-US" w:eastAsia="zh-CN" w:bidi="ar-SA"/>
        </w:rPr>
        <w:t>快速组织医疗救护队伍进入事故现场安全区域，对伤员进行救治，做好后续跟踪工作。会同市场监管、水</w:t>
      </w:r>
      <w:r>
        <w:rPr>
          <w:rFonts w:hint="eastAsia" w:ascii="仿宋_GB2312" w:eastAsia="仿宋_GB2312" w:cs="Times New Roman"/>
          <w:color w:val="auto"/>
          <w:kern w:val="2"/>
          <w:sz w:val="32"/>
          <w:szCs w:val="32"/>
          <w:highlight w:val="none"/>
          <w:lang w:val="en-US" w:eastAsia="zh-CN" w:bidi="ar-SA"/>
        </w:rPr>
        <w:t>利</w:t>
      </w:r>
      <w:r>
        <w:rPr>
          <w:rFonts w:ascii="仿宋_GB2312" w:hAnsi="Calibri" w:eastAsia="仿宋_GB2312" w:cs="Times New Roman"/>
          <w:color w:val="auto"/>
          <w:kern w:val="2"/>
          <w:sz w:val="32"/>
          <w:szCs w:val="32"/>
          <w:highlight w:val="none"/>
          <w:lang w:val="en-US" w:eastAsia="zh-CN" w:bidi="ar-SA"/>
        </w:rPr>
        <w:t>、生态环境等部门及时检查、监测事故发生区的食品、饮用水安全情况。</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楷体_GB2312" w:hAnsi="楷体_GB2312" w:eastAsia="楷体_GB2312" w:cs="楷体_GB2312"/>
          <w:color w:val="auto"/>
          <w:lang w:val="en-US" w:eastAsia="zh-CN"/>
        </w:rPr>
      </w:pPr>
      <w:bookmarkStart w:id="101" w:name="_Toc17237"/>
      <w:r>
        <w:rPr>
          <w:rFonts w:hint="eastAsia" w:ascii="楷体_GB2312" w:hAnsi="楷体_GB2312" w:eastAsia="楷体_GB2312" w:cs="楷体_GB2312"/>
          <w:color w:val="auto"/>
          <w:lang w:val="en-US" w:eastAsia="zh-CN"/>
        </w:rPr>
        <w:t>8.5技术保障</w:t>
      </w:r>
      <w:bookmarkEnd w:id="101"/>
      <w:r>
        <w:rPr>
          <w:rFonts w:hint="eastAsia" w:ascii="楷体_GB2312" w:hAnsi="楷体_GB2312" w:eastAsia="楷体_GB2312" w:cs="楷体_GB2312"/>
          <w:color w:val="auto"/>
          <w:lang w:val="en-US" w:eastAsia="zh-CN"/>
        </w:rPr>
        <w:t xml:space="preserve"> </w:t>
      </w:r>
    </w:p>
    <w:p>
      <w:pPr>
        <w:keepNext w:val="0"/>
        <w:keepLines w:val="0"/>
        <w:pageBreakBefore w:val="0"/>
        <w:widowControl w:val="0"/>
        <w:kinsoku/>
        <w:wordWrap/>
        <w:overflowPunct w:val="0"/>
        <w:topLinePunct/>
        <w:autoSpaceDE w:val="0"/>
        <w:autoSpaceDN w:val="0"/>
        <w:bidi w:val="0"/>
        <w:adjustRightInd/>
        <w:snapToGrid/>
        <w:spacing w:line="560" w:lineRule="exact"/>
        <w:ind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指挥部办公室应当牵头建立</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级管道安全事故应急救援专家库，为应急救援提供技术支持和保障。充分发挥相关行业、领域的机构和专家的作用，研发专业处置技术，强化技术支撑。管道企业应当加强管道运行安全应急信息化平台建设，着重开展信息化系统安全防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color w:val="auto"/>
          <w:sz w:val="32"/>
          <w:szCs w:val="32"/>
          <w:lang w:val="en-US" w:eastAsia="zh-CN"/>
        </w:rPr>
      </w:pPr>
      <w:bookmarkStart w:id="102" w:name="_Toc1603"/>
      <w:bookmarkStart w:id="103" w:name="_Toc26409"/>
      <w:r>
        <w:rPr>
          <w:rFonts w:hint="eastAsia" w:ascii="黑体" w:hAnsi="黑体" w:eastAsia="黑体" w:cs="黑体"/>
          <w:color w:val="auto"/>
          <w:sz w:val="32"/>
          <w:szCs w:val="32"/>
          <w:lang w:val="en-US" w:eastAsia="zh-CN"/>
        </w:rPr>
        <w:t>9附则</w:t>
      </w:r>
      <w:bookmarkEnd w:id="102"/>
      <w:bookmarkEnd w:id="103"/>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楷体_GB2312" w:hAnsi="楷体_GB2312" w:eastAsia="楷体_GB2312" w:cs="楷体_GB2312"/>
          <w:color w:val="auto"/>
          <w:lang w:val="en-US" w:eastAsia="zh-CN"/>
        </w:rPr>
      </w:pPr>
      <w:bookmarkStart w:id="104" w:name="_Toc784"/>
      <w:bookmarkStart w:id="105" w:name="_Toc20991"/>
      <w:r>
        <w:rPr>
          <w:rFonts w:hint="eastAsia" w:ascii="楷体_GB2312" w:hAnsi="楷体_GB2312" w:eastAsia="楷体_GB2312" w:cs="楷体_GB2312"/>
          <w:color w:val="auto"/>
          <w:lang w:val="en-US" w:eastAsia="zh-CN"/>
        </w:rPr>
        <w:t>9.1预案的宣传、培训和演练</w:t>
      </w:r>
      <w:bookmarkEnd w:id="104"/>
      <w:bookmarkEnd w:id="105"/>
    </w:p>
    <w:p>
      <w:pPr>
        <w:pStyle w:val="2"/>
        <w:keepNext w:val="0"/>
        <w:keepLines w:val="0"/>
        <w:pageBreakBefore w:val="0"/>
        <w:widowControl w:val="0"/>
        <w:kinsoku/>
        <w:wordWrap/>
        <w:overflowPunct w:val="0"/>
        <w:topLinePunct/>
        <w:autoSpaceDE w:val="0"/>
        <w:autoSpaceDN w:val="0"/>
        <w:bidi w:val="0"/>
        <w:adjustRightInd/>
        <w:snapToGrid/>
        <w:spacing w:after="0" w:line="560" w:lineRule="exact"/>
        <w:ind w:left="0" w:leftChars="0"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9.1.1宣传教育</w:t>
      </w:r>
    </w:p>
    <w:p>
      <w:pPr>
        <w:pStyle w:val="2"/>
        <w:keepNext w:val="0"/>
        <w:keepLines w:val="0"/>
        <w:pageBreakBefore w:val="0"/>
        <w:widowControl w:val="0"/>
        <w:kinsoku/>
        <w:wordWrap/>
        <w:overflowPunct w:val="0"/>
        <w:topLinePunct/>
        <w:autoSpaceDE w:val="0"/>
        <w:autoSpaceDN w:val="0"/>
        <w:bidi w:val="0"/>
        <w:adjustRightInd/>
        <w:snapToGrid/>
        <w:spacing w:after="0" w:line="560" w:lineRule="exact"/>
        <w:ind w:left="0" w:leftChars="0"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指挥部办公室、旗宣传部门组织协调，充分利用各类媒体，有针对性开展管道安全事故应急知识的宣传教育。管道企业面向单位职工以及周边受影响群众开展管道安全事故应急救援有关法律法规，以及管道安全事故预防、避险、避灾、自救、互救等基本常识的宣传教育。</w:t>
      </w:r>
    </w:p>
    <w:p>
      <w:pPr>
        <w:pStyle w:val="2"/>
        <w:keepNext w:val="0"/>
        <w:keepLines w:val="0"/>
        <w:pageBreakBefore w:val="0"/>
        <w:widowControl w:val="0"/>
        <w:kinsoku/>
        <w:wordWrap/>
        <w:overflowPunct w:val="0"/>
        <w:topLinePunct/>
        <w:autoSpaceDE w:val="0"/>
        <w:autoSpaceDN w:val="0"/>
        <w:bidi w:val="0"/>
        <w:adjustRightInd/>
        <w:snapToGrid/>
        <w:spacing w:after="0" w:line="560" w:lineRule="exact"/>
        <w:ind w:left="0" w:leftChars="0"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9.1.2培训</w:t>
      </w:r>
    </w:p>
    <w:p>
      <w:pPr>
        <w:pStyle w:val="2"/>
        <w:keepNext w:val="0"/>
        <w:keepLines w:val="0"/>
        <w:pageBreakBefore w:val="0"/>
        <w:widowControl w:val="0"/>
        <w:kinsoku/>
        <w:wordWrap/>
        <w:overflowPunct w:val="0"/>
        <w:topLinePunct/>
        <w:autoSpaceDE w:val="0"/>
        <w:autoSpaceDN w:val="0"/>
        <w:bidi w:val="0"/>
        <w:adjustRightInd/>
        <w:snapToGrid/>
        <w:spacing w:after="0" w:line="560" w:lineRule="exact"/>
        <w:ind w:left="0" w:leftChars="0"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旗指挥部办公室、旗应急管理局、旗消防救援大队等加强对相关应急救援队伍的业务培训，提高应急救援能力和安全防护技能。管道企业要加强对从业人员的安全知识、安全技能、应急救援的培训。</w:t>
      </w:r>
    </w:p>
    <w:p>
      <w:pPr>
        <w:pStyle w:val="2"/>
        <w:keepNext w:val="0"/>
        <w:keepLines w:val="0"/>
        <w:pageBreakBefore w:val="0"/>
        <w:widowControl w:val="0"/>
        <w:kinsoku/>
        <w:wordWrap/>
        <w:overflowPunct w:val="0"/>
        <w:topLinePunct/>
        <w:autoSpaceDE w:val="0"/>
        <w:autoSpaceDN w:val="0"/>
        <w:bidi w:val="0"/>
        <w:adjustRightInd/>
        <w:snapToGrid/>
        <w:spacing w:after="0" w:line="560" w:lineRule="exact"/>
        <w:ind w:left="0" w:leftChars="0"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9.1.3演练</w:t>
      </w:r>
    </w:p>
    <w:p>
      <w:pPr>
        <w:pStyle w:val="2"/>
        <w:keepNext w:val="0"/>
        <w:keepLines w:val="0"/>
        <w:pageBreakBefore w:val="0"/>
        <w:widowControl w:val="0"/>
        <w:kinsoku/>
        <w:wordWrap/>
        <w:overflowPunct w:val="0"/>
        <w:topLinePunct/>
        <w:autoSpaceDE w:val="0"/>
        <w:autoSpaceDN w:val="0"/>
        <w:bidi w:val="0"/>
        <w:adjustRightInd/>
        <w:snapToGrid/>
        <w:spacing w:after="0" w:line="560" w:lineRule="exact"/>
        <w:ind w:left="0" w:leftChars="0"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旗指挥部办公室及负有安全生产监督管理职责</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的部门，应当至少每</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年组织1次</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管道</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 xml:space="preserve">安全事故应急预案演练。 </w:t>
      </w:r>
    </w:p>
    <w:p>
      <w:pPr>
        <w:pStyle w:val="2"/>
        <w:keepNext w:val="0"/>
        <w:keepLines w:val="0"/>
        <w:pageBreakBefore w:val="0"/>
        <w:widowControl w:val="0"/>
        <w:kinsoku/>
        <w:wordWrap/>
        <w:overflowPunct w:val="0"/>
        <w:topLinePunct/>
        <w:autoSpaceDE w:val="0"/>
        <w:autoSpaceDN w:val="0"/>
        <w:bidi w:val="0"/>
        <w:adjustRightInd/>
        <w:snapToGrid/>
        <w:spacing w:after="0" w:line="560" w:lineRule="exact"/>
        <w:ind w:left="0" w:leftChars="0" w:firstLine="640"/>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管道企业</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应当制定本单位的应急预案演练计划，根据本单位的事故风险特点，每年至少组织1次综合应急预案演练或者专项应急预案演练，每半年至少组织1次现场处置方案演练，并将演练情况报送</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旗能源局</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w:t>
      </w:r>
    </w:p>
    <w:p>
      <w:pPr>
        <w:pStyle w:val="2"/>
        <w:keepNext w:val="0"/>
        <w:keepLines w:val="0"/>
        <w:pageBreakBefore w:val="0"/>
        <w:widowControl w:val="0"/>
        <w:kinsoku/>
        <w:wordWrap/>
        <w:overflowPunct w:val="0"/>
        <w:topLinePunct/>
        <w:autoSpaceDE w:val="0"/>
        <w:autoSpaceDN w:val="0"/>
        <w:bidi w:val="0"/>
        <w:adjustRightInd/>
        <w:snapToGrid/>
        <w:spacing w:after="0" w:line="560" w:lineRule="exact"/>
        <w:ind w:left="0" w:leftChars="0"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法律、法规有特殊要求的，按照其要求执行。</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楷体_GB2312" w:hAnsi="楷体_GB2312" w:eastAsia="楷体_GB2312" w:cs="楷体_GB2312"/>
          <w:color w:val="auto"/>
          <w:lang w:val="en-US" w:eastAsia="zh-CN"/>
        </w:rPr>
      </w:pPr>
      <w:bookmarkStart w:id="106" w:name="_Toc31161"/>
      <w:bookmarkStart w:id="107" w:name="_Toc16743"/>
      <w:r>
        <w:rPr>
          <w:rFonts w:hint="eastAsia" w:ascii="楷体_GB2312" w:hAnsi="楷体_GB2312" w:eastAsia="楷体_GB2312" w:cs="楷体_GB2312"/>
          <w:color w:val="auto"/>
          <w:lang w:val="en-US" w:eastAsia="zh-CN"/>
        </w:rPr>
        <w:t>9.2预案管理与更新</w:t>
      </w:r>
      <w:bookmarkEnd w:id="106"/>
      <w:bookmarkEnd w:id="107"/>
    </w:p>
    <w:p>
      <w:pPr>
        <w:pStyle w:val="2"/>
        <w:keepNext w:val="0"/>
        <w:keepLines w:val="0"/>
        <w:pageBreakBefore w:val="0"/>
        <w:widowControl w:val="0"/>
        <w:numPr>
          <w:ilvl w:val="0"/>
          <w:numId w:val="0"/>
        </w:numPr>
        <w:kinsoku/>
        <w:wordWrap/>
        <w:overflowPunct w:val="0"/>
        <w:topLinePunct/>
        <w:autoSpaceDE w:val="0"/>
        <w:autoSpaceDN w:val="0"/>
        <w:bidi w:val="0"/>
        <w:adjustRightInd/>
        <w:snapToGrid/>
        <w:spacing w:after="0" w:line="560" w:lineRule="exact"/>
        <w:ind w:leftChars="0"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（1）本预案由旗能源局制定，报旗人民政府批准，由旗人民政府办公室印发后实施。</w:t>
      </w:r>
    </w:p>
    <w:p>
      <w:pPr>
        <w:pStyle w:val="2"/>
        <w:keepNext w:val="0"/>
        <w:keepLines w:val="0"/>
        <w:pageBreakBefore w:val="0"/>
        <w:widowControl w:val="0"/>
        <w:numPr>
          <w:ilvl w:val="0"/>
          <w:numId w:val="0"/>
        </w:numPr>
        <w:kinsoku/>
        <w:wordWrap/>
        <w:overflowPunct w:val="0"/>
        <w:topLinePunct/>
        <w:autoSpaceDE w:val="0"/>
        <w:autoSpaceDN w:val="0"/>
        <w:bidi w:val="0"/>
        <w:adjustRightInd/>
        <w:snapToGrid/>
        <w:spacing w:after="0" w:line="560" w:lineRule="exact"/>
        <w:ind w:leftChars="0"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（2）旗指挥部办公室应定期评估，分析评价预案内容的针对性、实用性和可操作性，实现应急预案的动态优化和科学规范管理。</w:t>
      </w:r>
    </w:p>
    <w:p>
      <w:pPr>
        <w:pStyle w:val="2"/>
        <w:keepNext w:val="0"/>
        <w:keepLines w:val="0"/>
        <w:pageBreakBefore w:val="0"/>
        <w:widowControl w:val="0"/>
        <w:numPr>
          <w:ilvl w:val="0"/>
          <w:numId w:val="0"/>
        </w:numPr>
        <w:kinsoku/>
        <w:wordWrap/>
        <w:overflowPunct w:val="0"/>
        <w:topLinePunct/>
        <w:autoSpaceDE w:val="0"/>
        <w:autoSpaceDN w:val="0"/>
        <w:bidi w:val="0"/>
        <w:adjustRightInd/>
        <w:snapToGrid/>
        <w:spacing w:after="0" w:line="560" w:lineRule="exact"/>
        <w:ind w:leftChars="0"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（3）有下列情形之一的，应当及时修订应急预案；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①有关法律、法规、规章、标准和上位预案中的有关规定发生变化的；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②应急指挥机构及其职责发生重大调整的；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③面临的风险发生重大变化的；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④重要应急资源发生重大变化的；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⑤预案中的其他重要信息发生变化的；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⑥在突发事件实际应对和应急演练中发现问题需要作出重大调整的；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⑦应急预案制定单位认为应当修订的其他情况。</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楷体_GB2312" w:hAnsi="楷体_GB2312" w:eastAsia="楷体_GB2312" w:cs="楷体_GB2312"/>
          <w:color w:val="auto"/>
          <w:lang w:val="en-US" w:eastAsia="zh-CN"/>
        </w:rPr>
      </w:pPr>
      <w:bookmarkStart w:id="108" w:name="_Toc2760"/>
      <w:bookmarkStart w:id="109" w:name="_Toc27345"/>
      <w:r>
        <w:rPr>
          <w:rFonts w:hint="eastAsia" w:ascii="楷体_GB2312" w:hAnsi="楷体_GB2312" w:eastAsia="楷体_GB2312" w:cs="楷体_GB2312"/>
          <w:color w:val="auto"/>
          <w:lang w:val="en-US" w:eastAsia="zh-CN"/>
        </w:rPr>
        <w:t>9.3预案解释</w:t>
      </w:r>
      <w:bookmarkEnd w:id="108"/>
      <w:bookmarkEnd w:id="109"/>
    </w:p>
    <w:p>
      <w:pPr>
        <w:pStyle w:val="2"/>
        <w:keepNext w:val="0"/>
        <w:keepLines w:val="0"/>
        <w:pageBreakBefore w:val="0"/>
        <w:widowControl w:val="0"/>
        <w:kinsoku/>
        <w:wordWrap/>
        <w:overflowPunct w:val="0"/>
        <w:topLinePunct/>
        <w:autoSpaceDE w:val="0"/>
        <w:autoSpaceDN w:val="0"/>
        <w:bidi w:val="0"/>
        <w:adjustRightInd/>
        <w:snapToGrid/>
        <w:spacing w:after="0" w:line="560" w:lineRule="exact"/>
        <w:ind w:left="0" w:leftChars="0"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本预案由旗能源局局负责解释。</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楷体_GB2312" w:hAnsi="楷体_GB2312" w:eastAsia="楷体_GB2312" w:cs="楷体_GB2312"/>
          <w:color w:val="auto"/>
          <w:lang w:val="en-US" w:eastAsia="zh-CN"/>
        </w:rPr>
      </w:pPr>
      <w:bookmarkStart w:id="110" w:name="_Toc31114"/>
      <w:bookmarkStart w:id="111" w:name="_Toc15297"/>
      <w:r>
        <w:rPr>
          <w:rFonts w:hint="eastAsia" w:ascii="楷体_GB2312" w:hAnsi="楷体_GB2312" w:eastAsia="楷体_GB2312" w:cs="楷体_GB2312"/>
          <w:color w:val="auto"/>
          <w:lang w:val="en-US" w:eastAsia="zh-CN"/>
        </w:rPr>
        <w:t>9.4预案实施时间</w:t>
      </w:r>
      <w:bookmarkEnd w:id="110"/>
      <w:bookmarkEnd w:id="111"/>
    </w:p>
    <w:p>
      <w:pPr>
        <w:pStyle w:val="2"/>
        <w:keepNext w:val="0"/>
        <w:keepLines w:val="0"/>
        <w:pageBreakBefore w:val="0"/>
        <w:widowControl w:val="0"/>
        <w:kinsoku/>
        <w:wordWrap/>
        <w:overflowPunct w:val="0"/>
        <w:topLinePunct/>
        <w:autoSpaceDE w:val="0"/>
        <w:autoSpaceDN w:val="0"/>
        <w:bidi w:val="0"/>
        <w:adjustRightInd/>
        <w:snapToGrid/>
        <w:spacing w:after="0" w:line="560" w:lineRule="exact"/>
        <w:ind w:left="0" w:leftChars="0"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本预案自印发之日起施行。</w:t>
      </w:r>
    </w:p>
    <w:p>
      <w:pPr>
        <w:pStyle w:val="2"/>
        <w:keepNext w:val="0"/>
        <w:keepLines w:val="0"/>
        <w:pageBreakBefore w:val="0"/>
        <w:widowControl w:val="0"/>
        <w:kinsoku/>
        <w:wordWrap/>
        <w:overflowPunct w:val="0"/>
        <w:topLinePunct/>
        <w:autoSpaceDE w:val="0"/>
        <w:autoSpaceDN w:val="0"/>
        <w:bidi w:val="0"/>
        <w:adjustRightInd/>
        <w:snapToGrid/>
        <w:spacing w:after="0" w:line="560" w:lineRule="exact"/>
        <w:ind w:left="0" w:leftChars="0"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附件：1.管道安全事故分级标准</w:t>
      </w:r>
    </w:p>
    <w:p>
      <w:pPr>
        <w:pStyle w:val="2"/>
        <w:keepNext w:val="0"/>
        <w:keepLines w:val="0"/>
        <w:pageBreakBefore w:val="0"/>
        <w:widowControl w:val="0"/>
        <w:kinsoku/>
        <w:wordWrap/>
        <w:overflowPunct w:val="0"/>
        <w:topLinePunct/>
        <w:autoSpaceDE w:val="0"/>
        <w:autoSpaceDN w:val="0"/>
        <w:bidi w:val="0"/>
        <w:adjustRightInd/>
        <w:snapToGrid/>
        <w:spacing w:after="0" w:line="560" w:lineRule="exact"/>
        <w:ind w:left="0" w:leftChars="0" w:firstLine="1600" w:firstLineChars="5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2.旗指挥部成员职责</w:t>
      </w:r>
    </w:p>
    <w:p>
      <w:pPr>
        <w:keepNext w:val="0"/>
        <w:keepLines w:val="0"/>
        <w:pageBreakBefore w:val="0"/>
        <w:widowControl w:val="0"/>
        <w:kinsoku/>
        <w:wordWrap/>
        <w:bidi w:val="0"/>
        <w:adjustRightInd/>
        <w:snapToGrid/>
        <w:spacing w:line="560" w:lineRule="exact"/>
        <w:ind w:firstLine="1600" w:firstLineChars="5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3.现场指挥部工作组组成及职责</w:t>
      </w:r>
    </w:p>
    <w:p>
      <w:pPr>
        <w:keepNext w:val="0"/>
        <w:keepLines w:val="0"/>
        <w:pageBreakBefore w:val="0"/>
        <w:widowControl w:val="0"/>
        <w:kinsoku/>
        <w:wordWrap/>
        <w:bidi w:val="0"/>
        <w:adjustRightInd/>
        <w:snapToGrid/>
        <w:spacing w:line="560" w:lineRule="exact"/>
        <w:ind w:firstLine="1600" w:firstLineChars="5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4.各部门应急值班电话</w:t>
      </w:r>
    </w:p>
    <w:p>
      <w:pPr>
        <w:keepNext w:val="0"/>
        <w:keepLines w:val="0"/>
        <w:pageBreakBefore w:val="0"/>
        <w:widowControl w:val="0"/>
        <w:kinsoku/>
        <w:wordWrap/>
        <w:bidi w:val="0"/>
        <w:adjustRightInd/>
        <w:snapToGrid/>
        <w:spacing w:line="560" w:lineRule="exact"/>
        <w:ind w:firstLine="1600" w:firstLineChars="5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5.旗应急救援队伍情况表</w:t>
      </w:r>
    </w:p>
    <w:p>
      <w:pPr>
        <w:pStyle w:val="2"/>
        <w:keepNext w:val="0"/>
        <w:keepLines w:val="0"/>
        <w:pageBreakBefore w:val="0"/>
        <w:widowControl w:val="0"/>
        <w:kinsoku/>
        <w:wordWrap/>
        <w:overflowPunct w:val="0"/>
        <w:topLinePunct/>
        <w:autoSpaceDE w:val="0"/>
        <w:autoSpaceDN w:val="0"/>
        <w:bidi w:val="0"/>
        <w:adjustRightInd/>
        <w:snapToGrid/>
        <w:spacing w:after="0" w:line="560" w:lineRule="exact"/>
        <w:ind w:left="0" w:leftChars="0" w:firstLine="1600" w:firstLineChars="5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6.管道安全事故应急处置流程图</w:t>
      </w:r>
    </w:p>
    <w:p>
      <w:pPr>
        <w:pStyle w:val="2"/>
        <w:rPr>
          <w:rFonts w:hint="eastAsia"/>
          <w:color w:val="auto"/>
          <w:lang w:val="en-US" w:eastAsia="zh-CN"/>
        </w:rPr>
      </w:pPr>
    </w:p>
    <w:p>
      <w:pPr>
        <w:rPr>
          <w:rFonts w:hint="eastAsia" w:ascii="仿宋_GB2312" w:hAnsi="仿宋_GB2312" w:eastAsia="仿宋_GB2312" w:cs="仿宋_GB2312"/>
          <w:i w:val="0"/>
          <w:iCs w:val="0"/>
          <w:caps w:val="0"/>
          <w:color w:val="auto"/>
          <w:spacing w:val="0"/>
          <w:sz w:val="32"/>
          <w:szCs w:val="32"/>
          <w:shd w:val="clear" w:fill="FFFFFF"/>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i w:val="0"/>
          <w:iCs w:val="0"/>
          <w:caps w:val="0"/>
          <w:color w:val="auto"/>
          <w:spacing w:val="0"/>
          <w:sz w:val="32"/>
          <w:szCs w:val="32"/>
          <w:shd w:val="clear" w:fill="FFFFFF"/>
          <w:lang w:val="en-US" w:eastAsia="zh-CN"/>
        </w:rPr>
        <w:br w:type="page"/>
      </w:r>
    </w:p>
    <w:p>
      <w:pPr>
        <w:pStyle w:val="5"/>
        <w:pageBreakBefore w:val="0"/>
        <w:numPr>
          <w:ilvl w:val="0"/>
          <w:numId w:val="0"/>
        </w:numPr>
        <w:kinsoku/>
        <w:wordWrap/>
        <w:bidi w:val="0"/>
        <w:adjustRightInd/>
        <w:snapToGrid/>
        <w:spacing w:before="0" w:after="0" w:line="560" w:lineRule="exact"/>
        <w:textAlignment w:val="auto"/>
        <w:rPr>
          <w:rFonts w:hint="eastAsia" w:ascii="黑体" w:hAnsi="黑体" w:cs="黑体"/>
          <w:color w:val="auto"/>
          <w:lang w:val="en-US" w:eastAsia="zh-CN"/>
        </w:rPr>
      </w:pPr>
      <w:bookmarkStart w:id="112" w:name="_Toc21315"/>
      <w:bookmarkStart w:id="113" w:name="_Toc22401"/>
      <w:bookmarkStart w:id="114" w:name="_Toc8840"/>
      <w:bookmarkStart w:id="115" w:name="_Toc12357"/>
      <w:r>
        <w:rPr>
          <w:rFonts w:hint="eastAsia" w:ascii="黑体" w:hAnsi="黑体" w:cs="黑体"/>
          <w:color w:val="auto"/>
          <w:lang w:val="en-US" w:eastAsia="zh-CN"/>
        </w:rPr>
        <w:t>附件1</w:t>
      </w:r>
      <w:bookmarkEnd w:id="112"/>
      <w:bookmarkEnd w:id="113"/>
      <w:bookmarkEnd w:id="114"/>
    </w:p>
    <w:p>
      <w:pPr>
        <w:pStyle w:val="7"/>
        <w:rPr>
          <w:rFonts w:hint="eastAsia"/>
          <w:color w:val="auto"/>
          <w:lang w:val="en-US" w:eastAsia="zh-CN"/>
        </w:rPr>
      </w:pPr>
    </w:p>
    <w:p>
      <w:pPr>
        <w:pStyle w:val="5"/>
        <w:pageBreakBefore w:val="0"/>
        <w:numPr>
          <w:ilvl w:val="0"/>
          <w:numId w:val="0"/>
        </w:numPr>
        <w:kinsoku/>
        <w:wordWrap/>
        <w:bidi w:val="0"/>
        <w:adjustRightInd/>
        <w:snapToGrid/>
        <w:spacing w:before="0" w:after="0"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116" w:name="_Toc26322"/>
      <w:bookmarkStart w:id="117" w:name="_Toc24083"/>
      <w:r>
        <w:rPr>
          <w:rFonts w:hint="eastAsia" w:ascii="方正小标宋简体" w:hAnsi="方正小标宋简体" w:eastAsia="方正小标宋简体" w:cs="方正小标宋简体"/>
          <w:color w:val="auto"/>
          <w:sz w:val="44"/>
          <w:szCs w:val="44"/>
          <w:lang w:val="en-US" w:eastAsia="zh-CN"/>
        </w:rPr>
        <w:t>管道安全事故分级标准</w:t>
      </w:r>
      <w:bookmarkEnd w:id="115"/>
      <w:bookmarkEnd w:id="116"/>
      <w:bookmarkEnd w:id="117"/>
    </w:p>
    <w:p>
      <w:pPr>
        <w:pStyle w:val="7"/>
        <w:rPr>
          <w:rFonts w:hint="eastAsia"/>
          <w:color w:val="auto"/>
          <w:lang w:val="en-US" w:eastAsia="zh-CN"/>
        </w:rPr>
      </w:pPr>
    </w:p>
    <w:p>
      <w:pPr>
        <w:keepNext w:val="0"/>
        <w:keepLines w:val="0"/>
        <w:pageBreakBefore w:val="0"/>
        <w:widowControl w:val="0"/>
        <w:kinsoku/>
        <w:wordWrap/>
        <w:overflowPunct w:val="0"/>
        <w:topLinePunct/>
        <w:autoSpaceDE w:val="0"/>
        <w:autoSpaceDN w:val="0"/>
        <w:bidi w:val="0"/>
        <w:adjustRightInd/>
        <w:snapToGrid/>
        <w:spacing w:line="560" w:lineRule="exact"/>
        <w:ind w:firstLine="640"/>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一、特别重大石油天然气长输管道安全事故</w:t>
      </w:r>
    </w:p>
    <w:p>
      <w:pPr>
        <w:keepNext w:val="0"/>
        <w:keepLines w:val="0"/>
        <w:pageBreakBefore w:val="0"/>
        <w:widowControl w:val="0"/>
        <w:kinsoku/>
        <w:wordWrap/>
        <w:overflowPunct w:val="0"/>
        <w:topLinePunct/>
        <w:autoSpaceDE w:val="0"/>
        <w:autoSpaceDN w:val="0"/>
        <w:bidi w:val="0"/>
        <w:adjustRightInd/>
        <w:snapToGrid/>
        <w:spacing w:line="560" w:lineRule="exact"/>
        <w:ind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（一）造成30人以上死亡（含失踪），或者100人以上重伤（急</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 xml:space="preserve">性中毒）； </w:t>
      </w:r>
    </w:p>
    <w:p>
      <w:pPr>
        <w:keepNext w:val="0"/>
        <w:keepLines w:val="0"/>
        <w:pageBreakBefore w:val="0"/>
        <w:widowControl w:val="0"/>
        <w:kinsoku/>
        <w:wordWrap/>
        <w:overflowPunct w:val="0"/>
        <w:topLinePunct/>
        <w:autoSpaceDE w:val="0"/>
        <w:autoSpaceDN w:val="0"/>
        <w:bidi w:val="0"/>
        <w:adjustRightInd/>
        <w:snapToGrid/>
        <w:spacing w:line="560" w:lineRule="exact"/>
        <w:ind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 xml:space="preserve">（二）直接经济损失达1亿元以上。 </w:t>
      </w:r>
    </w:p>
    <w:p>
      <w:pPr>
        <w:keepNext w:val="0"/>
        <w:keepLines w:val="0"/>
        <w:pageBreakBefore w:val="0"/>
        <w:widowControl w:val="0"/>
        <w:kinsoku/>
        <w:wordWrap/>
        <w:overflowPunct w:val="0"/>
        <w:topLinePunct/>
        <w:autoSpaceDE w:val="0"/>
        <w:autoSpaceDN w:val="0"/>
        <w:bidi w:val="0"/>
        <w:adjustRightInd/>
        <w:snapToGrid/>
        <w:spacing w:line="560" w:lineRule="exact"/>
        <w:ind w:firstLine="640"/>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 xml:space="preserve">二、重大石油天然气长输管道安全事故 </w:t>
      </w:r>
    </w:p>
    <w:p>
      <w:pPr>
        <w:keepNext w:val="0"/>
        <w:keepLines w:val="0"/>
        <w:pageBreakBefore w:val="0"/>
        <w:widowControl w:val="0"/>
        <w:kinsoku/>
        <w:wordWrap/>
        <w:overflowPunct w:val="0"/>
        <w:topLinePunct/>
        <w:autoSpaceDE w:val="0"/>
        <w:autoSpaceDN w:val="0"/>
        <w:bidi w:val="0"/>
        <w:adjustRightInd/>
        <w:snapToGrid/>
        <w:spacing w:line="560" w:lineRule="exact"/>
        <w:ind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 xml:space="preserve">（一）造成10人以上30人以下死亡（含失踪），或者50人以上100人以下重伤（急性中毒）； </w:t>
      </w:r>
    </w:p>
    <w:p>
      <w:pPr>
        <w:keepNext w:val="0"/>
        <w:keepLines w:val="0"/>
        <w:pageBreakBefore w:val="0"/>
        <w:widowControl w:val="0"/>
        <w:kinsoku/>
        <w:wordWrap/>
        <w:overflowPunct w:val="0"/>
        <w:topLinePunct/>
        <w:autoSpaceDE w:val="0"/>
        <w:autoSpaceDN w:val="0"/>
        <w:bidi w:val="0"/>
        <w:adjustRightInd/>
        <w:snapToGrid/>
        <w:spacing w:line="560" w:lineRule="exact"/>
        <w:ind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 xml:space="preserve">（二）直接经济损失达5000万元以上1亿元以下。 </w:t>
      </w:r>
    </w:p>
    <w:p>
      <w:pPr>
        <w:keepNext w:val="0"/>
        <w:keepLines w:val="0"/>
        <w:pageBreakBefore w:val="0"/>
        <w:widowControl w:val="0"/>
        <w:kinsoku/>
        <w:wordWrap/>
        <w:overflowPunct w:val="0"/>
        <w:topLinePunct/>
        <w:autoSpaceDE w:val="0"/>
        <w:autoSpaceDN w:val="0"/>
        <w:bidi w:val="0"/>
        <w:adjustRightInd/>
        <w:snapToGrid/>
        <w:spacing w:line="560" w:lineRule="exact"/>
        <w:ind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三、较大石油天然气长输管道安全事故（Ⅲ级）</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w:t>
      </w:r>
    </w:p>
    <w:p>
      <w:pPr>
        <w:keepNext w:val="0"/>
        <w:keepLines w:val="0"/>
        <w:pageBreakBefore w:val="0"/>
        <w:widowControl w:val="0"/>
        <w:kinsoku/>
        <w:wordWrap/>
        <w:overflowPunct w:val="0"/>
        <w:topLinePunct/>
        <w:autoSpaceDE w:val="0"/>
        <w:autoSpaceDN w:val="0"/>
        <w:bidi w:val="0"/>
        <w:adjustRightInd/>
        <w:snapToGrid/>
        <w:spacing w:line="560" w:lineRule="exact"/>
        <w:ind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 xml:space="preserve">（一）造成3人以上10人以下死亡（含失踪），或者10人以上50人以下重伤（急性中毒）； </w:t>
      </w:r>
    </w:p>
    <w:p>
      <w:pPr>
        <w:keepNext w:val="0"/>
        <w:keepLines w:val="0"/>
        <w:pageBreakBefore w:val="0"/>
        <w:widowControl w:val="0"/>
        <w:kinsoku/>
        <w:wordWrap/>
        <w:overflowPunct w:val="0"/>
        <w:topLinePunct/>
        <w:autoSpaceDE w:val="0"/>
        <w:autoSpaceDN w:val="0"/>
        <w:bidi w:val="0"/>
        <w:adjustRightInd/>
        <w:snapToGrid/>
        <w:spacing w:line="560" w:lineRule="exact"/>
        <w:ind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 xml:space="preserve">（二）直接经济损失达1000万元以上5000万元以下。 </w:t>
      </w:r>
    </w:p>
    <w:p>
      <w:pPr>
        <w:keepNext w:val="0"/>
        <w:keepLines w:val="0"/>
        <w:pageBreakBefore w:val="0"/>
        <w:widowControl w:val="0"/>
        <w:kinsoku/>
        <w:wordWrap/>
        <w:overflowPunct w:val="0"/>
        <w:topLinePunct/>
        <w:autoSpaceDE w:val="0"/>
        <w:autoSpaceDN w:val="0"/>
        <w:bidi w:val="0"/>
        <w:adjustRightInd/>
        <w:snapToGrid/>
        <w:spacing w:line="560" w:lineRule="exact"/>
        <w:ind w:firstLine="640"/>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 xml:space="preserve">四、一般石油天然气长输管道安全事故 </w:t>
      </w:r>
    </w:p>
    <w:p>
      <w:pPr>
        <w:keepNext w:val="0"/>
        <w:keepLines w:val="0"/>
        <w:pageBreakBefore w:val="0"/>
        <w:widowControl w:val="0"/>
        <w:kinsoku/>
        <w:wordWrap/>
        <w:overflowPunct w:val="0"/>
        <w:topLinePunct/>
        <w:autoSpaceDE w:val="0"/>
        <w:autoSpaceDN w:val="0"/>
        <w:bidi w:val="0"/>
        <w:adjustRightInd/>
        <w:snapToGrid/>
        <w:spacing w:line="560" w:lineRule="exact"/>
        <w:ind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 xml:space="preserve">（一）造成3人以下死亡（含失踪），或者10人以下重伤（急性中毒）； </w:t>
      </w:r>
    </w:p>
    <w:p>
      <w:pPr>
        <w:keepNext w:val="0"/>
        <w:keepLines w:val="0"/>
        <w:pageBreakBefore w:val="0"/>
        <w:widowControl w:val="0"/>
        <w:kinsoku/>
        <w:wordWrap/>
        <w:overflowPunct w:val="0"/>
        <w:topLinePunct/>
        <w:autoSpaceDE w:val="0"/>
        <w:autoSpaceDN w:val="0"/>
        <w:bidi w:val="0"/>
        <w:adjustRightInd/>
        <w:snapToGrid/>
        <w:spacing w:line="560" w:lineRule="exact"/>
        <w:ind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 xml:space="preserve">（二）直接经济损失达1000万元以下。 </w:t>
      </w:r>
    </w:p>
    <w:p>
      <w:pPr>
        <w:keepNext w:val="0"/>
        <w:keepLines w:val="0"/>
        <w:widowControl/>
        <w:suppressLineNumbers w:val="0"/>
        <w:ind w:firstLine="620" w:firstLineChars="200"/>
        <w:jc w:val="left"/>
        <w:rPr>
          <w:color w:val="auto"/>
          <w:sz w:val="32"/>
          <w:szCs w:val="32"/>
        </w:rPr>
      </w:pPr>
      <w:r>
        <w:rPr>
          <w:rFonts w:ascii="黑体" w:hAnsi="宋体" w:eastAsia="黑体" w:cs="黑体"/>
          <w:color w:val="auto"/>
          <w:kern w:val="0"/>
          <w:sz w:val="31"/>
          <w:szCs w:val="31"/>
          <w:lang w:val="en-US" w:eastAsia="zh-CN" w:bidi="ar"/>
        </w:rPr>
        <w:t>注：</w:t>
      </w:r>
      <w:r>
        <w:rPr>
          <w:rFonts w:ascii="楷体" w:hAnsi="楷体" w:eastAsia="楷体" w:cs="楷体"/>
          <w:color w:val="auto"/>
          <w:kern w:val="0"/>
          <w:sz w:val="32"/>
          <w:szCs w:val="32"/>
          <w:lang w:val="en-US" w:eastAsia="zh-CN" w:bidi="ar"/>
        </w:rPr>
        <w:t>以上有关数值表述中，“以上”包括本数，“以下”不包括本数</w:t>
      </w:r>
    </w:p>
    <w:p>
      <w:pPr>
        <w:rPr>
          <w:rFonts w:hint="eastAsia"/>
          <w:color w:val="auto"/>
          <w:lang w:val="en-US" w:eastAsia="zh-CN"/>
        </w:rPr>
      </w:pPr>
      <w:r>
        <w:rPr>
          <w:rFonts w:hint="eastAsia"/>
          <w:color w:val="auto"/>
          <w:lang w:val="en-US" w:eastAsia="zh-CN"/>
        </w:rPr>
        <w:br w:type="page"/>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textAlignment w:val="auto"/>
        <w:rPr>
          <w:rFonts w:hint="eastAsia" w:ascii="黑体" w:hAnsi="黑体" w:cs="黑体"/>
          <w:color w:val="auto"/>
          <w:lang w:val="en-US" w:eastAsia="zh-CN"/>
        </w:rPr>
      </w:pPr>
      <w:bookmarkStart w:id="118" w:name="_Toc31780"/>
      <w:bookmarkStart w:id="119" w:name="_Toc19307"/>
      <w:bookmarkStart w:id="120" w:name="_Toc32114"/>
      <w:r>
        <w:rPr>
          <w:rFonts w:hint="eastAsia" w:ascii="黑体" w:hAnsi="黑体" w:cs="黑体"/>
          <w:color w:val="auto"/>
          <w:lang w:val="en-US" w:eastAsia="zh-CN"/>
        </w:rPr>
        <w:t>附件2</w:t>
      </w:r>
      <w:bookmarkEnd w:id="118"/>
      <w:bookmarkEnd w:id="119"/>
    </w:p>
    <w:p>
      <w:pPr>
        <w:pStyle w:val="7"/>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121" w:name="_Toc6376"/>
      <w:bookmarkStart w:id="122" w:name="_Toc26848"/>
      <w:r>
        <w:rPr>
          <w:rFonts w:hint="eastAsia" w:ascii="方正小标宋简体" w:hAnsi="方正小标宋简体" w:eastAsia="方正小标宋简体" w:cs="方正小标宋简体"/>
          <w:color w:val="auto"/>
          <w:sz w:val="44"/>
          <w:szCs w:val="44"/>
          <w:lang w:val="en-US" w:eastAsia="zh-CN"/>
        </w:rPr>
        <w:t>旗指挥部成员职责</w:t>
      </w:r>
      <w:bookmarkEnd w:id="120"/>
      <w:bookmarkEnd w:id="121"/>
      <w:bookmarkEnd w:id="122"/>
    </w:p>
    <w:p>
      <w:pPr>
        <w:pStyle w:val="7"/>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pPr>
      <w:bookmarkStart w:id="123" w:name="_Toc4359"/>
      <w:bookmarkStart w:id="124" w:name="_Toc9558"/>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一、旗</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委宣传部</w:t>
      </w:r>
      <w:bookmarkEnd w:id="123"/>
      <w:bookmarkEnd w:id="124"/>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会同</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能源局等部门做好管道安全事故信息发布，组织协调媒体做好舆论引导等工作；必要时组织召开新闻发布会，及时解疑释惑、澄清事实、批驳谣言</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pPr>
      <w:bookmarkStart w:id="125" w:name="_Toc21571"/>
      <w:bookmarkStart w:id="126" w:name="_Toc24754"/>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二、</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旗网络安全应急指挥中心</w:t>
      </w:r>
      <w:bookmarkEnd w:id="125"/>
      <w:bookmarkEnd w:id="126"/>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负责</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管道安全</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事故网络舆情的监测、引导和调控管控工作。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pPr>
      <w:bookmarkStart w:id="127" w:name="_Toc32562"/>
      <w:bookmarkStart w:id="128" w:name="_Toc19502"/>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三、</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应急管理局</w:t>
      </w:r>
      <w:bookmarkEnd w:id="127"/>
      <w:bookmarkEnd w:id="128"/>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负责职责范围内专业应急救援力量建设；组织协调相关应急救援队伍参与管道安全事故应急处置工作；做好受灾人员或受威胁人员的转移和临时安置工作；依据有关规定</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参与</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事故调查处理工作，监督事故查处和责任追究落实情况。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pPr>
      <w:bookmarkStart w:id="129" w:name="_Toc6769"/>
      <w:bookmarkStart w:id="130" w:name="_Toc31277"/>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四、</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旗发展改革和</w:t>
      </w:r>
      <w:bookmarkEnd w:id="129"/>
      <w:bookmarkEnd w:id="130"/>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科学技术局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负责组织协调应急处置相关应急救灾物资保障工作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pPr>
      <w:bookmarkStart w:id="131" w:name="_Toc24331"/>
      <w:bookmarkStart w:id="132" w:name="_Toc27394"/>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五、旗</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公安</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 xml:space="preserve">负责组织管道安全事故发生地做好道路交通管制、人员疏散、重点目标安全保卫和社会治安管理；配合管道安全事故善后社会稳定等工作。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六、旗</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能源局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负责协助指导全</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管道安全事故应急救援力量建设</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推动有关企业建立健全应急队伍，提高装备和物资储备水平；配合管道安全事故应急处置；做好管道安全事故应急预案的编制、修订、演练等工作；督促企业落实安全生产主体责任，强化风险控制和隐患排查；配合</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有关部门做好管道安全事故信息发布和调查处理工作。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七</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旗工业信息化和投资促进</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局</w:t>
      </w:r>
      <w:bookmarkEnd w:id="131"/>
      <w:bookmarkEnd w:id="132"/>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负责组织保障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管道安全</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事故处置过程中</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生活必需品</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的供应</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负责组织、协调工业应急物资的生产征购，负责应急救援过程中的应急通信的无线电频率协调保障工作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pPr>
      <w:bookmarkStart w:id="133" w:name="_Toc11149"/>
      <w:bookmarkStart w:id="134" w:name="_Toc32633"/>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八</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旗民政</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局</w:t>
      </w:r>
      <w:bookmarkEnd w:id="133"/>
      <w:bookmarkEnd w:id="134"/>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负责</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管道安全</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事故遇难人员善后处置工作和受事故影响群众的救助工作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pPr>
      <w:bookmarkStart w:id="135" w:name="_Toc10999"/>
      <w:bookmarkStart w:id="136" w:name="_Toc24138"/>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九</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财政局</w:t>
      </w:r>
      <w:bookmarkEnd w:id="135"/>
      <w:bookmarkEnd w:id="136"/>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按照规定落实政府生产投入，保障有关部门和单位安全生产工作经费，为应对事故工作提供资金支持。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pPr>
      <w:bookmarkStart w:id="137" w:name="_Toc30702"/>
      <w:bookmarkStart w:id="138" w:name="_Toc1781"/>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十</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旗人力资源和社会保障</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局</w:t>
      </w:r>
      <w:bookmarkEnd w:id="137"/>
      <w:bookmarkEnd w:id="138"/>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指导监督与事故有关的工伤保险政策落实。配合有关部门对事故救援工作中</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作出</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突出贡献的单位和个人给予奖励。</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pPr>
      <w:bookmarkStart w:id="139" w:name="_Toc29986"/>
      <w:bookmarkStart w:id="140" w:name="_Toc7679"/>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十</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一</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自然资源局</w:t>
      </w:r>
      <w:bookmarkEnd w:id="139"/>
      <w:bookmarkEnd w:id="140"/>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负责组织协调提供与事故应急救援工作有关的供测绘地理信息数据和卫星综合定位基准服务，提供事发地区域地图资料和基础测绘成果，提供空间定位技术、移动端导航和电子地图服务，提供各类遥感和无人机影像监测数据等服务。因泥石流、山体滑坡等地质灾害引发事故的，会同有关部门尽快查明地质灾害发生原因、影响范围等情况，提出应急治理措施，减轻和控制地质灾害灾情。</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bookmarkStart w:id="141" w:name="_Toc27308"/>
      <w:bookmarkStart w:id="142" w:name="_Toc6632"/>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十</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二</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交通</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运输</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局</w:t>
      </w:r>
      <w:bookmarkEnd w:id="141"/>
      <w:bookmarkEnd w:id="142"/>
    </w:p>
    <w:p>
      <w:pPr>
        <w:pStyle w:val="2"/>
        <w:keepNext w:val="0"/>
        <w:keepLines w:val="0"/>
        <w:pageBreakBefore w:val="0"/>
        <w:widowControl w:val="0"/>
        <w:shd w:val="clear"/>
        <w:kinsoku/>
        <w:wordWrap/>
        <w:overflowPunct/>
        <w:topLinePunct w:val="0"/>
        <w:autoSpaceDE/>
        <w:autoSpaceDN/>
        <w:bidi w:val="0"/>
        <w:adjustRightInd/>
        <w:snapToGrid/>
        <w:spacing w:after="0" w:line="560" w:lineRule="exact"/>
        <w:ind w:left="0" w:leftChars="0"/>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负责组织提供应急救援所需的交通运输保障工作。负责协调铁路、航空</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有关公司协助</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生产安全事故应急救援工作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b/>
          <w:bCs/>
          <w:i w:val="0"/>
          <w:iCs w:val="0"/>
          <w:caps w:val="0"/>
          <w:color w:val="auto"/>
          <w:spacing w:val="0"/>
          <w:kern w:val="0"/>
          <w:sz w:val="32"/>
          <w:szCs w:val="32"/>
          <w:highlight w:val="none"/>
          <w:shd w:val="clear" w:fill="FFFFFF"/>
          <w:lang w:val="en-US" w:eastAsia="zh-CN" w:bidi="ar"/>
        </w:rPr>
      </w:pPr>
      <w:bookmarkStart w:id="143" w:name="_Toc16502"/>
      <w:bookmarkStart w:id="144" w:name="_Toc15461"/>
      <w:r>
        <w:rPr>
          <w:rFonts w:hint="default" w:ascii="仿宋_GB2312" w:hAnsi="仿宋_GB2312" w:eastAsia="仿宋_GB2312" w:cs="仿宋_GB2312"/>
          <w:b/>
          <w:bCs/>
          <w:i w:val="0"/>
          <w:iCs w:val="0"/>
          <w:caps w:val="0"/>
          <w:color w:val="auto"/>
          <w:spacing w:val="0"/>
          <w:kern w:val="0"/>
          <w:sz w:val="32"/>
          <w:szCs w:val="32"/>
          <w:highlight w:val="none"/>
          <w:shd w:val="clear" w:fill="FFFFFF"/>
          <w:lang w:val="en-US" w:eastAsia="zh-CN" w:bidi="ar"/>
        </w:rPr>
        <w:t>十</w:t>
      </w:r>
      <w:r>
        <w:rPr>
          <w:rFonts w:hint="eastAsia" w:ascii="仿宋_GB2312" w:hAnsi="仿宋_GB2312" w:eastAsia="仿宋_GB2312" w:cs="仿宋_GB2312"/>
          <w:b/>
          <w:bCs/>
          <w:i w:val="0"/>
          <w:iCs w:val="0"/>
          <w:caps w:val="0"/>
          <w:color w:val="auto"/>
          <w:spacing w:val="0"/>
          <w:kern w:val="0"/>
          <w:sz w:val="32"/>
          <w:szCs w:val="32"/>
          <w:highlight w:val="none"/>
          <w:shd w:val="clear" w:fill="FFFFFF"/>
          <w:lang w:val="en-US" w:eastAsia="zh-CN" w:bidi="ar"/>
        </w:rPr>
        <w:t>三</w:t>
      </w:r>
      <w:r>
        <w:rPr>
          <w:rFonts w:hint="default" w:ascii="仿宋_GB2312" w:hAnsi="仿宋_GB2312" w:eastAsia="仿宋_GB2312" w:cs="仿宋_GB2312"/>
          <w:b/>
          <w:bCs/>
          <w:i w:val="0"/>
          <w:iCs w:val="0"/>
          <w:caps w:val="0"/>
          <w:color w:val="auto"/>
          <w:spacing w:val="0"/>
          <w:kern w:val="0"/>
          <w:sz w:val="32"/>
          <w:szCs w:val="32"/>
          <w:highlight w:val="none"/>
          <w:shd w:val="clear" w:fill="FFFFFF"/>
          <w:lang w:val="en-US" w:eastAsia="zh-CN" w:bidi="ar"/>
        </w:rPr>
        <w:t>、</w:t>
      </w:r>
      <w:r>
        <w:rPr>
          <w:rFonts w:hint="eastAsia" w:ascii="仿宋_GB2312" w:hAnsi="仿宋_GB2312" w:eastAsia="仿宋_GB2312" w:cs="仿宋_GB2312"/>
          <w:b/>
          <w:bCs/>
          <w:i w:val="0"/>
          <w:iCs w:val="0"/>
          <w:caps w:val="0"/>
          <w:color w:val="auto"/>
          <w:spacing w:val="0"/>
          <w:kern w:val="0"/>
          <w:sz w:val="32"/>
          <w:szCs w:val="32"/>
          <w:highlight w:val="none"/>
          <w:shd w:val="clear" w:fill="FFFFFF"/>
          <w:lang w:val="en-US" w:eastAsia="zh-CN" w:bidi="ar"/>
        </w:rPr>
        <w:t>旗住房和城乡建设</w:t>
      </w:r>
      <w:r>
        <w:rPr>
          <w:rFonts w:hint="default" w:ascii="仿宋_GB2312" w:hAnsi="仿宋_GB2312" w:eastAsia="仿宋_GB2312" w:cs="仿宋_GB2312"/>
          <w:b/>
          <w:bCs/>
          <w:i w:val="0"/>
          <w:iCs w:val="0"/>
          <w:caps w:val="0"/>
          <w:color w:val="auto"/>
          <w:spacing w:val="0"/>
          <w:kern w:val="0"/>
          <w:sz w:val="32"/>
          <w:szCs w:val="32"/>
          <w:highlight w:val="none"/>
          <w:shd w:val="clear" w:fill="FFFFFF"/>
          <w:lang w:val="en-US" w:eastAsia="zh-CN" w:bidi="ar"/>
        </w:rPr>
        <w:t>局</w:t>
      </w:r>
      <w:bookmarkEnd w:id="143"/>
      <w:bookmarkEnd w:id="144"/>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负责协助和指导受事故损害或威胁的房屋建筑工程和市政公用设施等应急救援，提供技术支持</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组织协调企业和社会力量提供施救所需的施工机械、救援器材和其他设备</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pPr>
      <w:bookmarkStart w:id="145" w:name="_Toc12467"/>
      <w:bookmarkStart w:id="146" w:name="_Toc30742"/>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十</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四</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旗</w:t>
      </w:r>
      <w:bookmarkEnd w:id="145"/>
      <w:bookmarkEnd w:id="146"/>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生态环境分局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负责组织对</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管道安全</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事故现场的周边环境进行应急监测</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，提出控制、消除环境污染措施的建议，协调指导事故中产生的危险废物无害化处置</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pPr>
      <w:bookmarkStart w:id="147" w:name="_Toc21990"/>
      <w:bookmarkStart w:id="148" w:name="_Toc8427"/>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十</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五</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旗卫生健康委员会</w:t>
      </w:r>
      <w:bookmarkEnd w:id="147"/>
      <w:bookmarkEnd w:id="148"/>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负责协调指导</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管道安全</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事故的医疗卫生救援工作，对事故组织实施紧急医学救援，负责卫生防疫工作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pPr>
      <w:bookmarkStart w:id="149" w:name="_Toc24488"/>
      <w:bookmarkStart w:id="150" w:name="_Toc1859"/>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十</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六</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市场</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监督管理</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局</w:t>
      </w:r>
      <w:bookmarkEnd w:id="149"/>
      <w:bookmarkEnd w:id="150"/>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按要求参与管道安全事故中特种设备的应急处置，预防次生衍生事故发生，配合有关部门监督救治伤员所需药品和医疗器械的质量</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pPr>
      <w:bookmarkStart w:id="151" w:name="_Toc22625"/>
      <w:bookmarkStart w:id="152" w:name="_Toc28430"/>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十七</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气象局</w:t>
      </w:r>
      <w:bookmarkEnd w:id="151"/>
      <w:bookmarkEnd w:id="15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负责天气监测、预测、预报，及时提供气象信息服务；配合开展因气象灾害引发的管道安全事故灾害调查、评估及气象分析等工作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bookmarkStart w:id="153" w:name="_Toc12760"/>
      <w:bookmarkStart w:id="154" w:name="_Toc13392"/>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十</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八</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旗林业和草原</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局</w:t>
      </w:r>
      <w:bookmarkEnd w:id="153"/>
      <w:bookmarkEnd w:id="154"/>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负责做好事发地附近林场、草原等风险评估和预警</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pPr>
      <w:bookmarkStart w:id="155" w:name="_Toc30141"/>
      <w:bookmarkStart w:id="156" w:name="_Toc19211"/>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十九、</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消防救援</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大</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队</w:t>
      </w:r>
      <w:bookmarkEnd w:id="155"/>
      <w:bookmarkEnd w:id="156"/>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组织做好事故的火灾扑救和抢救人民生命财产安全应急救援工作。实施应急处置、火灾扑救、人员搜索、工程抢险、工程价格和事故现场清理等工作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控制危险源，防止次生、衍生事故发生</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为事故调查收集有关资料。</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pPr>
      <w:bookmarkStart w:id="157" w:name="_Toc6389"/>
      <w:bookmarkStart w:id="158" w:name="_Toc30246"/>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二十、</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旗总</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工会</w:t>
      </w:r>
      <w:bookmarkEnd w:id="157"/>
      <w:bookmarkEnd w:id="158"/>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参加事故中职工伤亡的调查处理，维护职工合法权益</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outlineLvl w:val="9"/>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pPr>
      <w:bookmarkStart w:id="159" w:name="_Toc24180"/>
      <w:bookmarkStart w:id="160" w:name="_Toc1285"/>
      <w:bookmarkStart w:id="161" w:name="_Toc30670"/>
      <w:bookmarkStart w:id="162" w:name="_Toc2031"/>
      <w:bookmarkStart w:id="163" w:name="_Toc6417"/>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二十一、旗融媒体中心</w:t>
      </w:r>
      <w:bookmarkEnd w:id="159"/>
      <w:bookmarkEnd w:id="160"/>
      <w:bookmarkEnd w:id="161"/>
      <w:bookmarkEnd w:id="162"/>
      <w:bookmarkEnd w:id="16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负责</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内广播和网络视听媒体加强事故应急救援新闻</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报道，并做好</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互联网宣传管理和舆论引导</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1"/>
        <w:jc w:val="both"/>
        <w:textAlignment w:val="auto"/>
        <w:outlineLvl w:val="9"/>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bookmarkStart w:id="164" w:name="_Toc9648"/>
      <w:bookmarkStart w:id="165" w:name="_Toc19227"/>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二十二、旗农牧和水利</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局</w:t>
      </w:r>
      <w:bookmarkEnd w:id="164"/>
      <w:bookmarkEnd w:id="165"/>
    </w:p>
    <w:p>
      <w:pPr>
        <w:pStyle w:val="2"/>
        <w:keepNext w:val="0"/>
        <w:keepLines w:val="0"/>
        <w:pageBreakBefore w:val="0"/>
        <w:widowControl w:val="0"/>
        <w:shd w:val="clear"/>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负责指导、协调管道安全事故涉及水库、河道等重大水利设施的应急处置工作。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1"/>
        <w:jc w:val="both"/>
        <w:textAlignment w:val="auto"/>
        <w:outlineLvl w:val="9"/>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pPr>
      <w:bookmarkStart w:id="166" w:name="_Toc8132"/>
      <w:bookmarkStart w:id="167" w:name="_Toc662"/>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二十三</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伊金霍洛</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供电</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分</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公司</w:t>
      </w:r>
      <w:bookmarkEnd w:id="166"/>
      <w:bookmarkEnd w:id="16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负责应急救援的电力保障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pStyle w:val="2"/>
        <w:keepNext w:val="0"/>
        <w:keepLines w:val="0"/>
        <w:pageBreakBefore w:val="0"/>
        <w:widowControl w:val="0"/>
        <w:shd w:val="clear"/>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二十四、</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管道企业</w:t>
      </w:r>
    </w:p>
    <w:p>
      <w:pPr>
        <w:pStyle w:val="2"/>
        <w:keepNext w:val="0"/>
        <w:keepLines w:val="0"/>
        <w:pageBreakBefore w:val="0"/>
        <w:widowControl w:val="0"/>
        <w:shd w:val="clear"/>
        <w:kinsoku/>
        <w:wordWrap/>
        <w:overflowPunct/>
        <w:topLinePunct w:val="0"/>
        <w:autoSpaceDE/>
        <w:autoSpaceDN/>
        <w:bidi w:val="0"/>
        <w:adjustRightInd/>
        <w:snapToGrid/>
        <w:spacing w:after="0" w:line="560" w:lineRule="exact"/>
        <w:ind w:left="0" w:leftChars="0"/>
        <w:textAlignment w:val="auto"/>
        <w:outlineLvl w:val="9"/>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承担管道安全事故第一时间应急救援处置的主体责任，负责本单位在应急情况下的运行调度和应急处置，完善“管道运行”保护措施，确保管道相关设备设施的启动能力和运行安全。发生管道安全事故后，做好应急物资供应，及时恢复管道设备设施运行，保障管道安全稳定运行和油气供应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各成员单位应当建立应急联动工作机制，明确联系人及联系方式，保证联络通畅，并加强与其他应急机构的衔接配合</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pStyle w:val="5"/>
        <w:pageBreakBefore w:val="0"/>
        <w:numPr>
          <w:ilvl w:val="0"/>
          <w:numId w:val="0"/>
        </w:numPr>
        <w:kinsoku/>
        <w:wordWrap/>
        <w:bidi w:val="0"/>
        <w:adjustRightInd/>
        <w:snapToGrid/>
        <w:spacing w:before="0" w:after="0" w:line="560" w:lineRule="exact"/>
        <w:textAlignment w:val="auto"/>
        <w:outlineLvl w:val="0"/>
        <w:rPr>
          <w:rFonts w:hint="eastAsia" w:ascii="黑体" w:hAnsi="黑体" w:cs="黑体"/>
          <w:color w:val="auto"/>
          <w:lang w:val="en-US" w:eastAsia="zh-CN"/>
        </w:rPr>
      </w:pPr>
      <w:bookmarkStart w:id="168" w:name="_Toc1669"/>
      <w:bookmarkStart w:id="169" w:name="_Toc26066"/>
      <w:bookmarkStart w:id="170" w:name="_Toc6205"/>
      <w:r>
        <w:rPr>
          <w:rFonts w:hint="eastAsia" w:ascii="黑体" w:hAnsi="黑体" w:cs="黑体"/>
          <w:color w:val="auto"/>
          <w:lang w:val="en-US" w:eastAsia="zh-CN"/>
        </w:rPr>
        <w:t>附件3</w:t>
      </w:r>
      <w:bookmarkEnd w:id="168"/>
      <w:bookmarkEnd w:id="169"/>
    </w:p>
    <w:p>
      <w:pPr>
        <w:pStyle w:val="7"/>
        <w:rPr>
          <w:rFonts w:hint="eastAsia"/>
          <w:color w:val="auto"/>
          <w:lang w:val="en-US" w:eastAsia="zh-CN"/>
        </w:rPr>
      </w:pP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171" w:name="_Toc15648"/>
      <w:bookmarkStart w:id="172" w:name="_Toc1079"/>
      <w:r>
        <w:rPr>
          <w:rFonts w:hint="eastAsia" w:ascii="方正小标宋简体" w:hAnsi="方正小标宋简体" w:eastAsia="方正小标宋简体" w:cs="方正小标宋简体"/>
          <w:color w:val="auto"/>
          <w:sz w:val="44"/>
          <w:szCs w:val="44"/>
          <w:lang w:val="en-US" w:eastAsia="zh-CN"/>
        </w:rPr>
        <w:t>现场指挥部工作组组成及职责</w:t>
      </w:r>
      <w:bookmarkEnd w:id="170"/>
      <w:bookmarkEnd w:id="171"/>
      <w:bookmarkEnd w:id="172"/>
    </w:p>
    <w:p>
      <w:pPr>
        <w:pStyle w:val="7"/>
        <w:rPr>
          <w:rFonts w:hint="eastAsia"/>
          <w:color w:val="auto"/>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现场指挥部下设抢险救援组、</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医疗救治组、治安警戒组、转移安置</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组、</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新闻报道</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组、</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调查处理</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组等</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个工作组。根据</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管道安全</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事故情况及应急救援需要，指挥长可视情调整工作组、组成单位及职责，调集其他有关部门单位参加事故处置工作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一</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抢险</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救援组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牵头部门：</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配合部门：旗消防救援大队</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旗能源局、旗</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公安</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局</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旗生态环境分局</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，专业应急救援队伍，</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石油天</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 xml:space="preserve">然气长输管道企业等部门。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主要职责：</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实施</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管道</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安全事故处置、火灾扑救、人员搜救、工程抢险、工程加固和事故现场清理等工作；控制危险源，防止次生、衍生事故发生；为事故调查收集有关资料。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（二）</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医疗</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救治</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组</w:t>
      </w:r>
      <w:bookmarkStart w:id="190" w:name="_GoBack"/>
      <w:bookmarkEnd w:id="19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牵头部门：</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旗卫生健康委员会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主要职责：</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调度全</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 xml:space="preserve">医疗队伍，设立临时医疗点，协调外部医疗机构，为事故受伤人员、救援人员提供医疗保障服务；做好现场救援区域的防疫消毒；向受伤人员和受灾群众提供心理卫生咨询和帮助。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（三）治安警戒组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牵头部门：</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公安</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配合部门：旗</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交通运输</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局</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主要职责：</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 xml:space="preserve">负责组织事故可能危及区域有关人员的紧急疏散、撤离，对事故现场进行保护和警戒，维持现场秩序等工作。根据实际情况实行交通管制和疏导，开辟应急通道，保障应急处置人员、车辆和物资装备的应急通行需要；组织协调尽快恢复被毁交通路线。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（四）转移安置</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牵头部门：</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配合部门：旗公安局、旗应急管理局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主要职责：</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负责紧急转移和临时安置工作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；组织进行受困人员的抢救转移，及时掌握安置灾民动态，确保受灾群众的日常生活所需，解决衣、食、住等问题。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（五）新闻报道</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牵头部门：</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委宣传部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配合部门：</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旗网络安全应急指挥中心，旗能源局、旗</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应急</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管理局</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 xml:space="preserve">等部门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主要职责：</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统筹协调媒体的现场管理，做好</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管道安全事故</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舆论引导工作，组织新闻发布工作；做好新闻应对发布和集体采访活动的组织工作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做好境内外媒体沟通协调和组织联络工作；向</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旗人民政府</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 xml:space="preserve">和事故相关单位通报舆情进展，提出应对建议。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（六）调查处理</w:t>
      </w:r>
      <w:r>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t>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牵头部门：</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配合部门：</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旗纪</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委监委、</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旗能源局、旗</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公安</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局</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市场</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监督管理</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局等部门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主要职责：</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 xml:space="preserve">负责管道安全事故的调查处理工作。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旗</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指挥部可根据实际情况，对各工作组组成及职责进行适当调整</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sectPr>
          <w:pgSz w:w="11906" w:h="16838"/>
          <w:pgMar w:top="2098" w:right="1474" w:bottom="1984" w:left="1587" w:header="851" w:footer="992" w:gutter="0"/>
          <w:pgNumType w:fmt="numberInDash"/>
          <w:cols w:space="425" w:num="1"/>
          <w:docGrid w:type="lines" w:linePitch="312" w:charSpace="0"/>
        </w:sectPr>
      </w:pPr>
    </w:p>
    <w:p>
      <w:pPr>
        <w:pStyle w:val="5"/>
        <w:pageBreakBefore w:val="0"/>
        <w:numPr>
          <w:ilvl w:val="0"/>
          <w:numId w:val="0"/>
        </w:numPr>
        <w:kinsoku/>
        <w:wordWrap/>
        <w:bidi w:val="0"/>
        <w:adjustRightInd/>
        <w:snapToGrid/>
        <w:spacing w:line="560" w:lineRule="exact"/>
        <w:outlineLvl w:val="1"/>
        <w:rPr>
          <w:rFonts w:hint="eastAsia" w:ascii="黑体" w:hAnsi="黑体" w:cs="黑体"/>
          <w:color w:val="auto"/>
          <w:lang w:val="en-US" w:eastAsia="zh-CN"/>
        </w:rPr>
      </w:pPr>
      <w:bookmarkStart w:id="173" w:name="_Toc29079"/>
      <w:bookmarkStart w:id="174" w:name="_Toc8837"/>
      <w:bookmarkStart w:id="175" w:name="_Toc8245"/>
      <w:bookmarkStart w:id="176" w:name="_Toc14833"/>
      <w:bookmarkStart w:id="177" w:name="_Toc25266"/>
      <w:r>
        <w:rPr>
          <w:rFonts w:hint="eastAsia" w:ascii="黑体" w:hAnsi="黑体" w:cs="黑体"/>
          <w:color w:val="auto"/>
          <w:lang w:val="en-US" w:eastAsia="zh-CN"/>
        </w:rPr>
        <w:t>附件</w:t>
      </w:r>
      <w:bookmarkEnd w:id="173"/>
      <w:r>
        <w:rPr>
          <w:rFonts w:hint="eastAsia" w:ascii="黑体" w:hAnsi="黑体" w:cs="黑体"/>
          <w:color w:val="auto"/>
          <w:lang w:val="en-US" w:eastAsia="zh-CN"/>
        </w:rPr>
        <w:t>4</w:t>
      </w:r>
      <w:bookmarkEnd w:id="174"/>
    </w:p>
    <w:p>
      <w:pPr>
        <w:pStyle w:val="5"/>
        <w:pageBreakBefore w:val="0"/>
        <w:numPr>
          <w:ilvl w:val="0"/>
          <w:numId w:val="0"/>
        </w:numPr>
        <w:kinsoku/>
        <w:wordWrap/>
        <w:bidi w:val="0"/>
        <w:adjustRightInd/>
        <w:snapToGrid/>
        <w:spacing w:line="560" w:lineRule="exact"/>
        <w:jc w:val="center"/>
        <w:outlineLvl w:val="1"/>
        <w:rPr>
          <w:rFonts w:hint="eastAsia" w:ascii="方正小标宋简体" w:hAnsi="方正小标宋简体" w:eastAsia="方正小标宋简体" w:cs="方正小标宋简体"/>
          <w:color w:val="auto"/>
          <w:sz w:val="44"/>
          <w:szCs w:val="44"/>
          <w:lang w:val="en-US" w:eastAsia="zh-CN"/>
        </w:rPr>
      </w:pPr>
      <w:bookmarkStart w:id="178" w:name="_Toc22"/>
      <w:bookmarkStart w:id="179" w:name="_Toc17609"/>
      <w:r>
        <w:rPr>
          <w:rFonts w:hint="eastAsia" w:ascii="方正小标宋简体" w:hAnsi="方正小标宋简体" w:eastAsia="方正小标宋简体" w:cs="方正小标宋简体"/>
          <w:color w:val="auto"/>
          <w:sz w:val="44"/>
          <w:szCs w:val="44"/>
          <w:lang w:val="en-US" w:eastAsia="zh-CN"/>
        </w:rPr>
        <w:t>各部门应急值班电话</w:t>
      </w:r>
      <w:bookmarkEnd w:id="175"/>
      <w:bookmarkEnd w:id="176"/>
      <w:bookmarkEnd w:id="177"/>
      <w:bookmarkEnd w:id="178"/>
      <w:bookmarkEnd w:id="179"/>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3299"/>
        <w:gridCol w:w="3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17" w:type="dxa"/>
            <w:vAlign w:val="center"/>
          </w:tcPr>
          <w:p>
            <w:pPr>
              <w:pStyle w:val="7"/>
              <w:ind w:left="0" w:leftChars="0" w:firstLine="0" w:firstLineChars="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序号</w:t>
            </w:r>
          </w:p>
        </w:tc>
        <w:tc>
          <w:tcPr>
            <w:tcW w:w="3299" w:type="dxa"/>
            <w:vAlign w:val="center"/>
          </w:tcPr>
          <w:p>
            <w:pPr>
              <w:pStyle w:val="7"/>
              <w:ind w:left="0" w:leftChars="0" w:firstLine="0" w:firstLineChars="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单位名称</w:t>
            </w:r>
          </w:p>
        </w:tc>
        <w:tc>
          <w:tcPr>
            <w:tcW w:w="3706" w:type="dxa"/>
            <w:vAlign w:val="center"/>
          </w:tcPr>
          <w:p>
            <w:pPr>
              <w:pStyle w:val="7"/>
              <w:ind w:left="0" w:leftChars="0" w:firstLine="0" w:firstLineChars="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w:t>
            </w:r>
          </w:p>
        </w:tc>
        <w:tc>
          <w:tcPr>
            <w:tcW w:w="3299"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旗委值班室</w:t>
            </w:r>
          </w:p>
        </w:tc>
        <w:tc>
          <w:tcPr>
            <w:tcW w:w="3706"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0477-8691270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w:t>
            </w:r>
          </w:p>
        </w:tc>
        <w:tc>
          <w:tcPr>
            <w:tcW w:w="3299"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旗政府总值班室</w:t>
            </w:r>
          </w:p>
        </w:tc>
        <w:tc>
          <w:tcPr>
            <w:tcW w:w="3706"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b w:val="0"/>
                <w:bCs w:val="0"/>
                <w:color w:val="auto"/>
                <w:kern w:val="2"/>
                <w:sz w:val="21"/>
                <w:szCs w:val="21"/>
                <w:lang w:val="en-US" w:eastAsia="zh-CN" w:bidi="ar-SA"/>
              </w:rPr>
              <w:t>0477-8691090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旗委宣传部</w:t>
            </w:r>
          </w:p>
        </w:tc>
        <w:tc>
          <w:tcPr>
            <w:tcW w:w="3706" w:type="dxa"/>
            <w:vAlign w:val="center"/>
          </w:tcPr>
          <w:p>
            <w:pPr>
              <w:pStyle w:val="7"/>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0477-8691166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4</w:t>
            </w:r>
          </w:p>
        </w:tc>
        <w:tc>
          <w:tcPr>
            <w:tcW w:w="3299"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旗发展改革和科学技术局</w:t>
            </w:r>
          </w:p>
        </w:tc>
        <w:tc>
          <w:tcPr>
            <w:tcW w:w="3706" w:type="dxa"/>
            <w:vAlign w:val="center"/>
          </w:tcPr>
          <w:p>
            <w:pPr>
              <w:pStyle w:val="7"/>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0477-8969248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旗民族事务委员会</w:t>
            </w:r>
          </w:p>
        </w:tc>
        <w:tc>
          <w:tcPr>
            <w:tcW w:w="3706" w:type="dxa"/>
            <w:vAlign w:val="center"/>
          </w:tcPr>
          <w:p>
            <w:pPr>
              <w:pStyle w:val="7"/>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b w:val="0"/>
                <w:bCs w:val="0"/>
                <w:color w:val="auto"/>
                <w:kern w:val="2"/>
                <w:sz w:val="21"/>
                <w:szCs w:val="21"/>
                <w:lang w:val="en-US" w:eastAsia="zh-CN" w:bidi="ar-SA"/>
              </w:rPr>
              <w:t>8969109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b w:val="0"/>
                <w:bCs w:val="0"/>
                <w:color w:val="auto"/>
                <w:kern w:val="2"/>
                <w:sz w:val="21"/>
                <w:szCs w:val="21"/>
                <w:lang w:val="en-US" w:eastAsia="zh-CN" w:bidi="ar-SA"/>
              </w:rPr>
              <w:t>应急管理局</w:t>
            </w:r>
          </w:p>
        </w:tc>
        <w:tc>
          <w:tcPr>
            <w:tcW w:w="3706" w:type="dxa"/>
            <w:vAlign w:val="center"/>
          </w:tcPr>
          <w:p>
            <w:pPr>
              <w:pStyle w:val="7"/>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b w:val="0"/>
                <w:bCs w:val="0"/>
                <w:color w:val="auto"/>
                <w:kern w:val="2"/>
                <w:sz w:val="21"/>
                <w:szCs w:val="21"/>
                <w:lang w:val="en-US" w:eastAsia="zh-CN" w:bidi="ar-SA"/>
              </w:rPr>
              <w:t>8965013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7</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旗工业信息化和投资促进局</w:t>
            </w:r>
          </w:p>
        </w:tc>
        <w:tc>
          <w:tcPr>
            <w:tcW w:w="3706" w:type="dxa"/>
            <w:vAlign w:val="center"/>
          </w:tcPr>
          <w:p>
            <w:pPr>
              <w:pStyle w:val="7"/>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b w:val="0"/>
                <w:bCs w:val="0"/>
                <w:color w:val="auto"/>
                <w:kern w:val="2"/>
                <w:sz w:val="21"/>
                <w:szCs w:val="21"/>
                <w:lang w:val="en-US" w:eastAsia="zh-CN" w:bidi="ar-SA"/>
              </w:rPr>
              <w:t>8969501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8</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旗公安局</w:t>
            </w:r>
          </w:p>
        </w:tc>
        <w:tc>
          <w:tcPr>
            <w:tcW w:w="3706" w:type="dxa"/>
            <w:vAlign w:val="center"/>
          </w:tcPr>
          <w:p>
            <w:pPr>
              <w:pStyle w:val="7"/>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b w:val="0"/>
                <w:bCs w:val="0"/>
                <w:color w:val="auto"/>
                <w:kern w:val="2"/>
                <w:sz w:val="21"/>
                <w:szCs w:val="21"/>
                <w:lang w:val="en-US" w:eastAsia="zh-CN" w:bidi="ar-SA"/>
              </w:rPr>
              <w:t>8968610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9</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旗教体局</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b w:val="0"/>
                <w:bCs w:val="0"/>
                <w:color w:val="auto"/>
                <w:kern w:val="2"/>
                <w:sz w:val="21"/>
                <w:szCs w:val="21"/>
                <w:lang w:val="en-US" w:eastAsia="zh-CN" w:bidi="ar-SA"/>
              </w:rPr>
              <w:t>8691589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旗民政局</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b w:val="0"/>
                <w:bCs w:val="0"/>
                <w:color w:val="auto"/>
                <w:kern w:val="2"/>
                <w:sz w:val="21"/>
                <w:szCs w:val="21"/>
                <w:lang w:val="en-US" w:eastAsia="zh-CN" w:bidi="ar-SA"/>
              </w:rPr>
              <w:t>8969185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11</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旗司法局</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b w:val="0"/>
                <w:bCs w:val="0"/>
                <w:color w:val="auto"/>
                <w:kern w:val="2"/>
                <w:sz w:val="21"/>
                <w:szCs w:val="21"/>
                <w:lang w:val="en-US" w:eastAsia="zh-CN" w:bidi="ar-SA"/>
              </w:rPr>
              <w:t>8968691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12</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b w:val="0"/>
                <w:bCs w:val="0"/>
                <w:color w:val="auto"/>
                <w:kern w:val="2"/>
                <w:sz w:val="21"/>
                <w:szCs w:val="21"/>
                <w:lang w:val="en-US" w:eastAsia="zh-CN" w:bidi="ar-SA"/>
              </w:rPr>
              <w:t>财政局</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b w:val="0"/>
                <w:bCs w:val="0"/>
                <w:color w:val="auto"/>
                <w:kern w:val="2"/>
                <w:sz w:val="21"/>
                <w:szCs w:val="21"/>
                <w:lang w:val="en-US" w:eastAsia="zh-CN" w:bidi="ar-SA"/>
              </w:rPr>
              <w:t>8690004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b w:val="0"/>
                <w:bCs w:val="0"/>
                <w:color w:val="auto"/>
                <w:kern w:val="2"/>
                <w:sz w:val="21"/>
                <w:szCs w:val="21"/>
                <w:lang w:val="en-US" w:eastAsia="zh-CN" w:bidi="ar-SA"/>
              </w:rPr>
              <w:t>自然资源局</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b w:val="0"/>
                <w:bCs w:val="0"/>
                <w:color w:val="auto"/>
                <w:kern w:val="2"/>
                <w:sz w:val="21"/>
                <w:szCs w:val="21"/>
                <w:lang w:val="en-US" w:eastAsia="zh-CN" w:bidi="ar-SA"/>
              </w:rPr>
              <w:t>8681212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b w:val="0"/>
                <w:bCs w:val="0"/>
                <w:color w:val="auto"/>
                <w:kern w:val="2"/>
                <w:sz w:val="21"/>
                <w:szCs w:val="21"/>
                <w:lang w:val="en-US" w:eastAsia="zh-CN" w:bidi="ar-SA"/>
              </w:rPr>
              <w:t>住房和城乡建设局</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b w:val="0"/>
                <w:bCs w:val="0"/>
                <w:color w:val="auto"/>
                <w:kern w:val="2"/>
                <w:sz w:val="21"/>
                <w:szCs w:val="21"/>
                <w:lang w:val="en-US" w:eastAsia="zh-CN" w:bidi="ar-SA"/>
              </w:rPr>
              <w:t>8684730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b w:val="0"/>
                <w:bCs w:val="0"/>
                <w:color w:val="auto"/>
                <w:kern w:val="2"/>
                <w:sz w:val="21"/>
                <w:szCs w:val="21"/>
                <w:lang w:val="en-US" w:eastAsia="zh-CN" w:bidi="ar-SA"/>
              </w:rPr>
              <w:t>交通运输局</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b w:val="0"/>
                <w:bCs w:val="0"/>
                <w:color w:val="auto"/>
                <w:kern w:val="2"/>
                <w:sz w:val="21"/>
                <w:szCs w:val="21"/>
                <w:lang w:val="en-US" w:eastAsia="zh-CN" w:bidi="ar-SA"/>
              </w:rPr>
              <w:t>2298098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16</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b w:val="0"/>
                <w:bCs w:val="0"/>
                <w:color w:val="auto"/>
                <w:kern w:val="2"/>
                <w:sz w:val="21"/>
                <w:szCs w:val="21"/>
                <w:lang w:val="en-US" w:eastAsia="zh-CN" w:bidi="ar-SA"/>
              </w:rPr>
              <w:t>农牧和水利局</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b w:val="0"/>
                <w:bCs w:val="0"/>
                <w:color w:val="auto"/>
                <w:kern w:val="2"/>
                <w:sz w:val="21"/>
                <w:szCs w:val="21"/>
                <w:lang w:val="en-US" w:eastAsia="zh-CN" w:bidi="ar-SA"/>
              </w:rPr>
              <w:t>8965040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17</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b w:val="0"/>
                <w:bCs w:val="0"/>
                <w:color w:val="auto"/>
                <w:kern w:val="2"/>
                <w:sz w:val="21"/>
                <w:szCs w:val="21"/>
                <w:lang w:val="en-US" w:eastAsia="zh-CN" w:bidi="ar-SA"/>
              </w:rPr>
              <w:t>人力资源和社会保障局</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b w:val="0"/>
                <w:bCs w:val="0"/>
                <w:color w:val="auto"/>
                <w:kern w:val="2"/>
                <w:sz w:val="21"/>
                <w:szCs w:val="21"/>
                <w:lang w:val="en-US" w:eastAsia="zh-CN" w:bidi="ar-SA"/>
              </w:rPr>
              <w:t>8691797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18</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b w:val="0"/>
                <w:bCs w:val="0"/>
                <w:color w:val="auto"/>
                <w:kern w:val="2"/>
                <w:sz w:val="21"/>
                <w:szCs w:val="21"/>
                <w:lang w:val="en-US" w:eastAsia="zh-CN" w:bidi="ar-SA"/>
              </w:rPr>
              <w:t>林业和草原局</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b w:val="0"/>
                <w:bCs w:val="0"/>
                <w:color w:val="auto"/>
                <w:kern w:val="2"/>
                <w:sz w:val="21"/>
                <w:szCs w:val="21"/>
                <w:lang w:val="en-US" w:eastAsia="zh-CN" w:bidi="ar-SA"/>
              </w:rPr>
              <w:t>8966129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19</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b w:val="0"/>
                <w:bCs w:val="0"/>
                <w:color w:val="auto"/>
                <w:kern w:val="2"/>
                <w:sz w:val="21"/>
                <w:szCs w:val="21"/>
                <w:lang w:val="en-US" w:eastAsia="zh-CN" w:bidi="ar-SA"/>
              </w:rPr>
              <w:t>文化和旅游局</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b w:val="0"/>
                <w:bCs w:val="0"/>
                <w:color w:val="auto"/>
                <w:kern w:val="2"/>
                <w:sz w:val="21"/>
                <w:szCs w:val="21"/>
                <w:lang w:val="en-US" w:eastAsia="zh-CN" w:bidi="ar-SA"/>
              </w:rPr>
              <w:t>8962182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20</w:t>
            </w:r>
          </w:p>
        </w:tc>
        <w:tc>
          <w:tcPr>
            <w:tcW w:w="3299"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b w:val="0"/>
                <w:bCs w:val="0"/>
                <w:color w:val="auto"/>
                <w:kern w:val="2"/>
                <w:sz w:val="21"/>
                <w:szCs w:val="21"/>
                <w:lang w:val="en-US" w:eastAsia="zh-CN" w:bidi="ar-SA"/>
              </w:rPr>
              <w:t>卫生健康委员会</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b w:val="0"/>
                <w:bCs w:val="0"/>
                <w:color w:val="auto"/>
                <w:kern w:val="2"/>
                <w:sz w:val="21"/>
                <w:szCs w:val="21"/>
                <w:lang w:val="en-US" w:eastAsia="zh-CN" w:bidi="ar-SA"/>
              </w:rPr>
              <w:t>8681617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21</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b w:val="0"/>
                <w:bCs w:val="0"/>
                <w:color w:val="auto"/>
                <w:kern w:val="2"/>
                <w:sz w:val="21"/>
                <w:szCs w:val="21"/>
                <w:lang w:val="en-US" w:eastAsia="zh-CN" w:bidi="ar-SA"/>
              </w:rPr>
              <w:t>生态环境局</w:t>
            </w:r>
          </w:p>
        </w:tc>
        <w:tc>
          <w:tcPr>
            <w:tcW w:w="3706" w:type="dxa"/>
            <w:vAlign w:val="center"/>
          </w:tcPr>
          <w:p>
            <w:pPr>
              <w:pStyle w:val="7"/>
              <w:spacing w:line="240" w:lineRule="auto"/>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白</w:t>
            </w: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b w:val="0"/>
                <w:bCs w:val="0"/>
                <w:color w:val="auto"/>
                <w:kern w:val="2"/>
                <w:sz w:val="21"/>
                <w:szCs w:val="21"/>
                <w:lang w:val="en-US" w:eastAsia="zh-CN" w:bidi="ar-SA"/>
              </w:rPr>
              <w:t>8969060</w:t>
            </w:r>
          </w:p>
          <w:p>
            <w:pPr>
              <w:pStyle w:val="7"/>
              <w:spacing w:line="240" w:lineRule="auto"/>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夜0477-</w:t>
            </w:r>
            <w:r>
              <w:rPr>
                <w:rFonts w:hint="eastAsia" w:ascii="仿宋_GB2312" w:hAnsi="仿宋_GB2312" w:eastAsia="仿宋_GB2312" w:cs="仿宋_GB2312"/>
                <w:b w:val="0"/>
                <w:bCs w:val="0"/>
                <w:color w:val="auto"/>
                <w:kern w:val="2"/>
                <w:sz w:val="21"/>
                <w:szCs w:val="21"/>
                <w:lang w:val="en-US" w:eastAsia="zh-CN" w:bidi="ar-SA"/>
              </w:rPr>
              <w:t>8968700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22</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b w:val="0"/>
                <w:bCs w:val="0"/>
                <w:color w:val="auto"/>
                <w:kern w:val="2"/>
                <w:sz w:val="21"/>
                <w:szCs w:val="21"/>
                <w:lang w:val="en-US" w:eastAsia="zh-CN" w:bidi="ar-SA"/>
              </w:rPr>
              <w:t>能源局</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b w:val="0"/>
                <w:bCs w:val="0"/>
                <w:color w:val="auto"/>
                <w:kern w:val="2"/>
                <w:sz w:val="21"/>
                <w:szCs w:val="21"/>
                <w:lang w:val="en-US" w:eastAsia="zh-CN" w:bidi="ar-SA"/>
              </w:rPr>
              <w:t>8690830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23</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color w:val="auto"/>
                <w:kern w:val="2"/>
                <w:sz w:val="21"/>
                <w:szCs w:val="21"/>
                <w:lang w:val="en-US" w:eastAsia="zh-CN" w:bidi="ar-SA"/>
              </w:rPr>
              <w:t>气象局</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0477-8683046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24</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b w:val="0"/>
                <w:bCs w:val="0"/>
                <w:color w:val="auto"/>
                <w:kern w:val="2"/>
                <w:sz w:val="21"/>
                <w:szCs w:val="21"/>
                <w:lang w:val="en-US" w:eastAsia="zh-CN" w:bidi="ar-SA"/>
              </w:rPr>
              <w:t>市场监督管理局</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b w:val="0"/>
                <w:bCs w:val="0"/>
                <w:color w:val="auto"/>
                <w:kern w:val="2"/>
                <w:sz w:val="21"/>
                <w:szCs w:val="21"/>
                <w:lang w:val="en-US" w:eastAsia="zh-CN" w:bidi="ar-SA"/>
              </w:rPr>
              <w:t>8681315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25</w:t>
            </w:r>
          </w:p>
        </w:tc>
        <w:tc>
          <w:tcPr>
            <w:tcW w:w="3299" w:type="dxa"/>
            <w:vAlign w:val="center"/>
          </w:tcPr>
          <w:p>
            <w:pPr>
              <w:pStyle w:val="7"/>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b w:val="0"/>
                <w:bCs w:val="0"/>
                <w:color w:val="auto"/>
                <w:kern w:val="2"/>
                <w:sz w:val="21"/>
                <w:szCs w:val="21"/>
                <w:lang w:val="en-US" w:eastAsia="zh-CN" w:bidi="ar-SA"/>
              </w:rPr>
              <w:t>退役军人事务局</w:t>
            </w:r>
          </w:p>
        </w:tc>
        <w:tc>
          <w:tcPr>
            <w:tcW w:w="3706" w:type="dxa"/>
            <w:vAlign w:val="center"/>
          </w:tcPr>
          <w:p>
            <w:pPr>
              <w:pStyle w:val="7"/>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b w:val="0"/>
                <w:bCs w:val="0"/>
                <w:color w:val="auto"/>
                <w:kern w:val="2"/>
                <w:sz w:val="21"/>
                <w:szCs w:val="21"/>
                <w:lang w:val="en-US" w:eastAsia="zh-CN" w:bidi="ar-SA"/>
              </w:rPr>
              <w:t>8687770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26</w:t>
            </w:r>
          </w:p>
        </w:tc>
        <w:tc>
          <w:tcPr>
            <w:tcW w:w="3299" w:type="dxa"/>
            <w:vAlign w:val="center"/>
          </w:tcPr>
          <w:p>
            <w:pPr>
              <w:pStyle w:val="7"/>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b w:val="0"/>
                <w:bCs w:val="0"/>
                <w:color w:val="auto"/>
                <w:kern w:val="2"/>
                <w:sz w:val="21"/>
                <w:szCs w:val="21"/>
                <w:lang w:val="en-US" w:eastAsia="zh-CN" w:bidi="ar-SA"/>
              </w:rPr>
              <w:t>审计局</w:t>
            </w:r>
          </w:p>
        </w:tc>
        <w:tc>
          <w:tcPr>
            <w:tcW w:w="3706" w:type="dxa"/>
            <w:vAlign w:val="center"/>
          </w:tcPr>
          <w:p>
            <w:pPr>
              <w:pStyle w:val="7"/>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b w:val="0"/>
                <w:bCs w:val="0"/>
                <w:color w:val="auto"/>
                <w:kern w:val="2"/>
                <w:sz w:val="21"/>
                <w:szCs w:val="21"/>
                <w:lang w:val="en-US" w:eastAsia="zh-CN" w:bidi="ar-SA"/>
              </w:rPr>
              <w:t>8681825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27</w:t>
            </w:r>
          </w:p>
        </w:tc>
        <w:tc>
          <w:tcPr>
            <w:tcW w:w="3299" w:type="dxa"/>
            <w:vAlign w:val="center"/>
          </w:tcPr>
          <w:p>
            <w:pPr>
              <w:pStyle w:val="7"/>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b w:val="0"/>
                <w:bCs w:val="0"/>
                <w:color w:val="auto"/>
                <w:kern w:val="2"/>
                <w:sz w:val="21"/>
                <w:szCs w:val="21"/>
                <w:lang w:val="en-US" w:eastAsia="zh-CN" w:bidi="ar-SA"/>
              </w:rPr>
              <w:t>统计局</w:t>
            </w:r>
          </w:p>
        </w:tc>
        <w:tc>
          <w:tcPr>
            <w:tcW w:w="3706" w:type="dxa"/>
            <w:vAlign w:val="center"/>
          </w:tcPr>
          <w:p>
            <w:pPr>
              <w:pStyle w:val="7"/>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b w:val="0"/>
                <w:bCs w:val="0"/>
                <w:color w:val="auto"/>
                <w:kern w:val="2"/>
                <w:sz w:val="21"/>
                <w:szCs w:val="21"/>
                <w:lang w:val="en-US" w:eastAsia="zh-CN" w:bidi="ar-SA"/>
              </w:rPr>
              <w:t>8969432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28</w:t>
            </w:r>
          </w:p>
        </w:tc>
        <w:tc>
          <w:tcPr>
            <w:tcW w:w="3299" w:type="dxa"/>
            <w:vAlign w:val="center"/>
          </w:tcPr>
          <w:p>
            <w:pPr>
              <w:pStyle w:val="7"/>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b w:val="0"/>
                <w:bCs w:val="0"/>
                <w:color w:val="auto"/>
                <w:kern w:val="2"/>
                <w:sz w:val="21"/>
                <w:szCs w:val="21"/>
                <w:lang w:val="en-US" w:eastAsia="zh-CN" w:bidi="ar-SA"/>
              </w:rPr>
              <w:t>信访局</w:t>
            </w:r>
          </w:p>
        </w:tc>
        <w:tc>
          <w:tcPr>
            <w:tcW w:w="3706" w:type="dxa"/>
            <w:vAlign w:val="center"/>
          </w:tcPr>
          <w:p>
            <w:pPr>
              <w:pStyle w:val="7"/>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0477-8691833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29</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团旗委</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0477-8969308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30</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旗妇联</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0477-8969301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31</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旗红十字会</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0477-8969090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32</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旗残联</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0477-8969204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33</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color w:val="auto"/>
                <w:kern w:val="2"/>
                <w:sz w:val="21"/>
                <w:szCs w:val="21"/>
                <w:lang w:val="en-US" w:eastAsia="zh-CN" w:bidi="ar-SA"/>
              </w:rPr>
              <w:t>供电分公司</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0477-8597309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34</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color w:val="auto"/>
                <w:kern w:val="2"/>
                <w:sz w:val="21"/>
                <w:szCs w:val="21"/>
                <w:lang w:val="en-US" w:eastAsia="zh-CN" w:bidi="ar-SA"/>
              </w:rPr>
              <w:t>邮政公司</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w:t>
            </w:r>
            <w:r>
              <w:rPr>
                <w:rFonts w:hint="eastAsia" w:ascii="仿宋_GB2312" w:hAnsi="仿宋_GB2312" w:eastAsia="仿宋_GB2312" w:cs="仿宋_GB2312"/>
                <w:color w:val="auto"/>
                <w:kern w:val="2"/>
                <w:sz w:val="21"/>
                <w:szCs w:val="21"/>
                <w:lang w:val="en-US" w:eastAsia="zh-CN" w:bidi="ar-SA"/>
              </w:rPr>
              <w:t>8681150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35</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color w:val="auto"/>
                <w:kern w:val="2"/>
                <w:sz w:val="21"/>
                <w:szCs w:val="21"/>
                <w:lang w:val="en-US" w:eastAsia="zh-CN" w:bidi="ar-SA"/>
              </w:rPr>
              <w:t>融媒体中心</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0477-8963190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36</w:t>
            </w:r>
          </w:p>
        </w:tc>
        <w:tc>
          <w:tcPr>
            <w:tcW w:w="3299" w:type="dxa"/>
            <w:vAlign w:val="center"/>
          </w:tcPr>
          <w:p>
            <w:pPr>
              <w:pStyle w:val="7"/>
              <w:ind w:left="0" w:lef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color w:val="auto"/>
                <w:kern w:val="2"/>
                <w:sz w:val="21"/>
                <w:szCs w:val="21"/>
                <w:lang w:val="en-US" w:eastAsia="zh-CN" w:bidi="ar-SA"/>
              </w:rPr>
              <w:t>消防大队</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0477-2265119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pStyle w:val="7"/>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37</w:t>
            </w:r>
          </w:p>
        </w:tc>
        <w:tc>
          <w:tcPr>
            <w:tcW w:w="3299" w:type="dxa"/>
            <w:vAlign w:val="center"/>
          </w:tcPr>
          <w:p>
            <w:pPr>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vertAlign w:val="baseline"/>
                <w:lang w:val="en-US" w:eastAsia="zh-CN"/>
              </w:rPr>
              <w:t>旗</w:t>
            </w:r>
            <w:r>
              <w:rPr>
                <w:rFonts w:hint="eastAsia" w:ascii="仿宋_GB2312" w:hAnsi="仿宋_GB2312" w:eastAsia="仿宋_GB2312" w:cs="仿宋_GB2312"/>
                <w:color w:val="auto"/>
                <w:kern w:val="2"/>
                <w:sz w:val="21"/>
                <w:szCs w:val="21"/>
                <w:lang w:val="en-US" w:eastAsia="zh-CN" w:bidi="ar-SA"/>
              </w:rPr>
              <w:t>矿区消防大队</w:t>
            </w:r>
          </w:p>
        </w:tc>
        <w:tc>
          <w:tcPr>
            <w:tcW w:w="3706" w:type="dxa"/>
            <w:vAlign w:val="center"/>
          </w:tcPr>
          <w:p>
            <w:pPr>
              <w:pStyle w:val="7"/>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lang w:val="en-US" w:eastAsia="zh-CN" w:bidi="ar-SA"/>
              </w:rPr>
              <w:t>0477-2298119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17" w:type="dxa"/>
            <w:vAlign w:val="center"/>
          </w:tcPr>
          <w:p>
            <w:pPr>
              <w:bidi w:val="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lang w:val="en-US" w:eastAsia="zh-CN"/>
              </w:rPr>
              <w:t>38</w:t>
            </w:r>
          </w:p>
        </w:tc>
        <w:tc>
          <w:tcPr>
            <w:tcW w:w="3299" w:type="dxa"/>
            <w:vAlign w:val="center"/>
          </w:tcPr>
          <w:p>
            <w:pPr>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蒙苏经济开发区</w:t>
            </w:r>
          </w:p>
        </w:tc>
        <w:tc>
          <w:tcPr>
            <w:tcW w:w="3706" w:type="dxa"/>
            <w:vAlign w:val="center"/>
          </w:tcPr>
          <w:p>
            <w:pPr>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0477-8969460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17" w:type="dxa"/>
            <w:vAlign w:val="center"/>
          </w:tcPr>
          <w:p>
            <w:pPr>
              <w:bidi w:val="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39</w:t>
            </w:r>
          </w:p>
        </w:tc>
        <w:tc>
          <w:tcPr>
            <w:tcW w:w="3299" w:type="dxa"/>
            <w:vAlign w:val="center"/>
          </w:tcPr>
          <w:p>
            <w:pPr>
              <w:pStyle w:val="7"/>
              <w:spacing w:line="240" w:lineRule="auto"/>
              <w:ind w:left="0" w:lef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内蒙古西部天然气管道运行有限责任公司</w:t>
            </w:r>
          </w:p>
        </w:tc>
        <w:tc>
          <w:tcPr>
            <w:tcW w:w="3706" w:type="dxa"/>
            <w:vAlign w:val="center"/>
          </w:tcPr>
          <w:p>
            <w:pPr>
              <w:pStyle w:val="7"/>
              <w:spacing w:line="240" w:lineRule="auto"/>
              <w:ind w:left="0" w:lef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17516722866</w:t>
            </w:r>
            <w:r>
              <w:rPr>
                <w:rFonts w:hint="eastAsia" w:ascii="仿宋_GB2312" w:hAnsi="仿宋_GB2312" w:eastAsia="仿宋_GB2312" w:cs="仿宋_GB2312"/>
                <w:color w:val="auto"/>
                <w:kern w:val="2"/>
                <w:sz w:val="21"/>
                <w:szCs w:val="21"/>
                <w:lang w:val="en-US" w:eastAsia="zh-CN" w:bidi="ar-SA"/>
              </w:rPr>
              <w:br w:type="textWrapping"/>
            </w:r>
            <w:r>
              <w:rPr>
                <w:rFonts w:hint="eastAsia" w:ascii="仿宋_GB2312" w:hAnsi="仿宋_GB2312" w:eastAsia="仿宋_GB2312" w:cs="仿宋_GB2312"/>
                <w:color w:val="auto"/>
                <w:kern w:val="2"/>
                <w:sz w:val="21"/>
                <w:szCs w:val="21"/>
                <w:lang w:val="en-US" w:eastAsia="zh-CN" w:bidi="ar-SA"/>
              </w:rPr>
              <w:t>18839335337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17" w:type="dxa"/>
            <w:vAlign w:val="center"/>
          </w:tcPr>
          <w:p>
            <w:pPr>
              <w:bidi w:val="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40</w:t>
            </w:r>
          </w:p>
        </w:tc>
        <w:tc>
          <w:tcPr>
            <w:tcW w:w="3299" w:type="dxa"/>
            <w:vAlign w:val="center"/>
          </w:tcPr>
          <w:p>
            <w:pPr>
              <w:pStyle w:val="7"/>
              <w:spacing w:line="240" w:lineRule="auto"/>
              <w:ind w:left="0" w:lef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国家管网北京管道有限公司内蒙古输油气分公司鄂尔多斯作业区</w:t>
            </w:r>
          </w:p>
        </w:tc>
        <w:tc>
          <w:tcPr>
            <w:tcW w:w="3706" w:type="dxa"/>
            <w:vAlign w:val="center"/>
          </w:tcPr>
          <w:p>
            <w:pPr>
              <w:pStyle w:val="7"/>
              <w:spacing w:line="240" w:lineRule="auto"/>
              <w:ind w:left="0" w:lef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13203515222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17" w:type="dxa"/>
            <w:vAlign w:val="center"/>
          </w:tcPr>
          <w:p>
            <w:pPr>
              <w:bidi w:val="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41</w:t>
            </w:r>
          </w:p>
        </w:tc>
        <w:tc>
          <w:tcPr>
            <w:tcW w:w="3299" w:type="dxa"/>
            <w:vAlign w:val="center"/>
          </w:tcPr>
          <w:p>
            <w:pPr>
              <w:pStyle w:val="7"/>
              <w:spacing w:line="240" w:lineRule="auto"/>
              <w:ind w:left="0" w:lef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内蒙古华屹天然气管道有限公司</w:t>
            </w:r>
          </w:p>
        </w:tc>
        <w:tc>
          <w:tcPr>
            <w:tcW w:w="3706" w:type="dxa"/>
            <w:vAlign w:val="center"/>
          </w:tcPr>
          <w:p>
            <w:pPr>
              <w:pStyle w:val="7"/>
              <w:spacing w:line="240" w:lineRule="auto"/>
              <w:ind w:left="0" w:lef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15633509239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17" w:type="dxa"/>
            <w:vAlign w:val="center"/>
          </w:tcPr>
          <w:p>
            <w:pPr>
              <w:bidi w:val="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42</w:t>
            </w:r>
          </w:p>
        </w:tc>
        <w:tc>
          <w:tcPr>
            <w:tcW w:w="3299" w:type="dxa"/>
            <w:vAlign w:val="center"/>
          </w:tcPr>
          <w:p>
            <w:pPr>
              <w:pStyle w:val="7"/>
              <w:spacing w:line="240" w:lineRule="auto"/>
              <w:ind w:left="0" w:lef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内蒙古新圣天然气管道有限公司</w:t>
            </w:r>
          </w:p>
        </w:tc>
        <w:tc>
          <w:tcPr>
            <w:tcW w:w="3706" w:type="dxa"/>
            <w:vAlign w:val="center"/>
          </w:tcPr>
          <w:p>
            <w:pPr>
              <w:pStyle w:val="7"/>
              <w:spacing w:line="240" w:lineRule="auto"/>
              <w:ind w:left="0" w:leftChars="0" w:firstLine="0"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18247759891</w:t>
            </w:r>
          </w:p>
        </w:tc>
      </w:tr>
    </w:tbl>
    <w:p>
      <w:pPr>
        <w:pStyle w:val="7"/>
        <w:pageBreakBefore w:val="0"/>
        <w:kinsoku/>
        <w:wordWrap/>
        <w:bidi w:val="0"/>
        <w:adjustRightInd/>
        <w:snapToGrid/>
        <w:spacing w:line="560" w:lineRule="exact"/>
        <w:rPr>
          <w:rFonts w:hint="eastAsia" w:ascii="黑体" w:hAnsi="黑体" w:cs="黑体"/>
          <w:color w:val="auto"/>
          <w:lang w:val="en-US" w:eastAsia="zh-CN"/>
        </w:rPr>
      </w:pPr>
    </w:p>
    <w:p>
      <w:pPr>
        <w:pageBreakBefore w:val="0"/>
        <w:kinsoku/>
        <w:wordWrap/>
        <w:bidi w:val="0"/>
        <w:adjustRightInd/>
        <w:snapToGrid/>
        <w:spacing w:line="560" w:lineRule="exact"/>
        <w:rPr>
          <w:rFonts w:hint="eastAsia" w:ascii="黑体" w:hAnsi="黑体" w:eastAsia="黑体" w:cs="黑体"/>
          <w:bCs w:val="0"/>
          <w:color w:val="auto"/>
          <w:kern w:val="2"/>
          <w:sz w:val="32"/>
          <w:szCs w:val="32"/>
          <w:lang w:val="en-US" w:eastAsia="zh-CN" w:bidi="ar-SA"/>
        </w:rPr>
      </w:pPr>
      <w:r>
        <w:rPr>
          <w:rFonts w:hint="eastAsia" w:ascii="黑体" w:hAnsi="黑体" w:eastAsia="黑体" w:cs="黑体"/>
          <w:bCs w:val="0"/>
          <w:color w:val="auto"/>
          <w:kern w:val="2"/>
          <w:sz w:val="32"/>
          <w:szCs w:val="32"/>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60" w:after="240" w:line="560" w:lineRule="exact"/>
        <w:ind w:firstLine="640" w:firstLineChars="200"/>
        <w:jc w:val="both"/>
        <w:textAlignment w:val="auto"/>
        <w:outlineLvl w:val="9"/>
        <w:rPr>
          <w:rFonts w:hint="eastAsia" w:ascii="黑体" w:hAnsi="黑体" w:eastAsia="黑体" w:cs="黑体"/>
          <w:bCs w:val="0"/>
          <w:color w:val="auto"/>
          <w:kern w:val="2"/>
          <w:sz w:val="32"/>
          <w:szCs w:val="32"/>
          <w:lang w:val="en-US" w:eastAsia="zh-CN" w:bidi="ar-SA"/>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5"/>
        <w:pageBreakBefore w:val="0"/>
        <w:numPr>
          <w:ilvl w:val="0"/>
          <w:numId w:val="0"/>
        </w:numPr>
        <w:kinsoku/>
        <w:wordWrap/>
        <w:bidi w:val="0"/>
        <w:adjustRightInd/>
        <w:snapToGrid/>
        <w:spacing w:line="560" w:lineRule="exact"/>
        <w:outlineLvl w:val="1"/>
        <w:rPr>
          <w:rFonts w:hint="eastAsia" w:ascii="黑体" w:hAnsi="黑体" w:cs="黑体"/>
          <w:color w:val="auto"/>
          <w:lang w:val="en-US" w:eastAsia="zh-CN"/>
        </w:rPr>
      </w:pPr>
      <w:bookmarkStart w:id="180" w:name="_Toc3862"/>
      <w:r>
        <w:rPr>
          <w:rFonts w:hint="eastAsia" w:ascii="黑体" w:hAnsi="黑体" w:cs="黑体"/>
          <w:color w:val="auto"/>
          <w:lang w:val="en-US" w:eastAsia="zh-CN"/>
        </w:rPr>
        <w:t>附件5</w:t>
      </w:r>
      <w:bookmarkEnd w:id="180"/>
    </w:p>
    <w:p>
      <w:pPr>
        <w:pStyle w:val="5"/>
        <w:pageBreakBefore w:val="0"/>
        <w:numPr>
          <w:ilvl w:val="0"/>
          <w:numId w:val="0"/>
        </w:numPr>
        <w:kinsoku/>
        <w:wordWrap/>
        <w:bidi w:val="0"/>
        <w:adjustRightInd/>
        <w:snapToGrid/>
        <w:spacing w:line="560" w:lineRule="exact"/>
        <w:jc w:val="center"/>
        <w:outlineLvl w:val="1"/>
        <w:rPr>
          <w:rFonts w:hint="default" w:ascii="方正小标宋简体" w:hAnsi="方正小标宋简体" w:eastAsia="方正小标宋简体" w:cs="方正小标宋简体"/>
          <w:color w:val="auto"/>
          <w:sz w:val="44"/>
          <w:szCs w:val="44"/>
          <w:lang w:val="en-US" w:eastAsia="zh-CN"/>
        </w:rPr>
      </w:pPr>
      <w:bookmarkStart w:id="181" w:name="_Toc14383"/>
      <w:r>
        <w:rPr>
          <w:rFonts w:hint="eastAsia" w:ascii="方正小标宋简体" w:hAnsi="方正小标宋简体" w:eastAsia="方正小标宋简体" w:cs="方正小标宋简体"/>
          <w:color w:val="auto"/>
          <w:sz w:val="44"/>
          <w:szCs w:val="44"/>
          <w:lang w:val="en-US" w:eastAsia="zh-CN"/>
        </w:rPr>
        <w:t>旗应急队伍情况表</w:t>
      </w:r>
      <w:bookmarkEnd w:id="181"/>
    </w:p>
    <w:p>
      <w:pPr>
        <w:pStyle w:val="2"/>
        <w:jc w:val="center"/>
        <w:rPr>
          <w:rFonts w:hint="eastAsia" w:ascii="仿宋_GB2312" w:hAnsi="仿宋_GB2312" w:eastAsia="仿宋_GB2312" w:cs="仿宋_GB2312"/>
          <w:b/>
          <w:bCs/>
          <w:color w:val="auto"/>
          <w:sz w:val="21"/>
          <w:szCs w:val="24"/>
          <w:lang w:val="en-US" w:eastAsia="zh-CN"/>
        </w:rPr>
      </w:pPr>
      <w:r>
        <w:rPr>
          <w:rFonts w:hint="eastAsia" w:ascii="仿宋_GB2312" w:hAnsi="仿宋_GB2312" w:eastAsia="仿宋_GB2312" w:cs="仿宋_GB2312"/>
          <w:b/>
          <w:bCs/>
          <w:color w:val="auto"/>
          <w:sz w:val="21"/>
          <w:szCs w:val="24"/>
          <w:lang w:val="en-US" w:eastAsia="zh-CN"/>
        </w:rPr>
        <w:t>表1—伊金霍洛旗专业救援队伍情况表</w:t>
      </w:r>
    </w:p>
    <w:tbl>
      <w:tblPr>
        <w:tblStyle w:val="14"/>
        <w:tblW w:w="84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79"/>
        <w:gridCol w:w="2678"/>
        <w:gridCol w:w="2320"/>
        <w:gridCol w:w="830"/>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tblHeader/>
          <w:jc w:val="center"/>
        </w:trPr>
        <w:tc>
          <w:tcPr>
            <w:tcW w:w="6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序号</w:t>
            </w:r>
          </w:p>
        </w:tc>
        <w:tc>
          <w:tcPr>
            <w:tcW w:w="26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b/>
                <w:bCs/>
                <w:i w:val="0"/>
                <w:iCs w:val="0"/>
                <w:color w:val="auto"/>
                <w:kern w:val="0"/>
                <w:sz w:val="21"/>
                <w:szCs w:val="21"/>
                <w:u w:val="none"/>
                <w:lang w:val="en-US" w:eastAsia="zh-CN" w:bidi="ar"/>
              </w:rPr>
            </w:pPr>
            <w:r>
              <w:rPr>
                <w:rFonts w:hint="eastAsia" w:ascii="仿宋_GB2312" w:hAnsi="仿宋_GB2312" w:eastAsia="仿宋_GB2312" w:cs="仿宋_GB2312"/>
                <w:b/>
                <w:bCs/>
                <w:i w:val="0"/>
                <w:iCs w:val="0"/>
                <w:color w:val="auto"/>
                <w:kern w:val="0"/>
                <w:sz w:val="21"/>
                <w:szCs w:val="21"/>
                <w:u w:val="none"/>
                <w:lang w:val="en-US" w:eastAsia="zh-CN" w:bidi="ar"/>
              </w:rPr>
              <w:t>应急救援</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队伍名称</w:t>
            </w:r>
          </w:p>
        </w:tc>
        <w:tc>
          <w:tcPr>
            <w:tcW w:w="23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位置</w:t>
            </w:r>
          </w:p>
        </w:tc>
        <w:tc>
          <w:tcPr>
            <w:tcW w:w="8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队伍人数</w:t>
            </w:r>
          </w:p>
        </w:tc>
        <w:tc>
          <w:tcPr>
            <w:tcW w:w="19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值班电话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0" w:hRule="atLeast"/>
          <w:jc w:val="center"/>
        </w:trPr>
        <w:tc>
          <w:tcPr>
            <w:tcW w:w="6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26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伊金霍洛旗消防救援大队</w:t>
            </w:r>
          </w:p>
        </w:tc>
        <w:tc>
          <w:tcPr>
            <w:tcW w:w="23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内蒙古鄂尔多斯市伊金霍洛旗泰康东街与和春路交汇处</w:t>
            </w:r>
          </w:p>
        </w:tc>
        <w:tc>
          <w:tcPr>
            <w:tcW w:w="8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128</w:t>
            </w:r>
          </w:p>
        </w:tc>
        <w:tc>
          <w:tcPr>
            <w:tcW w:w="19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0477-2265119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6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26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伊金霍洛旗布连矿区消防救援大队</w:t>
            </w:r>
          </w:p>
        </w:tc>
        <w:tc>
          <w:tcPr>
            <w:tcW w:w="23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鄂尔多斯市伊旗乌兰木伦镇</w:t>
            </w:r>
          </w:p>
        </w:tc>
        <w:tc>
          <w:tcPr>
            <w:tcW w:w="8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49</w:t>
            </w:r>
          </w:p>
        </w:tc>
        <w:tc>
          <w:tcPr>
            <w:tcW w:w="19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0477-2273119</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0477-2282119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6" w:hRule="atLeast"/>
          <w:jc w:val="center"/>
        </w:trPr>
        <w:tc>
          <w:tcPr>
            <w:tcW w:w="6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26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伊旗鄂尔多斯机场消防队</w:t>
            </w:r>
          </w:p>
        </w:tc>
        <w:tc>
          <w:tcPr>
            <w:tcW w:w="23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鄂尔多斯机场飞行区内</w:t>
            </w:r>
          </w:p>
        </w:tc>
        <w:tc>
          <w:tcPr>
            <w:tcW w:w="8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38</w:t>
            </w:r>
          </w:p>
        </w:tc>
        <w:tc>
          <w:tcPr>
            <w:tcW w:w="19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0477-3855727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2" w:hRule="atLeast"/>
          <w:jc w:val="center"/>
        </w:trPr>
        <w:tc>
          <w:tcPr>
            <w:tcW w:w="6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26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国电建投公司启安专职消防队</w:t>
            </w:r>
          </w:p>
        </w:tc>
        <w:tc>
          <w:tcPr>
            <w:tcW w:w="23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乌兰木伦镇察哈素煤矿救护楼</w:t>
            </w:r>
          </w:p>
        </w:tc>
        <w:tc>
          <w:tcPr>
            <w:tcW w:w="8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19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0477-8977119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0" w:hRule="atLeast"/>
          <w:jc w:val="center"/>
        </w:trPr>
        <w:tc>
          <w:tcPr>
            <w:tcW w:w="6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26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伊金霍洛旗应急管理局综合应急救援大队</w:t>
            </w:r>
          </w:p>
        </w:tc>
        <w:tc>
          <w:tcPr>
            <w:tcW w:w="23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阿腾席热镇母亲公园</w:t>
            </w:r>
          </w:p>
        </w:tc>
        <w:tc>
          <w:tcPr>
            <w:tcW w:w="8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71</w:t>
            </w:r>
          </w:p>
        </w:tc>
        <w:tc>
          <w:tcPr>
            <w:tcW w:w="19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0477-8966579</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0477-8960579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4" w:hRule="atLeast"/>
          <w:jc w:val="center"/>
        </w:trPr>
        <w:tc>
          <w:tcPr>
            <w:tcW w:w="6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w:t>
            </w:r>
          </w:p>
        </w:tc>
        <w:tc>
          <w:tcPr>
            <w:tcW w:w="26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汇能煤化工专职消防队</w:t>
            </w:r>
          </w:p>
        </w:tc>
        <w:tc>
          <w:tcPr>
            <w:tcW w:w="23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伊金霍洛旗纳林陶亥镇汇能工业园区</w:t>
            </w:r>
          </w:p>
        </w:tc>
        <w:tc>
          <w:tcPr>
            <w:tcW w:w="8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43</w:t>
            </w:r>
          </w:p>
        </w:tc>
        <w:tc>
          <w:tcPr>
            <w:tcW w:w="19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0477-3858119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jc w:val="center"/>
        </w:trPr>
        <w:tc>
          <w:tcPr>
            <w:tcW w:w="6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w:t>
            </w:r>
          </w:p>
        </w:tc>
        <w:tc>
          <w:tcPr>
            <w:tcW w:w="26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鄂尔多斯煤制油消防气防中心应急救援队</w:t>
            </w:r>
          </w:p>
        </w:tc>
        <w:tc>
          <w:tcPr>
            <w:tcW w:w="23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伊金霍洛旗乌兰木伦镇</w:t>
            </w:r>
          </w:p>
        </w:tc>
        <w:tc>
          <w:tcPr>
            <w:tcW w:w="8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52</w:t>
            </w:r>
          </w:p>
        </w:tc>
        <w:tc>
          <w:tcPr>
            <w:tcW w:w="19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0477-8923489</w:t>
            </w:r>
          </w:p>
        </w:tc>
      </w:tr>
    </w:tbl>
    <w:p>
      <w:pPr>
        <w:pStyle w:val="2"/>
        <w:jc w:val="center"/>
        <w:rPr>
          <w:rFonts w:hint="eastAsia" w:ascii="仿宋_GB2312" w:hAnsi="仿宋_GB2312" w:eastAsia="仿宋_GB2312" w:cs="仿宋_GB2312"/>
          <w:b/>
          <w:bCs/>
          <w:color w:val="auto"/>
          <w:sz w:val="21"/>
          <w:szCs w:val="24"/>
          <w:lang w:val="en-US" w:eastAsia="zh-CN"/>
        </w:rPr>
      </w:pPr>
    </w:p>
    <w:p>
      <w:pPr>
        <w:pStyle w:val="2"/>
        <w:jc w:val="center"/>
        <w:rPr>
          <w:rFonts w:hint="eastAsia" w:ascii="仿宋_GB2312" w:hAnsi="仿宋_GB2312" w:eastAsia="仿宋_GB2312" w:cs="仿宋_GB2312"/>
          <w:b/>
          <w:bCs/>
          <w:color w:val="auto"/>
          <w:sz w:val="21"/>
          <w:szCs w:val="24"/>
          <w:lang w:val="en-US" w:eastAsia="zh-CN"/>
        </w:rPr>
      </w:pPr>
      <w:r>
        <w:rPr>
          <w:rFonts w:hint="eastAsia" w:ascii="仿宋_GB2312" w:hAnsi="仿宋_GB2312" w:eastAsia="仿宋_GB2312" w:cs="仿宋_GB2312"/>
          <w:b/>
          <w:bCs/>
          <w:color w:val="auto"/>
          <w:sz w:val="21"/>
          <w:szCs w:val="24"/>
          <w:lang w:val="en-US" w:eastAsia="zh-CN"/>
        </w:rPr>
        <w:t>表2—伊金霍洛旗管道抢修队伍情况表</w:t>
      </w:r>
    </w:p>
    <w:tbl>
      <w:tblPr>
        <w:tblStyle w:val="14"/>
        <w:tblW w:w="84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2680"/>
        <w:gridCol w:w="2310"/>
        <w:gridCol w:w="80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序号</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企业名称</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应急队伍名称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队伍人数</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负责人及联系电话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内蒙古西部天然气管道运行有限责任公司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中化华油建设集团有限公司</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程鸿杰17516722866</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刘晓飞18839335337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国家管网北京管道有限公司内蒙古输油气分公司鄂尔多斯作业区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国家管网北京管道有限公司内蒙古输油气分公司托克托维抢修队（专职）</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王志斌</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13203515222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内蒙古华屹天然气管道有限公司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中石化工建设有限公司</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戈风岗15633509239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内蒙古新圣天然气管道有限公司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中石化工建设有限公司</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刘建辉18730857111</w:t>
            </w:r>
          </w:p>
        </w:tc>
      </w:tr>
    </w:tbl>
    <w:p>
      <w:pPr>
        <w:pStyle w:val="2"/>
        <w:rPr>
          <w:rFonts w:hint="eastAsia"/>
          <w:color w:val="auto"/>
          <w:lang w:val="en-US" w:eastAsia="zh-CN"/>
        </w:rPr>
        <w:sectPr>
          <w:pgSz w:w="11906" w:h="16838"/>
          <w:pgMar w:top="1440" w:right="1800" w:bottom="1440" w:left="1800" w:header="851" w:footer="992" w:gutter="0"/>
          <w:pgNumType w:fmt="numberInDash"/>
          <w:cols w:space="425" w:num="1"/>
          <w:docGrid w:type="lines" w:linePitch="312" w:charSpace="0"/>
        </w:sectPr>
      </w:pP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textAlignment w:val="auto"/>
        <w:outlineLvl w:val="1"/>
        <w:rPr>
          <w:rFonts w:hint="eastAsia" w:ascii="黑体" w:hAnsi="黑体" w:cs="黑体"/>
          <w:color w:val="auto"/>
          <w:lang w:val="en-US" w:eastAsia="zh-CN"/>
        </w:rPr>
      </w:pPr>
      <w:bookmarkStart w:id="182" w:name="_Toc8268"/>
      <w:bookmarkStart w:id="183" w:name="_Toc830"/>
      <w:bookmarkStart w:id="184" w:name="_Toc20306"/>
      <w:bookmarkStart w:id="185" w:name="_Toc4866"/>
      <w:r>
        <w:rPr>
          <w:rFonts w:hint="eastAsia" w:ascii="黑体" w:hAnsi="黑体" w:cs="黑体"/>
          <w:color w:val="auto"/>
          <w:lang w:val="en-US" w:eastAsia="zh-CN"/>
        </w:rPr>
        <w:t>附件</w:t>
      </w:r>
      <w:bookmarkEnd w:id="182"/>
      <w:bookmarkEnd w:id="183"/>
      <w:bookmarkEnd w:id="184"/>
      <w:r>
        <w:rPr>
          <w:rFonts w:hint="eastAsia" w:ascii="黑体" w:hAnsi="黑体" w:cs="黑体"/>
          <w:color w:val="auto"/>
          <w:lang w:val="en-US" w:eastAsia="zh-CN"/>
        </w:rPr>
        <w:t>6</w:t>
      </w:r>
      <w:bookmarkEnd w:id="185"/>
    </w:p>
    <w:p>
      <w:pPr>
        <w:pStyle w:val="7"/>
        <w:rPr>
          <w:rFonts w:hint="eastAsia"/>
          <w:color w:val="auto"/>
          <w:lang w:val="en-US" w:eastAsia="zh-CN"/>
        </w:rPr>
      </w:pP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1"/>
        <w:rPr>
          <w:rFonts w:hint="eastAsia" w:ascii="方正小标宋简体" w:hAnsi="方正小标宋简体" w:eastAsia="方正小标宋简体" w:cs="方正小标宋简体"/>
          <w:color w:val="auto"/>
          <w:sz w:val="44"/>
          <w:szCs w:val="44"/>
          <w:lang w:val="en-US" w:eastAsia="zh-CN"/>
        </w:rPr>
      </w:pPr>
      <w:bookmarkStart w:id="186" w:name="_Toc14049"/>
      <w:bookmarkStart w:id="187" w:name="_Toc15689"/>
      <w:bookmarkStart w:id="188" w:name="_Toc29648"/>
      <w:bookmarkStart w:id="189" w:name="_Toc9781"/>
      <w:r>
        <w:rPr>
          <w:rFonts w:hint="eastAsia" w:ascii="方正小标宋简体" w:hAnsi="方正小标宋简体" w:eastAsia="方正小标宋简体" w:cs="方正小标宋简体"/>
          <w:color w:val="auto"/>
          <w:sz w:val="44"/>
          <w:szCs w:val="44"/>
          <w:lang w:val="en-US" w:eastAsia="zh-CN"/>
        </w:rPr>
        <w:t>管道安全事故应急处置流程图</w:t>
      </w:r>
      <w:bookmarkEnd w:id="186"/>
      <w:bookmarkEnd w:id="187"/>
      <w:bookmarkEnd w:id="188"/>
      <w:bookmarkEnd w:id="189"/>
    </w:p>
    <w:p>
      <w:pPr>
        <w:pStyle w:val="2"/>
        <w:ind w:left="0" w:leftChars="0" w:firstLine="0" w:firstLineChars="0"/>
        <w:rPr>
          <w:rFonts w:hint="eastAsia"/>
          <w:color w:val="auto"/>
          <w:lang w:val="en-US" w:eastAsia="zh-CN"/>
        </w:rPr>
      </w:pPr>
      <w:r>
        <w:rPr>
          <w:rFonts w:hint="eastAsia"/>
          <w:color w:val="auto"/>
          <w:lang w:val="en-US" w:eastAsia="zh-CN"/>
        </w:rPr>
        <w:drawing>
          <wp:inline distT="0" distB="0" distL="114300" distR="114300">
            <wp:extent cx="5268595" cy="6805295"/>
            <wp:effectExtent l="0" t="0" r="0" b="0"/>
            <wp:docPr id="2" name="图片 2" descr="伊旗"/>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伊旗"/>
                    <pic:cNvPicPr>
                      <a:picLocks noChangeAspect="true"/>
                    </pic:cNvPicPr>
                  </pic:nvPicPr>
                  <pic:blipFill>
                    <a:blip r:embed="rId6">
                      <a:extLst>
                        <a:ext uri="{96DAC541-7B7A-43D3-8B79-37D633B846F1}">
                          <asvg:svgBlip xmlns:asvg="http://schemas.microsoft.com/office/drawing/2016/SVG/main" r:embed="rId7"/>
                        </a:ext>
                      </a:extLst>
                    </a:blip>
                    <a:stretch>
                      <a:fillRect/>
                    </a:stretch>
                  </pic:blipFill>
                  <pic:spPr>
                    <a:xfrm>
                      <a:off x="0" y="0"/>
                      <a:ext cx="5268595" cy="6805295"/>
                    </a:xfrm>
                    <a:prstGeom prst="rect">
                      <a:avLst/>
                    </a:prstGeom>
                  </pic:spPr>
                </pic:pic>
              </a:graphicData>
            </a:graphic>
          </wp:inline>
        </w:drawing>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Malgun Gothic Semilight">
    <w:altName w:val="文泉驿微米黑"/>
    <w:panose1 w:val="020B0502040204020203"/>
    <w:charset w:val="86"/>
    <w:family w:val="swiss"/>
    <w:pitch w:val="default"/>
    <w:sig w:usb0="00000000" w:usb1="00000000" w:usb2="00000012" w:usb3="00000000" w:csb0="203E01BD" w:csb1="D7FF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48</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48</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BA04F"/>
    <w:multiLevelType w:val="singleLevel"/>
    <w:tmpl w:val="8C8BA04F"/>
    <w:lvl w:ilvl="0" w:tentative="0">
      <w:start w:val="1"/>
      <w:numFmt w:val="decimal"/>
      <w:suff w:val="nothing"/>
      <w:lvlText w:val="%1．"/>
      <w:lvlJc w:val="left"/>
      <w:pPr>
        <w:ind w:left="0" w:firstLine="400"/>
      </w:pPr>
      <w:rPr>
        <w:rFonts w:hint="default"/>
      </w:rPr>
    </w:lvl>
  </w:abstractNum>
  <w:abstractNum w:abstractNumId="1">
    <w:nsid w:val="DD76DE76"/>
    <w:multiLevelType w:val="singleLevel"/>
    <w:tmpl w:val="DD76DE76"/>
    <w:lvl w:ilvl="0" w:tentative="0">
      <w:start w:val="1"/>
      <w:numFmt w:val="decimal"/>
      <w:suff w:val="nothing"/>
      <w:lvlText w:val="%1．"/>
      <w:lvlJc w:val="left"/>
      <w:pPr>
        <w:ind w:left="0" w:firstLine="400"/>
      </w:pPr>
      <w:rPr>
        <w:rFonts w:hint="default"/>
      </w:rPr>
    </w:lvl>
  </w:abstractNum>
  <w:abstractNum w:abstractNumId="2">
    <w:nsid w:val="F8DD9262"/>
    <w:multiLevelType w:val="singleLevel"/>
    <w:tmpl w:val="F8DD9262"/>
    <w:lvl w:ilvl="0" w:tentative="0">
      <w:start w:val="1"/>
      <w:numFmt w:val="decimal"/>
      <w:suff w:val="nothing"/>
      <w:lvlText w:val="%1．"/>
      <w:lvlJc w:val="left"/>
      <w:pPr>
        <w:ind w:left="0" w:firstLine="400"/>
      </w:pPr>
      <w:rPr>
        <w:rFonts w:hint="default"/>
      </w:rPr>
    </w:lvl>
  </w:abstractNum>
  <w:abstractNum w:abstractNumId="3">
    <w:nsid w:val="169F1255"/>
    <w:multiLevelType w:val="multilevel"/>
    <w:tmpl w:val="169F1255"/>
    <w:lvl w:ilvl="0" w:tentative="0">
      <w:start w:val="1"/>
      <w:numFmt w:val="decimal"/>
      <w:lvlText w:val="%1"/>
      <w:lvlJc w:val="left"/>
      <w:pPr>
        <w:ind w:left="852" w:hanging="432"/>
      </w:pPr>
      <w:rPr>
        <w:rFonts w:hint="default" w:ascii="Arial" w:hAnsi="Arial" w:eastAsia="Malgun Gothic Semilight" w:cs="Arial"/>
        <w:b w:val="0"/>
        <w:bCs w:val="0"/>
      </w:rPr>
    </w:lvl>
    <w:lvl w:ilvl="1" w:tentative="0">
      <w:start w:val="1"/>
      <w:numFmt w:val="decimal"/>
      <w:pStyle w:val="5"/>
      <w:lvlText w:val="%1.%2"/>
      <w:lvlJc w:val="left"/>
      <w:pPr>
        <w:ind w:left="996" w:hanging="576"/>
      </w:pPr>
      <w:rPr>
        <w:rFonts w:hint="default" w:ascii="Arial" w:hAnsi="Arial" w:cs="Arial"/>
        <w:b w:val="0"/>
        <w:bCs w:val="0"/>
        <w:sz w:val="32"/>
        <w:szCs w:val="32"/>
      </w:rPr>
    </w:lvl>
    <w:lvl w:ilvl="2" w:tentative="0">
      <w:start w:val="1"/>
      <w:numFmt w:val="decimal"/>
      <w:lvlText w:val="%1.%2.%3"/>
      <w:lvlJc w:val="left"/>
      <w:pPr>
        <w:ind w:left="1282" w:hanging="720"/>
      </w:pPr>
      <w:rPr>
        <w:rFonts w:hint="default" w:ascii="Arial" w:hAnsi="Arial" w:cs="Arial"/>
        <w:sz w:val="30"/>
        <w:szCs w:val="30"/>
      </w:rPr>
    </w:lvl>
    <w:lvl w:ilvl="3" w:tentative="0">
      <w:start w:val="1"/>
      <w:numFmt w:val="decimal"/>
      <w:lvlText w:val="%1.%2.%3.%4"/>
      <w:lvlJc w:val="left"/>
      <w:pPr>
        <w:ind w:left="1284" w:hanging="864"/>
      </w:pPr>
      <w:rPr>
        <w:rFonts w:hint="default" w:ascii="Arial" w:hAnsi="Arial" w:cs="Arial"/>
      </w:rPr>
    </w:lvl>
    <w:lvl w:ilvl="4" w:tentative="0">
      <w:start w:val="1"/>
      <w:numFmt w:val="decimal"/>
      <w:lvlText w:val="%1.%2.%3.%4.%5"/>
      <w:lvlJc w:val="left"/>
      <w:pPr>
        <w:ind w:left="1428" w:hanging="1008"/>
      </w:pPr>
      <w:rPr>
        <w:rFonts w:hint="default" w:ascii="Arial" w:hAnsi="Arial" w:cs="Arial"/>
      </w:rPr>
    </w:lvl>
    <w:lvl w:ilvl="5" w:tentative="0">
      <w:start w:val="1"/>
      <w:numFmt w:val="decimal"/>
      <w:lvlText w:val="%1.%2.%3.%4.%5.%6"/>
      <w:lvlJc w:val="left"/>
      <w:pPr>
        <w:ind w:left="1572" w:hanging="1152"/>
      </w:pPr>
      <w:rPr>
        <w:rFonts w:hint="default" w:ascii="Arial" w:hAnsi="Arial" w:cs="Arial"/>
        <w:b w:val="0"/>
        <w:bCs/>
      </w:rPr>
    </w:lvl>
    <w:lvl w:ilvl="6" w:tentative="0">
      <w:start w:val="1"/>
      <w:numFmt w:val="decimal"/>
      <w:lvlText w:val="%1.%2.%3.%4.%5.%6.%7"/>
      <w:lvlJc w:val="left"/>
      <w:pPr>
        <w:ind w:left="1716" w:hanging="1296"/>
      </w:pPr>
    </w:lvl>
    <w:lvl w:ilvl="7" w:tentative="0">
      <w:start w:val="1"/>
      <w:numFmt w:val="decimal"/>
      <w:lvlText w:val="%1.%2.%3.%4.%5.%6.%7.%8"/>
      <w:lvlJc w:val="left"/>
      <w:pPr>
        <w:ind w:left="1860" w:hanging="1440"/>
      </w:pPr>
    </w:lvl>
    <w:lvl w:ilvl="8" w:tentative="0">
      <w:start w:val="1"/>
      <w:numFmt w:val="decimal"/>
      <w:lvlText w:val="%1.%2.%3.%4.%5.%6.%7.%8.%9"/>
      <w:lvlJc w:val="left"/>
      <w:pPr>
        <w:ind w:left="200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1MWFkNDRlY2UyOTQ3YzI3YzMzNTIwYWRiYWYxNTYifQ=="/>
  </w:docVars>
  <w:rsids>
    <w:rsidRoot w:val="4F977123"/>
    <w:rsid w:val="0D2C3CDA"/>
    <w:rsid w:val="1E451549"/>
    <w:rsid w:val="23384D2F"/>
    <w:rsid w:val="25AC43EE"/>
    <w:rsid w:val="28135980"/>
    <w:rsid w:val="2DFE9FC8"/>
    <w:rsid w:val="3CB37071"/>
    <w:rsid w:val="3CFC071D"/>
    <w:rsid w:val="45A56422"/>
    <w:rsid w:val="46190359"/>
    <w:rsid w:val="4B1530DD"/>
    <w:rsid w:val="4EE6279A"/>
    <w:rsid w:val="4F977123"/>
    <w:rsid w:val="5D963C85"/>
    <w:rsid w:val="68410591"/>
    <w:rsid w:val="6B5A26A3"/>
    <w:rsid w:val="6DD5387C"/>
    <w:rsid w:val="71FB1C10"/>
    <w:rsid w:val="76F7F722"/>
    <w:rsid w:val="76FF66F4"/>
    <w:rsid w:val="7B197D62"/>
    <w:rsid w:val="7B645B96"/>
    <w:rsid w:val="7B79CF74"/>
    <w:rsid w:val="7BEFD9C7"/>
    <w:rsid w:val="7D6B16AB"/>
    <w:rsid w:val="7D6B472D"/>
    <w:rsid w:val="BDE6A807"/>
    <w:rsid w:val="BF7F2E5B"/>
    <w:rsid w:val="BFFD62A7"/>
    <w:rsid w:val="D9FF4B34"/>
    <w:rsid w:val="E3E76937"/>
    <w:rsid w:val="E5FF8242"/>
    <w:rsid w:val="F07FD431"/>
    <w:rsid w:val="F11BF35E"/>
    <w:rsid w:val="F7677F8E"/>
    <w:rsid w:val="FD61D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6"/>
    <w:next w:val="7"/>
    <w:qFormat/>
    <w:uiPriority w:val="0"/>
    <w:pPr>
      <w:keepNext/>
      <w:keepLines/>
      <w:numPr>
        <w:ilvl w:val="1"/>
        <w:numId w:val="1"/>
      </w:numPr>
      <w:tabs>
        <w:tab w:val="left" w:pos="709"/>
      </w:tabs>
      <w:spacing w:before="360" w:after="240" w:line="480" w:lineRule="auto"/>
      <w:outlineLvl w:val="1"/>
    </w:pPr>
    <w:rPr>
      <w:rFonts w:ascii="Arial" w:hAnsi="Arial"/>
      <w:bCs w:val="0"/>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0"/>
    <w:pPr>
      <w:spacing w:before="240" w:after="60"/>
      <w:jc w:val="left"/>
      <w:outlineLvl w:val="0"/>
    </w:pPr>
    <w:rPr>
      <w:rFonts w:ascii="华文中宋" w:hAnsi="华文中宋" w:eastAsia="黑体" w:cs="Arial"/>
      <w:bCs/>
      <w:sz w:val="30"/>
      <w:szCs w:val="30"/>
    </w:rPr>
  </w:style>
  <w:style w:type="paragraph" w:customStyle="1" w:styleId="7">
    <w:name w:val="正文首行缩进1"/>
    <w:basedOn w:val="1"/>
    <w:qFormat/>
    <w:uiPriority w:val="0"/>
    <w:pPr>
      <w:spacing w:line="360" w:lineRule="auto"/>
      <w:ind w:firstLine="420" w:firstLineChars="200"/>
      <w:jc w:val="left"/>
    </w:pPr>
    <w:rPr>
      <w:rFonts w:ascii="宋体" w:hAnsi="宋体"/>
      <w:sz w:val="24"/>
    </w:rPr>
  </w:style>
  <w:style w:type="paragraph" w:styleId="8">
    <w:name w:val="Body Text"/>
    <w:basedOn w:val="1"/>
    <w:next w:val="9"/>
    <w:unhideWhenUsed/>
    <w:qFormat/>
    <w:uiPriority w:val="99"/>
    <w:pPr>
      <w:spacing w:after="120"/>
    </w:pPr>
  </w:style>
  <w:style w:type="paragraph" w:styleId="9">
    <w:name w:val="index 9"/>
    <w:basedOn w:val="1"/>
    <w:next w:val="1"/>
    <w:qFormat/>
    <w:uiPriority w:val="0"/>
    <w:pPr>
      <w:ind w:left="3360"/>
    </w:pPr>
  </w:style>
  <w:style w:type="paragraph" w:styleId="10">
    <w:name w:val="footer"/>
    <w:basedOn w:val="1"/>
    <w:qFormat/>
    <w:uiPriority w:val="0"/>
    <w:pPr>
      <w:tabs>
        <w:tab w:val="center" w:pos="4153"/>
        <w:tab w:val="right" w:pos="8306"/>
      </w:tabs>
      <w:snapToGrid w:val="0"/>
      <w:spacing w:line="240" w:lineRule="atLeast"/>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正文首行缩进 21"/>
    <w:basedOn w:val="19"/>
    <w:next w:val="4"/>
    <w:qFormat/>
    <w:uiPriority w:val="0"/>
    <w:pPr>
      <w:keepNext w:val="0"/>
      <w:keepLines w:val="0"/>
      <w:widowControl/>
      <w:suppressLineNumbers w:val="0"/>
      <w:spacing w:before="0" w:beforeAutospacing="0" w:after="0" w:afterAutospacing="0"/>
      <w:ind w:left="200" w:leftChars="200" w:right="0" w:firstLine="200" w:firstLineChars="200"/>
      <w:jc w:val="left"/>
    </w:pPr>
    <w:rPr>
      <w:rFonts w:hint="default" w:ascii="Calibri" w:hAnsi="Calibri" w:eastAsia="仿宋_GB2312" w:cs="Calibri"/>
      <w:kern w:val="0"/>
      <w:sz w:val="24"/>
      <w:szCs w:val="24"/>
      <w:lang w:val="en-US" w:eastAsia="zh-CN" w:bidi="ar"/>
    </w:rPr>
  </w:style>
  <w:style w:type="paragraph" w:customStyle="1" w:styleId="19">
    <w:name w:val="正文文本缩进1"/>
    <w:basedOn w:val="1"/>
    <w:qFormat/>
    <w:uiPriority w:val="0"/>
    <w:pPr>
      <w:ind w:left="200" w:leftChars="200"/>
    </w:pPr>
    <w:rPr>
      <w:rFonts w:ascii="Calibri" w:hAnsi="Calibri" w:eastAsia="宋体" w:cs="Times New Roman"/>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sv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17247</Words>
  <Characters>18256</Characters>
  <Lines>0</Lines>
  <Paragraphs>0</Paragraphs>
  <TotalTime>0</TotalTime>
  <ScaleCrop>false</ScaleCrop>
  <LinksUpToDate>false</LinksUpToDate>
  <CharactersWithSpaces>18595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2024-03-04T06:29:00Z</dcterms:created>
  <dc:creator>韶华录</dc:creator>
  <cp:lastModifiedBy>uos</cp:lastModifiedBy>
  <dcterms:modified xsi:type="dcterms:W3CDTF">2024-11-20T15:39:10Z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B92AB135F32F2D836ACDF26617C40DBA</vt:lpwstr>
  </property>
</Properties>
</file>