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w:t>
      </w:r>
      <w:r>
        <w:rPr>
          <w:rFonts w:hint="eastAsia" w:ascii="方正小标宋_GBK" w:hAnsi="方正小标宋_GBK" w:eastAsia="方正小标宋_GBK" w:cs="方正小标宋_GBK"/>
          <w:b w:val="0"/>
          <w:bCs w:val="0"/>
          <w:color w:val="auto"/>
          <w:sz w:val="44"/>
          <w:szCs w:val="44"/>
          <w:highlight w:val="none"/>
          <w:lang w:val="en-US" w:eastAsia="zh-CN"/>
        </w:rPr>
        <w:t>暖城乐购·伊旗共享”促进消费</w:t>
      </w: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val="en-US" w:eastAsia="zh-CN"/>
        </w:rPr>
        <w:t>活动</w:t>
      </w:r>
      <w:r>
        <w:rPr>
          <w:rFonts w:hint="eastAsia" w:ascii="方正小标宋_GBK" w:hAnsi="方正小标宋_GBK" w:eastAsia="方正小标宋_GBK" w:cs="方正小标宋_GBK"/>
          <w:b w:val="0"/>
          <w:bCs w:val="0"/>
          <w:color w:val="auto"/>
          <w:sz w:val="44"/>
          <w:szCs w:val="44"/>
          <w:highlight w:val="none"/>
          <w:lang w:eastAsia="zh-CN"/>
        </w:rPr>
        <w:t>实施方案</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bookmarkStart w:id="0" w:name="_GoBack"/>
      <w:bookmarkEnd w:id="0"/>
      <w:r>
        <w:rPr>
          <w:rFonts w:hint="eastAsia" w:ascii="楷体_GB2312" w:hAnsi="楷体_GB2312" w:eastAsia="楷体_GB2312" w:cs="楷体_GB2312"/>
          <w:color w:val="auto"/>
          <w:sz w:val="32"/>
          <w:szCs w:val="32"/>
          <w:lang w:val="en-US" w:eastAsia="zh-CN"/>
        </w:rPr>
        <w:t>（征求意见稿）</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一、活动目的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仿宋_GB2312" w:hAnsi="仿宋_GB2312" w:eastAsia="仿宋_GB2312" w:cs="仿宋_GB2312"/>
          <w:b w:val="0"/>
          <w:bCs w:val="0"/>
          <w:color w:val="auto"/>
          <w:kern w:val="2"/>
          <w:sz w:val="32"/>
          <w:szCs w:val="32"/>
          <w:lang w:val="en-US" w:eastAsia="zh-CN"/>
        </w:rPr>
      </w:pPr>
      <w:r>
        <w:rPr>
          <w:rFonts w:hint="default" w:ascii="仿宋_GB2312" w:hAnsi="仿宋_GB2312" w:eastAsia="仿宋_GB2312" w:cs="仿宋_GB2312"/>
          <w:b w:val="0"/>
          <w:bCs w:val="0"/>
          <w:color w:val="auto"/>
          <w:kern w:val="2"/>
          <w:sz w:val="32"/>
          <w:szCs w:val="32"/>
          <w:lang w:val="en-US" w:eastAsia="zh-CN"/>
        </w:rPr>
        <w:t>为全面贯彻党的二十大和二十届二中、三中全会精神，认真落实中央经济工作会议关于</w:t>
      </w:r>
      <w:r>
        <w:rPr>
          <w:rFonts w:hint="eastAsia" w:ascii="仿宋_GB2312" w:hAnsi="仿宋_GB2312" w:eastAsia="仿宋_GB2312" w:cs="仿宋_GB2312"/>
          <w:b w:val="0"/>
          <w:bCs w:val="0"/>
          <w:color w:val="auto"/>
          <w:kern w:val="2"/>
          <w:sz w:val="32"/>
          <w:szCs w:val="32"/>
          <w:lang w:val="en-US" w:eastAsia="zh-CN"/>
        </w:rPr>
        <w:t>“</w:t>
      </w:r>
      <w:r>
        <w:rPr>
          <w:rFonts w:hint="default" w:ascii="仿宋_GB2312" w:hAnsi="仿宋_GB2312" w:eastAsia="仿宋_GB2312" w:cs="仿宋_GB2312"/>
          <w:b w:val="0"/>
          <w:bCs w:val="0"/>
          <w:color w:val="auto"/>
          <w:kern w:val="2"/>
          <w:sz w:val="32"/>
          <w:szCs w:val="32"/>
          <w:lang w:val="en-US" w:eastAsia="zh-CN"/>
        </w:rPr>
        <w:t>大力提振消费、提高投资效益，全方位扩大国内需求</w:t>
      </w:r>
      <w:r>
        <w:rPr>
          <w:rFonts w:hint="eastAsia" w:ascii="仿宋_GB2312" w:hAnsi="仿宋_GB2312" w:eastAsia="仿宋_GB2312" w:cs="仿宋_GB2312"/>
          <w:b w:val="0"/>
          <w:bCs w:val="0"/>
          <w:color w:val="auto"/>
          <w:kern w:val="2"/>
          <w:sz w:val="32"/>
          <w:szCs w:val="32"/>
          <w:lang w:val="en-US" w:eastAsia="zh-CN"/>
        </w:rPr>
        <w:t>”</w:t>
      </w:r>
      <w:r>
        <w:rPr>
          <w:rFonts w:hint="default" w:ascii="仿宋_GB2312" w:hAnsi="仿宋_GB2312" w:eastAsia="仿宋_GB2312" w:cs="仿宋_GB2312"/>
          <w:b w:val="0"/>
          <w:bCs w:val="0"/>
          <w:color w:val="auto"/>
          <w:kern w:val="2"/>
          <w:sz w:val="32"/>
          <w:szCs w:val="32"/>
          <w:lang w:val="en-US" w:eastAsia="zh-CN"/>
        </w:rPr>
        <w:t>要求，</w:t>
      </w:r>
      <w:r>
        <w:rPr>
          <w:rFonts w:hint="eastAsia" w:ascii="仿宋_GB2312" w:hAnsi="仿宋_GB2312" w:eastAsia="仿宋_GB2312" w:cs="仿宋_GB2312"/>
          <w:b w:val="0"/>
          <w:bCs w:val="0"/>
          <w:color w:val="auto"/>
          <w:kern w:val="2"/>
          <w:sz w:val="32"/>
          <w:szCs w:val="32"/>
          <w:lang w:val="en-US" w:eastAsia="zh-CN"/>
        </w:rPr>
        <w:t>进一步释放消费潜力，全面提升我旗社会消费品零售水平，</w:t>
      </w:r>
      <w:r>
        <w:rPr>
          <w:rFonts w:hint="default" w:ascii="仿宋_GB2312" w:hAnsi="仿宋_GB2312" w:eastAsia="仿宋_GB2312" w:cs="仿宋_GB2312"/>
          <w:b w:val="0"/>
          <w:bCs w:val="0"/>
          <w:color w:val="auto"/>
          <w:kern w:val="2"/>
          <w:sz w:val="32"/>
          <w:szCs w:val="32"/>
          <w:lang w:val="en-US" w:eastAsia="zh-CN"/>
        </w:rPr>
        <w:t>结合我</w:t>
      </w:r>
      <w:r>
        <w:rPr>
          <w:rFonts w:hint="eastAsia" w:ascii="仿宋_GB2312" w:hAnsi="仿宋_GB2312" w:eastAsia="仿宋_GB2312" w:cs="仿宋_GB2312"/>
          <w:b w:val="0"/>
          <w:bCs w:val="0"/>
          <w:color w:val="auto"/>
          <w:kern w:val="2"/>
          <w:sz w:val="32"/>
          <w:szCs w:val="32"/>
          <w:lang w:val="en-US" w:eastAsia="zh-CN"/>
        </w:rPr>
        <w:t>旗</w:t>
      </w:r>
      <w:r>
        <w:rPr>
          <w:rFonts w:hint="default" w:ascii="仿宋_GB2312" w:hAnsi="仿宋_GB2312" w:eastAsia="仿宋_GB2312" w:cs="仿宋_GB2312"/>
          <w:b w:val="0"/>
          <w:bCs w:val="0"/>
          <w:color w:val="auto"/>
          <w:kern w:val="2"/>
          <w:sz w:val="32"/>
          <w:szCs w:val="32"/>
          <w:lang w:val="en-US" w:eastAsia="zh-CN"/>
        </w:rPr>
        <w:t>实际，</w:t>
      </w:r>
      <w:r>
        <w:rPr>
          <w:rFonts w:hint="eastAsia" w:ascii="仿宋_GB2312" w:hAnsi="仿宋_GB2312" w:eastAsia="仿宋_GB2312" w:cs="仿宋_GB2312"/>
          <w:b w:val="0"/>
          <w:bCs w:val="0"/>
          <w:color w:val="auto"/>
          <w:kern w:val="2"/>
          <w:sz w:val="32"/>
          <w:szCs w:val="32"/>
          <w:lang w:val="en-US" w:eastAsia="zh-CN"/>
        </w:rPr>
        <w:t>特制定“暖城乐购”消费补贴活动实施方案。</w:t>
      </w:r>
    </w:p>
    <w:p>
      <w:pPr>
        <w:keepNext w:val="0"/>
        <w:keepLines w:val="0"/>
        <w:widowControl/>
        <w:suppressLineNumbers w:val="0"/>
        <w:ind w:firstLine="628" w:firstLineChars="200"/>
        <w:jc w:val="left"/>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二、活动时间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2025年4月26日至5月31日。消费补贴实行活动时间控制及补贴总金额控制，按照活动时间截止或补贴资金105万元补贴完毕满足一项补贴结束。</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w:t>
      </w:r>
      <w:r>
        <w:rPr>
          <w:rFonts w:hint="eastAsia" w:ascii="Times New Roman" w:hAnsi="Times New Roman" w:eastAsia="黑体" w:cs="Times New Roman"/>
          <w:b w:val="0"/>
          <w:bCs w:val="0"/>
          <w:color w:val="auto"/>
          <w:kern w:val="2"/>
          <w:sz w:val="32"/>
          <w:szCs w:val="32"/>
          <w:highlight w:val="none"/>
          <w:lang w:val="en-US" w:eastAsia="zh-CN" w:bidi="ar-SA"/>
        </w:rPr>
        <w:t>资金安排</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本次活动共安排105万元用于惠民消费券的发放。其中，市级安排资金35万元，旗级安排资金70万元。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四、参与企业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在</w:t>
      </w:r>
      <w:r>
        <w:rPr>
          <w:rFonts w:hint="default" w:ascii="Times New Roman" w:hAnsi="Times New Roman" w:eastAsia="仿宋_GB2312" w:cs="Times New Roman"/>
          <w:b w:val="0"/>
          <w:bCs w:val="0"/>
          <w:snapToGrid/>
          <w:color w:val="auto"/>
          <w:kern w:val="2"/>
          <w:sz w:val="32"/>
          <w:szCs w:val="32"/>
          <w:highlight w:val="none"/>
          <w:lang w:val="en-US" w:eastAsia="zh-CN"/>
        </w:rPr>
        <w:t>伊金霍洛旗内</w:t>
      </w:r>
      <w:r>
        <w:rPr>
          <w:rFonts w:hint="eastAsia" w:ascii="Times New Roman" w:hAnsi="Times New Roman" w:eastAsia="仿宋_GB2312" w:cs="Times New Roman"/>
          <w:b w:val="0"/>
          <w:bCs w:val="0"/>
          <w:snapToGrid/>
          <w:color w:val="auto"/>
          <w:kern w:val="2"/>
          <w:sz w:val="32"/>
          <w:szCs w:val="32"/>
          <w:highlight w:val="none"/>
          <w:lang w:val="en-US" w:eastAsia="zh-CN"/>
        </w:rPr>
        <w:t>注册登记且自愿参加活动的餐饮、住宿企业（个体）</w:t>
      </w:r>
      <w:r>
        <w:rPr>
          <w:rFonts w:hint="default" w:ascii="Times New Roman" w:hAnsi="Times New Roman" w:eastAsia="仿宋_GB2312" w:cs="Times New Roman"/>
          <w:b w:val="0"/>
          <w:bCs w:val="0"/>
          <w:snapToGrid/>
          <w:color w:val="auto"/>
          <w:kern w:val="2"/>
          <w:sz w:val="32"/>
          <w:szCs w:val="32"/>
          <w:highlight w:val="no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五</w:t>
      </w:r>
      <w:r>
        <w:rPr>
          <w:rFonts w:hint="default" w:ascii="Times New Roman" w:hAnsi="Times New Roman" w:eastAsia="黑体" w:cs="Times New Roman"/>
          <w:b w:val="0"/>
          <w:bCs w:val="0"/>
          <w:color w:val="auto"/>
          <w:kern w:val="2"/>
          <w:sz w:val="32"/>
          <w:szCs w:val="32"/>
          <w:highlight w:val="none"/>
          <w:lang w:val="en-US" w:eastAsia="zh-CN" w:bidi="ar-SA"/>
        </w:rPr>
        <w:t>、发放方式及活动规则</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val="0"/>
          <w:bCs w:val="0"/>
          <w:kern w:val="2"/>
          <w:sz w:val="32"/>
          <w:szCs w:val="32"/>
          <w:lang w:val="en-US" w:eastAsia="zh-CN"/>
        </w:rPr>
      </w:pPr>
      <w:r>
        <w:rPr>
          <w:rFonts w:hint="default" w:ascii="仿宋_GB2312" w:hAnsi="仿宋_GB2312" w:eastAsia="仿宋_GB2312" w:cs="仿宋_GB2312"/>
          <w:b w:val="0"/>
          <w:bCs w:val="0"/>
          <w:kern w:val="2"/>
          <w:sz w:val="32"/>
          <w:szCs w:val="32"/>
          <w:lang w:val="en-US" w:eastAsia="zh-CN"/>
        </w:rPr>
        <w:t>（一）发放方式。</w:t>
      </w:r>
      <w:r>
        <w:rPr>
          <w:rFonts w:hint="eastAsia" w:ascii="仿宋_GB2312" w:hAnsi="仿宋_GB2312" w:eastAsia="仿宋_GB2312" w:cs="仿宋_GB2312"/>
          <w:b w:val="0"/>
          <w:bCs w:val="0"/>
          <w:kern w:val="2"/>
          <w:sz w:val="32"/>
          <w:szCs w:val="32"/>
          <w:lang w:val="en-US" w:eastAsia="zh-CN"/>
        </w:rPr>
        <w:t>由第三方服务机构以电子消费券的形式同步发放。</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仿宋_GB2312" w:hAnsi="仿宋_GB2312" w:eastAsia="仿宋_GB2312" w:cs="仿宋_GB2312"/>
          <w:b w:val="0"/>
          <w:bCs w:val="0"/>
          <w:kern w:val="2"/>
          <w:sz w:val="32"/>
          <w:szCs w:val="32"/>
          <w:lang w:val="en-US" w:eastAsia="zh-CN"/>
        </w:rPr>
        <w:t>（二）活动规则。</w:t>
      </w:r>
      <w:r>
        <w:rPr>
          <w:rFonts w:hint="eastAsia" w:ascii="仿宋_GB2312" w:hAnsi="仿宋_GB2312" w:eastAsia="仿宋_GB2312" w:cs="仿宋_GB2312"/>
          <w:b w:val="0"/>
          <w:bCs w:val="0"/>
          <w:kern w:val="2"/>
          <w:sz w:val="32"/>
          <w:szCs w:val="32"/>
          <w:lang w:val="en-US" w:eastAsia="zh-CN"/>
        </w:rPr>
        <w:t>用户从第三方服务机构平台领取消费券，</w:t>
      </w:r>
      <w:r>
        <w:rPr>
          <w:rFonts w:hint="default" w:ascii="仿宋_GB2312" w:hAnsi="仿宋_GB2312" w:eastAsia="仿宋_GB2312" w:cs="仿宋_GB2312"/>
          <w:b w:val="0"/>
          <w:bCs w:val="0"/>
          <w:kern w:val="2"/>
          <w:sz w:val="32"/>
          <w:szCs w:val="32"/>
          <w:lang w:val="en-US" w:eastAsia="zh-CN"/>
        </w:rPr>
        <w:t>消费券有效期为</w:t>
      </w:r>
      <w:r>
        <w:rPr>
          <w:rFonts w:hint="eastAsia" w:ascii="仿宋_GB2312" w:hAnsi="仿宋_GB2312" w:eastAsia="仿宋_GB2312" w:cs="仿宋_GB2312"/>
          <w:b w:val="0"/>
          <w:bCs w:val="0"/>
          <w:kern w:val="2"/>
          <w:sz w:val="32"/>
          <w:szCs w:val="32"/>
          <w:lang w:val="en-US" w:eastAsia="zh-CN"/>
        </w:rPr>
        <w:t>当日24时</w:t>
      </w:r>
      <w:r>
        <w:rPr>
          <w:rFonts w:hint="default" w:ascii="仿宋_GB2312" w:hAnsi="仿宋_GB2312" w:eastAsia="仿宋_GB2312" w:cs="仿宋_GB2312"/>
          <w:b w:val="0"/>
          <w:bCs w:val="0"/>
          <w:kern w:val="2"/>
          <w:sz w:val="32"/>
          <w:szCs w:val="32"/>
          <w:lang w:val="en-US" w:eastAsia="zh-CN"/>
        </w:rPr>
        <w:t>。用户有效期内如未使用,消费券将退回重新发放</w:t>
      </w:r>
      <w:r>
        <w:rPr>
          <w:rFonts w:hint="eastAsia" w:ascii="仿宋_GB2312" w:hAnsi="仿宋_GB2312" w:eastAsia="仿宋_GB2312" w:cs="仿宋_GB2312"/>
          <w:b w:val="0"/>
          <w:bCs w:val="0"/>
          <w:kern w:val="2"/>
          <w:sz w:val="32"/>
          <w:szCs w:val="32"/>
          <w:lang w:val="en-US" w:eastAsia="zh-CN"/>
        </w:rPr>
        <w:t>。</w:t>
      </w:r>
    </w:p>
    <w:p>
      <w:pPr>
        <w:keepNext w:val="0"/>
        <w:keepLines w:val="0"/>
        <w:pageBreakBefore w:val="0"/>
        <w:numPr>
          <w:ilvl w:val="0"/>
          <w:numId w:val="0"/>
        </w:numPr>
        <w:wordWrap/>
        <w:overflowPunct/>
        <w:topLinePunct w:val="0"/>
        <w:bidi w:val="0"/>
        <w:spacing w:line="540" w:lineRule="exact"/>
        <w:ind w:firstLine="628"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六、消费券金额及设置</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p>
    <w:tbl>
      <w:tblPr>
        <w:tblStyle w:val="11"/>
        <w:tblpPr w:leftFromText="180" w:rightFromText="180" w:vertAnchor="text" w:horzAnchor="page" w:tblpX="2231" w:tblpY="144"/>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07"/>
        <w:gridCol w:w="1040"/>
        <w:gridCol w:w="1019"/>
        <w:gridCol w:w="1904"/>
        <w:gridCol w:w="119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黑体" w:hAnsi="黑体" w:eastAsia="黑体" w:cs="黑体"/>
                <w:color w:val="000000"/>
                <w:sz w:val="21"/>
                <w:szCs w:val="21"/>
                <w:vertAlign w:val="baseline"/>
                <w:lang w:eastAsia="zh-CN"/>
              </w:rPr>
              <w:t>优惠券分类</w:t>
            </w:r>
          </w:p>
        </w:tc>
        <w:tc>
          <w:tcPr>
            <w:tcW w:w="110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消费券合计（万元）</w:t>
            </w: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安排金额</w:t>
            </w:r>
            <w:r>
              <w:rPr>
                <w:rFonts w:hint="eastAsia" w:ascii="黑体" w:hAnsi="黑体" w:eastAsia="黑体" w:cs="黑体"/>
                <w:color w:val="auto"/>
                <w:sz w:val="21"/>
                <w:szCs w:val="21"/>
                <w:vertAlign w:val="baseline"/>
                <w:lang w:eastAsia="zh-CN"/>
              </w:rPr>
              <w:br w:type="textWrapping"/>
            </w:r>
            <w:r>
              <w:rPr>
                <w:rFonts w:hint="eastAsia" w:ascii="黑体" w:hAnsi="黑体" w:eastAsia="黑体" w:cs="黑体"/>
                <w:color w:val="auto"/>
                <w:sz w:val="21"/>
                <w:szCs w:val="21"/>
                <w:vertAlign w:val="baseline"/>
                <w:lang w:eastAsia="zh-CN"/>
              </w:rPr>
              <w:t>（万元）</w:t>
            </w:r>
          </w:p>
        </w:tc>
        <w:tc>
          <w:tcPr>
            <w:tcW w:w="1019"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面额（元）</w:t>
            </w:r>
          </w:p>
        </w:tc>
        <w:tc>
          <w:tcPr>
            <w:tcW w:w="1904"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使用要求</w:t>
            </w:r>
          </w:p>
        </w:tc>
        <w:tc>
          <w:tcPr>
            <w:tcW w:w="1196"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补贴</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消费比</w:t>
            </w:r>
          </w:p>
        </w:tc>
        <w:tc>
          <w:tcPr>
            <w:tcW w:w="87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住</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宿</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类</w:t>
            </w:r>
          </w:p>
        </w:tc>
        <w:tc>
          <w:tcPr>
            <w:tcW w:w="1107"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w:t>
            </w: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40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消费满200可用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2"/>
                <w:sz w:val="21"/>
                <w:szCs w:val="21"/>
                <w:shd w:val="clear" w:color="auto" w:fill="FFFFFF"/>
                <w:lang w:val="en-US" w:eastAsia="zh-CN" w:bidi="ar-SA"/>
              </w:rPr>
              <w:t>消费满300可用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餐</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饮</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类</w:t>
            </w:r>
          </w:p>
        </w:tc>
        <w:tc>
          <w:tcPr>
            <w:tcW w:w="1107"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90</w:t>
            </w: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消费满100可用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eastAsia"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40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消费满200可用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eastAsia"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消费满500可用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消费满1000可用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2"/>
                <w:sz w:val="21"/>
                <w:szCs w:val="21"/>
                <w:shd w:val="clear" w:color="auto" w:fill="FFFFFF"/>
                <w:lang w:val="en-US" w:eastAsia="zh-CN" w:bidi="ar-SA"/>
              </w:rPr>
              <w:t>消费满2000可用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消费满5000可用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消费满10000可用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合计</w:t>
            </w:r>
          </w:p>
        </w:tc>
        <w:tc>
          <w:tcPr>
            <w:tcW w:w="2147"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105</w:t>
            </w:r>
          </w:p>
        </w:tc>
        <w:tc>
          <w:tcPr>
            <w:tcW w:w="4119" w:type="dxa"/>
            <w:gridSpan w:val="3"/>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合计</w:t>
            </w:r>
          </w:p>
        </w:tc>
        <w:tc>
          <w:tcPr>
            <w:tcW w:w="87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10650</w:t>
            </w:r>
          </w:p>
        </w:tc>
      </w:tr>
    </w:tbl>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r>
        <w:rPr>
          <w:rFonts w:hint="eastAsia" w:ascii="CESI楷体-GB2312" w:hAnsi="CESI楷体-GB2312" w:eastAsia="CESI楷体-GB2312" w:cs="CESI楷体-GB2312"/>
          <w:b/>
          <w:bCs/>
          <w:color w:val="auto"/>
          <w:sz w:val="30"/>
          <w:szCs w:val="30"/>
          <w:highlight w:val="none"/>
          <w:lang w:val="en-US" w:eastAsia="zh-CN"/>
        </w:rPr>
        <w:t>备</w:t>
      </w: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left="289" w:leftChars="142" w:firstLine="294" w:firstLineChars="100"/>
        <w:textAlignment w:val="auto"/>
        <w:rPr>
          <w:rFonts w:hint="default" w:ascii="Times New Roman" w:hAnsi="Times New Roman" w:eastAsia="黑体" w:cs="Times New Roman"/>
          <w:b w:val="0"/>
          <w:bCs w:val="0"/>
          <w:color w:val="auto"/>
          <w:kern w:val="2"/>
          <w:sz w:val="30"/>
          <w:szCs w:val="30"/>
          <w:highlight w:val="none"/>
          <w:lang w:val="en-US" w:eastAsia="zh-CN" w:bidi="ar-SA"/>
        </w:rPr>
      </w:pPr>
      <w:r>
        <w:rPr>
          <w:rFonts w:hint="eastAsia" w:ascii="CESI楷体-GB2312" w:hAnsi="CESI楷体-GB2312" w:eastAsia="CESI楷体-GB2312" w:cs="CESI楷体-GB2312"/>
          <w:b/>
          <w:bCs/>
          <w:color w:val="auto"/>
          <w:sz w:val="30"/>
          <w:szCs w:val="30"/>
          <w:highlight w:val="none"/>
          <w:lang w:val="en-US" w:eastAsia="zh-CN"/>
        </w:rPr>
        <w:t>注备注：</w:t>
      </w:r>
      <w:r>
        <w:rPr>
          <w:rFonts w:hint="eastAsia" w:ascii="CESI楷体-GB2312" w:hAnsi="CESI楷体-GB2312" w:eastAsia="CESI楷体-GB2312" w:cs="CESI楷体-GB2312"/>
          <w:b/>
          <w:bCs/>
          <w:color w:val="auto"/>
          <w:sz w:val="30"/>
          <w:szCs w:val="30"/>
          <w:highlight w:val="none"/>
          <w:lang w:eastAsia="zh-CN"/>
        </w:rPr>
        <w:t>具体</w:t>
      </w:r>
      <w:r>
        <w:rPr>
          <w:rFonts w:hint="eastAsia" w:ascii="CESI楷体-GB2312" w:hAnsi="CESI楷体-GB2312" w:eastAsia="CESI楷体-GB2312" w:cs="CESI楷体-GB2312"/>
          <w:b/>
          <w:bCs/>
          <w:color w:val="auto"/>
          <w:sz w:val="30"/>
          <w:szCs w:val="30"/>
          <w:highlight w:val="none"/>
          <w:lang w:val="en-US" w:eastAsia="zh-CN"/>
        </w:rPr>
        <w:t>补贴资金、消费券发放金额、消费券数量、发放时间、发放方式、消费券使用规则根据实际投放情况实时进行调整。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(一)伊金霍洛旗工业信息化和投资促进局与市商务局联合开展“暖城乐购·伊旗共享”消费促进补贴活动。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(二)由伊金霍洛旗工业信息化和投资促进局会同市商务局验证第三方服务机构发券能力,确保消费券如期顺利发放。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(三)由伊金霍洛旗工业信息化和投资促进局与第三方服务机构签署合作协议。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(四)由第三方服务机构召集相关企业参与消费补贴活动, 引导商家做好消费补贴活动宣传推广及消费券使用工作。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八、部门职责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旗工业信息化</w:t>
      </w:r>
      <w:r>
        <w:rPr>
          <w:rFonts w:hint="eastAsia" w:ascii="仿宋_GB2312" w:hAnsi="仿宋_GB2312" w:eastAsia="仿宋_GB2312" w:cs="仿宋_GB2312"/>
          <w:b w:val="0"/>
          <w:bCs w:val="0"/>
          <w:color w:val="auto"/>
          <w:kern w:val="2"/>
          <w:sz w:val="32"/>
          <w:szCs w:val="32"/>
          <w:lang w:val="en-US" w:eastAsia="zh-CN" w:bidi="ar-SA"/>
        </w:rPr>
        <w:t>和投资促进</w:t>
      </w:r>
      <w:r>
        <w:rPr>
          <w:rFonts w:hint="default" w:ascii="仿宋_GB2312" w:hAnsi="仿宋_GB2312" w:eastAsia="仿宋_GB2312" w:cs="仿宋_GB2312"/>
          <w:b w:val="0"/>
          <w:bCs w:val="0"/>
          <w:color w:val="auto"/>
          <w:kern w:val="2"/>
          <w:sz w:val="32"/>
          <w:szCs w:val="32"/>
          <w:lang w:val="en-US" w:eastAsia="zh-CN" w:bidi="ar-SA"/>
        </w:rPr>
        <w:t>局：负责制定活动具体实施细则，组织开展活动并兑付消费补贴。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旗财政局：负责保证活动补贴资金及时到位，并负责消费补贴资金使用监管工作。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旗统计局：负责消费活动数据监控，评估活动成果。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旗审计局：负责活动全过程审计监督，做好补贴资金专项审计工作。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五</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旗市场监督管理局：负责活动市场公平性审查，负责监督参与企业产品质量、价格，杜绝恶意抬高价格等行为。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w:t>
      </w:r>
      <w:r>
        <w:rPr>
          <w:rFonts w:hint="default" w:ascii="仿宋_GB2312" w:hAnsi="仿宋_GB2312" w:eastAsia="仿宋_GB2312" w:cs="仿宋_GB2312"/>
          <w:b w:val="0"/>
          <w:bCs w:val="0"/>
          <w:color w:val="auto"/>
          <w:kern w:val="2"/>
          <w:sz w:val="32"/>
          <w:szCs w:val="32"/>
          <w:lang w:val="en-US" w:eastAsia="zh-CN" w:bidi="ar-SA"/>
        </w:rPr>
        <w:t>旗融媒体中心：负责做好活动宣传报道工作。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九、参与企业（商户）基本要求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一）消费券仅限于在申报参与活动的企业及个体工商户实体店面使用。在各商家优惠活动基础上使用，适用范围内的商家不得见机涨价、拒收，严禁非消费直兑现金、倒买倒卖等行为，如有上述情况，采取收回消费券并向商家追偿已使用的消费券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（二）凡参与活动的商家需签订承诺书，对销售商品的质量和价格进行公开承诺。在消费活动期间必须保持同期商品价格幅度和质量水平，并严格按照规定明码标价，明确产品及服务依法享受国家三包政策。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三）参与活动的商家，积极配合有关部门，加强促销活动安全管理，完善安全预案，落实企业安全主体责任，保障食品流通安全，确保消防安全、疏散通道等设施完备通畅，落实安全防护措施，有效防范促销场所发生踩踏、火灾等安全事故，确保促销活动安全有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四）主办方及承办方有权通过后台技术手段监测营销活动实施，如发现存在作弊舞弊、利用不正当手段（包括但不限于刷单、套现、提供虚假证件或发票、虚假交易等）骗取套取补贴资金等违法违规行为，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（五）参与活动的企业及个体工商户，消费者在参与商户进行消费后，商户必须留存用户消费小票或收据。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p>
    <w:sectPr>
      <w:footerReference r:id="rId3" w:type="default"/>
      <w:pgSz w:w="11906" w:h="16838"/>
      <w:pgMar w:top="1984" w:right="1474" w:bottom="1644" w:left="1474" w:header="851" w:footer="992" w:gutter="0"/>
      <w:pgNumType w:fmt="numberInDash"/>
      <w:cols w:space="0" w:num="1"/>
      <w:rtlGutter w:val="0"/>
      <w:docGrid w:type="linesAndChars" w:linePitch="574"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2"/>
  <w:drawingGridVerticalSpacing w:val="28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501F"/>
    <w:rsid w:val="0F29D289"/>
    <w:rsid w:val="0FEF9F81"/>
    <w:rsid w:val="17FBD5E2"/>
    <w:rsid w:val="17FF11FB"/>
    <w:rsid w:val="1B7FF692"/>
    <w:rsid w:val="1FEFD678"/>
    <w:rsid w:val="1FEFDE21"/>
    <w:rsid w:val="1FF36988"/>
    <w:rsid w:val="255F8A16"/>
    <w:rsid w:val="25BF144E"/>
    <w:rsid w:val="25FEF280"/>
    <w:rsid w:val="2AEE0559"/>
    <w:rsid w:val="2BF7F32E"/>
    <w:rsid w:val="2BFD1E50"/>
    <w:rsid w:val="2DC8C67D"/>
    <w:rsid w:val="2EEFC4C9"/>
    <w:rsid w:val="2FEFE1A1"/>
    <w:rsid w:val="2FFE3BDB"/>
    <w:rsid w:val="31FC411E"/>
    <w:rsid w:val="32BAB39B"/>
    <w:rsid w:val="3777AFD3"/>
    <w:rsid w:val="378FF91D"/>
    <w:rsid w:val="37DD0446"/>
    <w:rsid w:val="37EFA026"/>
    <w:rsid w:val="37FD9EBC"/>
    <w:rsid w:val="3BDFF3F6"/>
    <w:rsid w:val="3BE6FECF"/>
    <w:rsid w:val="3DFFE778"/>
    <w:rsid w:val="3EBE24E6"/>
    <w:rsid w:val="3EBE353E"/>
    <w:rsid w:val="3EF61C98"/>
    <w:rsid w:val="3EF8435D"/>
    <w:rsid w:val="3FBF88C3"/>
    <w:rsid w:val="3FBFAA93"/>
    <w:rsid w:val="3FFC8CEE"/>
    <w:rsid w:val="3FFDBA2E"/>
    <w:rsid w:val="3FFEE96C"/>
    <w:rsid w:val="3FFF71D0"/>
    <w:rsid w:val="47D7C8A6"/>
    <w:rsid w:val="47F7FB56"/>
    <w:rsid w:val="4DFFC889"/>
    <w:rsid w:val="4F6F8F8F"/>
    <w:rsid w:val="4F7FE122"/>
    <w:rsid w:val="4F8FF0E5"/>
    <w:rsid w:val="4FBDC3AA"/>
    <w:rsid w:val="51FB6395"/>
    <w:rsid w:val="5737591E"/>
    <w:rsid w:val="577D2133"/>
    <w:rsid w:val="57F3A1E3"/>
    <w:rsid w:val="5B672D48"/>
    <w:rsid w:val="5D3B3618"/>
    <w:rsid w:val="5DFF981B"/>
    <w:rsid w:val="5E7C71FB"/>
    <w:rsid w:val="5EB6CA11"/>
    <w:rsid w:val="5F367F33"/>
    <w:rsid w:val="5F673934"/>
    <w:rsid w:val="5F77E9D7"/>
    <w:rsid w:val="5FD6E8F0"/>
    <w:rsid w:val="5FFECFE8"/>
    <w:rsid w:val="62F9629C"/>
    <w:rsid w:val="65DF11AB"/>
    <w:rsid w:val="663D2640"/>
    <w:rsid w:val="66AA5AEC"/>
    <w:rsid w:val="677FCB59"/>
    <w:rsid w:val="679D8729"/>
    <w:rsid w:val="67FBF53C"/>
    <w:rsid w:val="67FF7594"/>
    <w:rsid w:val="69FF93D3"/>
    <w:rsid w:val="6BF75676"/>
    <w:rsid w:val="6EFBB650"/>
    <w:rsid w:val="6F6E9E6D"/>
    <w:rsid w:val="6FDA05CE"/>
    <w:rsid w:val="6FF9E225"/>
    <w:rsid w:val="6FFF513E"/>
    <w:rsid w:val="6FFF70F2"/>
    <w:rsid w:val="70A529D5"/>
    <w:rsid w:val="71574D54"/>
    <w:rsid w:val="725FBED6"/>
    <w:rsid w:val="7377B534"/>
    <w:rsid w:val="73F78A65"/>
    <w:rsid w:val="73F98815"/>
    <w:rsid w:val="74FD8EE8"/>
    <w:rsid w:val="767F4488"/>
    <w:rsid w:val="76EBC9B8"/>
    <w:rsid w:val="76FAEC87"/>
    <w:rsid w:val="7713D9DC"/>
    <w:rsid w:val="775CB7A0"/>
    <w:rsid w:val="77EB2535"/>
    <w:rsid w:val="77FEC165"/>
    <w:rsid w:val="77FF7907"/>
    <w:rsid w:val="79CF48B3"/>
    <w:rsid w:val="79E7B4E2"/>
    <w:rsid w:val="79FFEF99"/>
    <w:rsid w:val="7A5F86C4"/>
    <w:rsid w:val="7A6FC0FE"/>
    <w:rsid w:val="7BD98504"/>
    <w:rsid w:val="7BDFEE0D"/>
    <w:rsid w:val="7BFD4A3E"/>
    <w:rsid w:val="7BFEA14E"/>
    <w:rsid w:val="7BFF51A4"/>
    <w:rsid w:val="7BFFFD70"/>
    <w:rsid w:val="7C7DB7AC"/>
    <w:rsid w:val="7CBA4ACF"/>
    <w:rsid w:val="7CBF4B17"/>
    <w:rsid w:val="7CEEB0D1"/>
    <w:rsid w:val="7D76C297"/>
    <w:rsid w:val="7D7997C7"/>
    <w:rsid w:val="7D7F9307"/>
    <w:rsid w:val="7D8F9E32"/>
    <w:rsid w:val="7D9F03A7"/>
    <w:rsid w:val="7DB1B186"/>
    <w:rsid w:val="7DE7257E"/>
    <w:rsid w:val="7E3FF4E4"/>
    <w:rsid w:val="7E8F7DEC"/>
    <w:rsid w:val="7EDB84A0"/>
    <w:rsid w:val="7EDED3D8"/>
    <w:rsid w:val="7F3F0F7A"/>
    <w:rsid w:val="7F5F9CA9"/>
    <w:rsid w:val="7F77D9F0"/>
    <w:rsid w:val="7F7B485B"/>
    <w:rsid w:val="7F7FE5AF"/>
    <w:rsid w:val="7F879034"/>
    <w:rsid w:val="7F93E90B"/>
    <w:rsid w:val="7FD9866A"/>
    <w:rsid w:val="7FDE0EA8"/>
    <w:rsid w:val="7FE9ED7B"/>
    <w:rsid w:val="7FEB981A"/>
    <w:rsid w:val="7FEDF73E"/>
    <w:rsid w:val="7FEEF5FA"/>
    <w:rsid w:val="7FEF2C2B"/>
    <w:rsid w:val="7FF7192C"/>
    <w:rsid w:val="7FF776B2"/>
    <w:rsid w:val="7FF9A410"/>
    <w:rsid w:val="7FFAE2EC"/>
    <w:rsid w:val="7FFB99C9"/>
    <w:rsid w:val="7FFDA178"/>
    <w:rsid w:val="7FFF08D5"/>
    <w:rsid w:val="7FFFCAB7"/>
    <w:rsid w:val="87EBF171"/>
    <w:rsid w:val="8BF7D908"/>
    <w:rsid w:val="97FE26BA"/>
    <w:rsid w:val="983FE28C"/>
    <w:rsid w:val="9B7A8362"/>
    <w:rsid w:val="9BDD8321"/>
    <w:rsid w:val="9BFBF23F"/>
    <w:rsid w:val="9BFFBBB8"/>
    <w:rsid w:val="9DE73DBD"/>
    <w:rsid w:val="9DF7CE28"/>
    <w:rsid w:val="9EDF3447"/>
    <w:rsid w:val="A67F25A9"/>
    <w:rsid w:val="A7FFA6D8"/>
    <w:rsid w:val="A9FD11DB"/>
    <w:rsid w:val="ABD35F3E"/>
    <w:rsid w:val="ABFF3913"/>
    <w:rsid w:val="ADFD2FDA"/>
    <w:rsid w:val="AF5F11B9"/>
    <w:rsid w:val="B4D68530"/>
    <w:rsid w:val="B6D76395"/>
    <w:rsid w:val="B77D13AA"/>
    <w:rsid w:val="B7EF35D2"/>
    <w:rsid w:val="BAF78659"/>
    <w:rsid w:val="BBFF0285"/>
    <w:rsid w:val="BDFF6FA2"/>
    <w:rsid w:val="BE0F7CE9"/>
    <w:rsid w:val="BEF5E467"/>
    <w:rsid w:val="BF9AC0E1"/>
    <w:rsid w:val="BF9FD293"/>
    <w:rsid w:val="BFCD931E"/>
    <w:rsid w:val="BFDA9984"/>
    <w:rsid w:val="BFE5D35F"/>
    <w:rsid w:val="BFE76580"/>
    <w:rsid w:val="BFF330CD"/>
    <w:rsid w:val="BFF6B2F8"/>
    <w:rsid w:val="BFFE9D57"/>
    <w:rsid w:val="C79F845E"/>
    <w:rsid w:val="CEF0EC07"/>
    <w:rsid w:val="CFBB8669"/>
    <w:rsid w:val="CFBFB1FB"/>
    <w:rsid w:val="CFCFF783"/>
    <w:rsid w:val="CFFFABF5"/>
    <w:rsid w:val="D6FE6C93"/>
    <w:rsid w:val="D7E35576"/>
    <w:rsid w:val="D7EFF034"/>
    <w:rsid w:val="D7F53A42"/>
    <w:rsid w:val="D9B94F72"/>
    <w:rsid w:val="DAFB9695"/>
    <w:rsid w:val="DBBF7EC5"/>
    <w:rsid w:val="DBEF16C7"/>
    <w:rsid w:val="DBFD58D0"/>
    <w:rsid w:val="DC3EBBF6"/>
    <w:rsid w:val="DDA94E31"/>
    <w:rsid w:val="DECD9D7D"/>
    <w:rsid w:val="DEF70A6B"/>
    <w:rsid w:val="DFDE5487"/>
    <w:rsid w:val="DFEF2F3D"/>
    <w:rsid w:val="DFF689BA"/>
    <w:rsid w:val="DFFF3455"/>
    <w:rsid w:val="E5FF5AAE"/>
    <w:rsid w:val="E76FA14F"/>
    <w:rsid w:val="E7A74AF9"/>
    <w:rsid w:val="E7E705DC"/>
    <w:rsid w:val="E87F4113"/>
    <w:rsid w:val="E8F6AF72"/>
    <w:rsid w:val="E9DF6740"/>
    <w:rsid w:val="EB776A2B"/>
    <w:rsid w:val="ED313D07"/>
    <w:rsid w:val="EEBC8D42"/>
    <w:rsid w:val="EF9EB33A"/>
    <w:rsid w:val="EFCBCB8D"/>
    <w:rsid w:val="EFDF26F1"/>
    <w:rsid w:val="EFDF90E9"/>
    <w:rsid w:val="EFFBC9C2"/>
    <w:rsid w:val="F1D701FD"/>
    <w:rsid w:val="F1FF12B3"/>
    <w:rsid w:val="F23F9D2D"/>
    <w:rsid w:val="F34BD763"/>
    <w:rsid w:val="F3FF05C9"/>
    <w:rsid w:val="F4FF8277"/>
    <w:rsid w:val="F555F45E"/>
    <w:rsid w:val="F57298F0"/>
    <w:rsid w:val="F5BED135"/>
    <w:rsid w:val="F5BEDC74"/>
    <w:rsid w:val="F5FD14EC"/>
    <w:rsid w:val="F6AF24C7"/>
    <w:rsid w:val="F6DD91CF"/>
    <w:rsid w:val="F776B204"/>
    <w:rsid w:val="F7FB5B61"/>
    <w:rsid w:val="F7FD0097"/>
    <w:rsid w:val="F8E703B0"/>
    <w:rsid w:val="F8F8D88E"/>
    <w:rsid w:val="F8FAD6AC"/>
    <w:rsid w:val="F8FFE31E"/>
    <w:rsid w:val="F9E423BF"/>
    <w:rsid w:val="FAC74D05"/>
    <w:rsid w:val="FAF604D1"/>
    <w:rsid w:val="FAFFB7B8"/>
    <w:rsid w:val="FBAFB505"/>
    <w:rsid w:val="FBF57AFE"/>
    <w:rsid w:val="FBF7BB5E"/>
    <w:rsid w:val="FC3733EE"/>
    <w:rsid w:val="FCF7E2C2"/>
    <w:rsid w:val="FCF7E9AB"/>
    <w:rsid w:val="FDEF5B60"/>
    <w:rsid w:val="FDFFE2D9"/>
    <w:rsid w:val="FEAFB9C5"/>
    <w:rsid w:val="FECDDAD8"/>
    <w:rsid w:val="FEE7B481"/>
    <w:rsid w:val="FEF58D6E"/>
    <w:rsid w:val="FEF79499"/>
    <w:rsid w:val="FEFA2380"/>
    <w:rsid w:val="FF4B761E"/>
    <w:rsid w:val="FF5BCB68"/>
    <w:rsid w:val="FF5FF122"/>
    <w:rsid w:val="FF8E8756"/>
    <w:rsid w:val="FF9FFC34"/>
    <w:rsid w:val="FFB39335"/>
    <w:rsid w:val="FFC916C2"/>
    <w:rsid w:val="FFDEB507"/>
    <w:rsid w:val="FFDFC58F"/>
    <w:rsid w:val="FFF97D1E"/>
    <w:rsid w:val="FFFA29DC"/>
    <w:rsid w:val="FFFBE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w:basedOn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2"/>
    <w:basedOn w:val="1"/>
    <w:qFormat/>
    <w:uiPriority w:val="0"/>
    <w:pPr>
      <w:spacing w:after="120" w:line="480" w:lineRule="auto"/>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Body Text First Indent 2"/>
    <w:basedOn w:val="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网站)1"/>
    <w:basedOn w:val="1"/>
    <w:qFormat/>
    <w:uiPriority w:val="0"/>
    <w:pPr>
      <w:widowControl w:val="0"/>
      <w:kinsoku/>
      <w:autoSpaceDE/>
      <w:autoSpaceDN/>
      <w:adjustRightInd/>
      <w:snapToGrid/>
      <w:textAlignment w:val="auto"/>
    </w:pPr>
    <w:rPr>
      <w:rFonts w:ascii="Times New Roman" w:hAnsi="Times New Roman" w:eastAsia="宋体" w:cs="Times New Roman"/>
      <w:snapToGrid/>
      <w:color w:val="auto"/>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910</Words>
  <Characters>1012</Characters>
  <Paragraphs>106</Paragraphs>
  <TotalTime>6</TotalTime>
  <ScaleCrop>false</ScaleCrop>
  <LinksUpToDate>false</LinksUpToDate>
  <CharactersWithSpaces>1086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2023-09-17T23:14:00Z</dcterms:created>
  <dc:creator>丿依赖你的守护</dc:creator>
  <cp:lastModifiedBy>user</cp:lastModifiedBy>
  <cp:lastPrinted>2025-03-22T06:31:00Z</cp:lastPrinted>
  <dcterms:modified xsi:type="dcterms:W3CDTF">2025-04-25T15:12:13Z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6f76ecc1907f450a8a5749a222dd6ecb_23</vt:lpwstr>
  </property>
</Properties>
</file>