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bookmarkEnd w:id="1"/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■纸质媒体  ■公开查阅点   ■政务服务中心■便民服务站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ongolian Baiti">
    <w:altName w:val="阳光吾坚体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阳光吾坚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416393"/>
    <w:rsid w:val="70C8F4D1"/>
    <w:rsid w:val="DDBDF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711</Words>
  <Characters>4058</Characters>
  <Lines>33</Lines>
  <Paragraphs>9</Paragraphs>
  <TotalTime>1</TotalTime>
  <ScaleCrop>false</ScaleCrop>
  <LinksUpToDate>false</LinksUpToDate>
  <CharactersWithSpaces>4760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2020-03-06T20:02:00Z</dcterms:created>
  <dc:creator>tai yuzhu</dc:creator>
  <cp:lastModifiedBy>aaa</cp:lastModifiedBy>
  <dcterms:modified xsi:type="dcterms:W3CDTF">2024-04-12T15:11:38Z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5D506DBAACBFC3B4AADE186679B08A6B</vt:lpwstr>
  </property>
</Properties>
</file>