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9" w:lineRule="auto"/>
        <w:jc w:val="left"/>
        <w:textAlignment w:val="auto"/>
        <w:rPr>
          <w:rFonts w:hint="eastAsia" w:ascii="方正小标宋_GBK" w:hAnsi="方正小标宋_GBK" w:eastAsia="方正小标宋_GBK"/>
          <w:b w:val="0"/>
          <w:bCs w:val="0"/>
          <w:sz w:val="30"/>
        </w:rPr>
      </w:pPr>
      <w:r>
        <w:rPr>
          <w:rFonts w:hint="eastAsia" w:ascii="黑体" w:hAnsi="黑体" w:eastAsia="黑体" w:cs="黑体"/>
          <w:b w:val="0"/>
          <w:bCs w:val="0"/>
          <w:sz w:val="32"/>
          <w:szCs w:val="32"/>
          <w:lang w:val="en-US" w:eastAsia="zh-CN"/>
        </w:rPr>
        <w:t>附件2</w:t>
      </w: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（十六）农村危房改造领域基层政务公开标准目录</w:t>
      </w:r>
      <w:bookmarkStart w:id="0" w:name="_GoBack"/>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00" w:type="dxa"/>
            <w:gridSpan w:val="3"/>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val="en-US" w:eastAsia="zh-CN"/>
              </w:rPr>
              <w:t>编制单位：</w:t>
            </w:r>
          </w:p>
        </w:tc>
        <w:tc>
          <w:tcPr>
            <w:tcW w:w="198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val="en-US" w:eastAsia="zh-CN"/>
              </w:rPr>
              <w:t>札萨克镇人民政府</w:t>
            </w:r>
          </w:p>
        </w:tc>
        <w:tc>
          <w:tcPr>
            <w:tcW w:w="1800" w:type="dxa"/>
            <w:shd w:val="clear" w:color="auto" w:fill="auto"/>
            <w:vAlign w:val="center"/>
          </w:tcPr>
          <w:p>
            <w:pPr>
              <w:widowControl/>
              <w:jc w:val="center"/>
              <w:rPr>
                <w:rFonts w:hint="eastAsia" w:ascii="黑体" w:hAnsi="宋体" w:eastAsia="黑体" w:cs="宋体"/>
                <w:color w:val="000000"/>
                <w:kern w:val="0"/>
                <w:sz w:val="22"/>
              </w:rPr>
            </w:pPr>
          </w:p>
        </w:tc>
        <w:tc>
          <w:tcPr>
            <w:tcW w:w="1402" w:type="dxa"/>
            <w:shd w:val="clear" w:color="auto" w:fill="auto"/>
            <w:vAlign w:val="center"/>
          </w:tcPr>
          <w:p>
            <w:pPr>
              <w:widowControl/>
              <w:jc w:val="center"/>
              <w:rPr>
                <w:rFonts w:hint="eastAsia" w:ascii="黑体" w:hAnsi="宋体" w:eastAsia="黑体" w:cs="宋体"/>
                <w:color w:val="000000"/>
                <w:kern w:val="0"/>
                <w:sz w:val="22"/>
              </w:rPr>
            </w:pPr>
          </w:p>
        </w:tc>
        <w:tc>
          <w:tcPr>
            <w:tcW w:w="1440" w:type="dxa"/>
            <w:shd w:val="clear" w:color="auto" w:fill="auto"/>
            <w:vAlign w:val="center"/>
          </w:tcPr>
          <w:p>
            <w:pPr>
              <w:widowControl/>
              <w:jc w:val="center"/>
              <w:rPr>
                <w:rFonts w:hint="eastAsia" w:ascii="黑体" w:hAnsi="宋体" w:eastAsia="黑体" w:cs="宋体"/>
                <w:color w:val="000000"/>
                <w:kern w:val="0"/>
                <w:sz w:val="22"/>
              </w:rPr>
            </w:pPr>
          </w:p>
        </w:tc>
        <w:tc>
          <w:tcPr>
            <w:tcW w:w="2018" w:type="dxa"/>
            <w:shd w:val="clear" w:color="auto" w:fill="auto"/>
            <w:vAlign w:val="center"/>
          </w:tcPr>
          <w:p>
            <w:pPr>
              <w:widowControl/>
              <w:jc w:val="center"/>
              <w:rPr>
                <w:rFonts w:hint="eastAsia" w:ascii="黑体" w:hAnsi="宋体" w:eastAsia="黑体" w:cs="宋体"/>
                <w:kern w:val="0"/>
                <w:sz w:val="22"/>
              </w:rPr>
            </w:pPr>
          </w:p>
        </w:tc>
        <w:tc>
          <w:tcPr>
            <w:tcW w:w="142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val="en-US" w:eastAsia="zh-CN"/>
              </w:rPr>
              <w:t>编制日期</w:t>
            </w:r>
          </w:p>
        </w:tc>
        <w:tc>
          <w:tcPr>
            <w:tcW w:w="2711" w:type="dxa"/>
            <w:gridSpan w:val="4"/>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val="en-US" w:eastAsia="zh-CN"/>
              </w:rPr>
              <w:t>2020年10月10日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旗</w:t>
            </w:r>
            <w:r>
              <w:rPr>
                <w:rFonts w:hint="eastAsia" w:ascii="黑体" w:hAnsi="宋体" w:eastAsia="黑体" w:cs="宋体"/>
                <w:color w:val="000000"/>
                <w:kern w:val="0"/>
                <w:sz w:val="22"/>
              </w:rPr>
              <w:t>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rPr>
                <w:rFonts w:ascii="黑体" w:hAnsi="宋体" w:eastAsia="黑体" w:cs="宋体"/>
                <w:kern w:val="0"/>
                <w:sz w:val="22"/>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Merge w:val="restart"/>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val="en-US" w:eastAsia="zh-CN"/>
              </w:rPr>
              <w:t>札萨克镇人民政府</w:t>
            </w:r>
          </w:p>
        </w:tc>
        <w:tc>
          <w:tcPr>
            <w:tcW w:w="2018"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eastAsia="仿宋_GB2312"/>
                <w:color w:val="000000"/>
                <w:sz w:val="18"/>
                <w:szCs w:val="18"/>
              </w:rPr>
              <w:t>■公示栏（电子屏）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B8C182-3F02-4635-9D5B-4D9702E75D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embedRegular r:id="rId2" w:fontKey="{B3DD3E4B-ED9A-4BBF-98AF-3BC8FFE39E9A}"/>
  </w:font>
  <w:font w:name="等线">
    <w:panose1 w:val="02010600030101010101"/>
    <w:charset w:val="86"/>
    <w:family w:val="auto"/>
    <w:pitch w:val="default"/>
    <w:sig w:usb0="A00002BF" w:usb1="38CF7CFA" w:usb2="00000016" w:usb3="00000000" w:csb0="0004000F" w:csb1="00000000"/>
    <w:embedRegular r:id="rId3" w:fontKey="{6ED5C45B-82D9-4FD1-AF63-380D145CB13C}"/>
  </w:font>
  <w:font w:name="方正小标宋_GBK">
    <w:panose1 w:val="02000000000000000000"/>
    <w:charset w:val="86"/>
    <w:family w:val="script"/>
    <w:pitch w:val="default"/>
    <w:sig w:usb0="A00002BF" w:usb1="38CF7CFA" w:usb2="00082016" w:usb3="00000000" w:csb0="00040001" w:csb1="00000000"/>
    <w:embedRegular r:id="rId4" w:fontKey="{2D2D0650-2B04-4D6A-B23E-060637BF7636}"/>
  </w:font>
  <w:font w:name="仿宋_GB2312">
    <w:panose1 w:val="02010609030101010101"/>
    <w:charset w:val="86"/>
    <w:family w:val="modern"/>
    <w:pitch w:val="default"/>
    <w:sig w:usb0="00000001" w:usb1="080E0000" w:usb2="00000000" w:usb3="00000000" w:csb0="00040000" w:csb1="00000000"/>
    <w:embedRegular r:id="rId5" w:fontKey="{BF4BCAEB-45AE-4C08-90D7-0BB580F00E5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4ZTA2MGUwZWRlZmY3Y2ViNDZmZWY3MTM2YmZiYTUifQ=="/>
  </w:docVars>
  <w:rsids>
    <w:rsidRoot w:val="00416393"/>
    <w:rsid w:val="00146120"/>
    <w:rsid w:val="00190068"/>
    <w:rsid w:val="00193DB9"/>
    <w:rsid w:val="001E6D63"/>
    <w:rsid w:val="002967AA"/>
    <w:rsid w:val="002E0878"/>
    <w:rsid w:val="003B2C77"/>
    <w:rsid w:val="004077CB"/>
    <w:rsid w:val="00416393"/>
    <w:rsid w:val="00505CE0"/>
    <w:rsid w:val="00612901"/>
    <w:rsid w:val="008438B0"/>
    <w:rsid w:val="00902A01"/>
    <w:rsid w:val="00A41EEC"/>
    <w:rsid w:val="00AA6B60"/>
    <w:rsid w:val="00B56955"/>
    <w:rsid w:val="00C3715A"/>
    <w:rsid w:val="00FA002F"/>
    <w:rsid w:val="00FE0F57"/>
    <w:rsid w:val="0CA859A1"/>
    <w:rsid w:val="0E911935"/>
    <w:rsid w:val="19D92A3A"/>
    <w:rsid w:val="1D2F1C3E"/>
    <w:rsid w:val="4A251987"/>
    <w:rsid w:val="5DB44CC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qFormat/>
    <w:uiPriority w:val="0"/>
    <w:pPr>
      <w:jc w:val="left"/>
    </w:pPr>
  </w:style>
  <w:style w:type="paragraph" w:styleId="4">
    <w:name w:val="Balloon Text"/>
    <w:basedOn w:val="1"/>
    <w:link w:val="19"/>
    <w:autoRedefine/>
    <w:semiHidden/>
    <w:qFormat/>
    <w:uiPriority w:val="0"/>
    <w:rPr>
      <w:sz w:val="18"/>
      <w:szCs w:val="18"/>
    </w:rPr>
  </w:style>
  <w:style w:type="paragraph" w:styleId="5">
    <w:name w:val="footer"/>
    <w:basedOn w:val="1"/>
    <w:link w:val="22"/>
    <w:autoRedefine/>
    <w:qFormat/>
    <w:uiPriority w:val="0"/>
    <w:pPr>
      <w:tabs>
        <w:tab w:val="center" w:pos="4153"/>
        <w:tab w:val="right" w:pos="8306"/>
      </w:tabs>
      <w:snapToGrid w:val="0"/>
      <w:jc w:val="left"/>
    </w:pPr>
    <w:rPr>
      <w:sz w:val="18"/>
      <w:szCs w:val="18"/>
    </w:rPr>
  </w:style>
  <w:style w:type="paragraph" w:styleId="6">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Hyperlink"/>
    <w:autoRedefine/>
    <w:qFormat/>
    <w:uiPriority w:val="0"/>
    <w:rPr>
      <w:color w:val="0000FF"/>
      <w:u w:val="single"/>
    </w:rPr>
  </w:style>
  <w:style w:type="character" w:styleId="14">
    <w:name w:val="annotation reference"/>
    <w:autoRedefine/>
    <w:semiHidden/>
    <w:qFormat/>
    <w:uiPriority w:val="0"/>
    <w:rPr>
      <w:sz w:val="21"/>
      <w:szCs w:val="21"/>
    </w:rPr>
  </w:style>
  <w:style w:type="character" w:customStyle="1" w:styleId="15">
    <w:name w:val="标题 1 字符"/>
    <w:basedOn w:val="11"/>
    <w:link w:val="2"/>
    <w:autoRedefine/>
    <w:qFormat/>
    <w:uiPriority w:val="0"/>
    <w:rPr>
      <w:rFonts w:ascii="Calibri" w:hAnsi="Calibri" w:eastAsia="宋体" w:cs="Times New Roman"/>
      <w:b/>
      <w:bCs/>
      <w:kern w:val="44"/>
      <w:sz w:val="44"/>
      <w:szCs w:val="44"/>
    </w:rPr>
  </w:style>
  <w:style w:type="paragraph" w:customStyle="1" w:styleId="16">
    <w:name w:val="列出段落"/>
    <w:basedOn w:val="1"/>
    <w:autoRedefine/>
    <w:qFormat/>
    <w:uiPriority w:val="0"/>
    <w:pPr>
      <w:ind w:firstLine="420" w:firstLineChars="200"/>
    </w:pPr>
    <w:rPr>
      <w:rFonts w:ascii="等线" w:hAnsi="等线" w:eastAsia="等线"/>
    </w:rPr>
  </w:style>
  <w:style w:type="character" w:customStyle="1" w:styleId="17">
    <w:name w:val="批注文字 字符"/>
    <w:basedOn w:val="11"/>
    <w:link w:val="3"/>
    <w:autoRedefine/>
    <w:semiHidden/>
    <w:qFormat/>
    <w:uiPriority w:val="0"/>
    <w:rPr>
      <w:rFonts w:ascii="Calibri" w:hAnsi="Calibri" w:eastAsia="宋体" w:cs="Times New Roman"/>
    </w:rPr>
  </w:style>
  <w:style w:type="character" w:customStyle="1" w:styleId="18">
    <w:name w:val="批注主题 字符"/>
    <w:basedOn w:val="17"/>
    <w:link w:val="8"/>
    <w:autoRedefine/>
    <w:semiHidden/>
    <w:qFormat/>
    <w:uiPriority w:val="0"/>
    <w:rPr>
      <w:rFonts w:ascii="Calibri" w:hAnsi="Calibri" w:eastAsia="宋体" w:cs="Times New Roman"/>
      <w:b/>
      <w:bCs/>
    </w:rPr>
  </w:style>
  <w:style w:type="character" w:customStyle="1" w:styleId="19">
    <w:name w:val="批注框文本 字符"/>
    <w:basedOn w:val="11"/>
    <w:link w:val="4"/>
    <w:autoRedefine/>
    <w:semiHidden/>
    <w:qFormat/>
    <w:uiPriority w:val="0"/>
    <w:rPr>
      <w:rFonts w:ascii="Calibri" w:hAnsi="Calibri" w:eastAsia="宋体" w:cs="Times New Roman"/>
      <w:sz w:val="18"/>
      <w:szCs w:val="18"/>
    </w:rPr>
  </w:style>
  <w:style w:type="paragraph" w:customStyle="1" w:styleId="20">
    <w:name w:val="列出段落1"/>
    <w:basedOn w:val="1"/>
    <w:autoRedefine/>
    <w:qFormat/>
    <w:uiPriority w:val="0"/>
    <w:pPr>
      <w:ind w:firstLine="420" w:firstLineChars="200"/>
    </w:pPr>
  </w:style>
  <w:style w:type="character" w:customStyle="1" w:styleId="21">
    <w:name w:val="页眉 字符"/>
    <w:basedOn w:val="11"/>
    <w:link w:val="6"/>
    <w:autoRedefine/>
    <w:qFormat/>
    <w:uiPriority w:val="0"/>
    <w:rPr>
      <w:rFonts w:ascii="Calibri" w:hAnsi="Calibri" w:eastAsia="宋体" w:cs="Times New Roman"/>
      <w:sz w:val="18"/>
      <w:szCs w:val="18"/>
    </w:rPr>
  </w:style>
  <w:style w:type="character" w:customStyle="1" w:styleId="22">
    <w:name w:val="页脚 字符"/>
    <w:basedOn w:val="11"/>
    <w:link w:val="5"/>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308</Words>
  <Characters>1757</Characters>
  <Lines>14</Lines>
  <Paragraphs>4</Paragraphs>
  <TotalTime>6</TotalTime>
  <ScaleCrop>false</ScaleCrop>
  <LinksUpToDate>false</LinksUpToDate>
  <CharactersWithSpaces>2061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@WXH</cp:lastModifiedBy>
  <dcterms:modified xsi:type="dcterms:W3CDTF">2024-04-17T08:00:59Z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D6576EA3ED8C4920BFDBDC6D2A67B461_13</vt:lpwstr>
  </property>
</Properties>
</file>