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9" w:lineRule="auto"/>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附件2</w:t>
      </w:r>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方正小标宋_GBK" w:hAnsi="方正小标宋_GBK" w:eastAsia="方正小标宋_GBK"/>
          <w:b w:val="0"/>
          <w:bCs w:val="0"/>
          <w:sz w:val="44"/>
          <w:szCs w:val="44"/>
        </w:rPr>
      </w:pPr>
      <w:r>
        <w:rPr>
          <w:rFonts w:hint="eastAsia" w:ascii="方正小标宋_GBK" w:hAnsi="方正小标宋_GBK" w:eastAsia="方正小标宋_GBK"/>
          <w:b w:val="0"/>
          <w:bCs w:val="0"/>
          <w:sz w:val="44"/>
          <w:szCs w:val="44"/>
          <w:lang w:val="en-US" w:eastAsia="zh-CN"/>
        </w:rPr>
        <w:t>札萨克镇</w:t>
      </w:r>
      <w:r>
        <w:rPr>
          <w:rFonts w:hint="eastAsia" w:ascii="方正小标宋_GBK" w:hAnsi="方正小标宋_GBK" w:eastAsia="方正小标宋_GBK"/>
          <w:b w:val="0"/>
          <w:bCs w:val="0"/>
          <w:sz w:val="44"/>
          <w:szCs w:val="44"/>
        </w:rPr>
        <w:t>农村集体土地征收基层政务公开标准目录</w:t>
      </w:r>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3"/>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编制单位：</w:t>
            </w:r>
          </w:p>
        </w:tc>
        <w:tc>
          <w:tcPr>
            <w:tcW w:w="2714" w:type="dxa"/>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札萨克镇人民政府</w:t>
            </w:r>
          </w:p>
        </w:tc>
        <w:tc>
          <w:tcPr>
            <w:tcW w:w="1260" w:type="dxa"/>
            <w:shd w:val="clear" w:color="auto" w:fill="auto"/>
            <w:vAlign w:val="center"/>
          </w:tcPr>
          <w:p>
            <w:pPr>
              <w:widowControl/>
              <w:jc w:val="center"/>
              <w:rPr>
                <w:rFonts w:hint="eastAsia" w:ascii="黑体" w:hAnsi="宋体" w:eastAsia="黑体" w:cs="宋体"/>
                <w:color w:val="000000"/>
                <w:kern w:val="0"/>
                <w:sz w:val="22"/>
              </w:rPr>
            </w:pPr>
          </w:p>
        </w:tc>
        <w:tc>
          <w:tcPr>
            <w:tcW w:w="1980" w:type="dxa"/>
            <w:shd w:val="clear" w:color="auto" w:fill="auto"/>
            <w:vAlign w:val="center"/>
          </w:tcPr>
          <w:p>
            <w:pPr>
              <w:widowControl/>
              <w:jc w:val="center"/>
              <w:rPr>
                <w:rFonts w:hint="eastAsia" w:ascii="黑体" w:hAnsi="宋体" w:eastAsia="黑体" w:cs="宋体"/>
                <w:color w:val="000000"/>
                <w:kern w:val="0"/>
                <w:sz w:val="22"/>
              </w:rPr>
            </w:pPr>
          </w:p>
        </w:tc>
        <w:tc>
          <w:tcPr>
            <w:tcW w:w="1620" w:type="dxa"/>
            <w:shd w:val="clear" w:color="auto" w:fill="auto"/>
            <w:vAlign w:val="center"/>
          </w:tcPr>
          <w:p>
            <w:pPr>
              <w:widowControl/>
              <w:jc w:val="center"/>
              <w:rPr>
                <w:rFonts w:hint="eastAsia" w:ascii="黑体" w:hAnsi="宋体" w:eastAsia="黑体" w:cs="宋体"/>
                <w:color w:val="000000"/>
                <w:kern w:val="0"/>
                <w:sz w:val="22"/>
              </w:rPr>
            </w:pPr>
          </w:p>
        </w:tc>
        <w:tc>
          <w:tcPr>
            <w:tcW w:w="1786" w:type="dxa"/>
            <w:shd w:val="clear" w:color="auto" w:fill="auto"/>
            <w:vAlign w:val="center"/>
          </w:tcPr>
          <w:p>
            <w:pPr>
              <w:widowControl/>
              <w:jc w:val="center"/>
              <w:rPr>
                <w:rFonts w:hint="eastAsia" w:ascii="黑体" w:hAnsi="宋体" w:eastAsia="黑体" w:cs="宋体"/>
                <w:kern w:val="0"/>
                <w:sz w:val="22"/>
              </w:rPr>
            </w:pPr>
          </w:p>
        </w:tc>
        <w:tc>
          <w:tcPr>
            <w:tcW w:w="1429" w:type="dxa"/>
            <w:gridSpan w:val="2"/>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编制日期</w:t>
            </w:r>
          </w:p>
        </w:tc>
        <w:tc>
          <w:tcPr>
            <w:tcW w:w="2711" w:type="dxa"/>
            <w:gridSpan w:val="4"/>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2020年10月10日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旗</w:t>
            </w:r>
            <w:r>
              <w:rPr>
                <w:rFonts w:hint="eastAsia" w:ascii="黑体" w:hAnsi="宋体" w:eastAsia="黑体" w:cs="宋体"/>
                <w:color w:val="000000"/>
                <w:kern w:val="0"/>
                <w:sz w:val="22"/>
              </w:rPr>
              <w:t>级</w:t>
            </w:r>
          </w:p>
        </w:tc>
        <w:tc>
          <w:tcPr>
            <w:tcW w:w="720" w:type="dxa"/>
            <w:shd w:val="clear" w:color="auto" w:fill="auto"/>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pPr>
              <w:widowControl/>
              <w:spacing w:line="240" w:lineRule="exact"/>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札萨克镇人民政府</w:t>
            </w:r>
          </w:p>
        </w:tc>
        <w:tc>
          <w:tcPr>
            <w:tcW w:w="1786"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spacing w:line="240" w:lineRule="exact"/>
              <w:rPr>
                <w:rFonts w:hint="eastAsia"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p>
        </w:tc>
        <w:tc>
          <w:tcPr>
            <w:tcW w:w="554"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551"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spacing w:line="240" w:lineRule="exact"/>
              <w:rPr>
                <w:rFonts w:hint="eastAsia"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p>
        </w:tc>
        <w:tc>
          <w:tcPr>
            <w:tcW w:w="554"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875" w:type="dxa"/>
            <w:shd w:val="clear" w:color="auto" w:fill="auto"/>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widowControl/>
              <w:jc w:val="left"/>
              <w:rPr>
                <w:rFonts w:hint="eastAsia" w:ascii="仿宋_GB2312" w:eastAsia="仿宋_GB2312"/>
                <w:color w:val="000000"/>
                <w:sz w:val="18"/>
                <w:szCs w:val="18"/>
              </w:rPr>
            </w:pPr>
          </w:p>
        </w:tc>
        <w:tc>
          <w:tcPr>
            <w:tcW w:w="1260" w:type="dxa"/>
            <w:vMerge w:val="continue"/>
            <w:vAlign w:val="center"/>
          </w:tcPr>
          <w:p>
            <w:pPr>
              <w:widowControl/>
              <w:rPr>
                <w:rFonts w:hint="eastAsia" w:ascii="仿宋_GB2312" w:eastAsia="仿宋_GB2312"/>
                <w:color w:val="000000"/>
                <w:sz w:val="18"/>
                <w:szCs w:val="18"/>
              </w:rPr>
            </w:pP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hint="eastAsia"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rPr>
                <w:rFonts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rPr>
                <w:rFonts w:hint="eastAsia"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hint="eastAsia" w:ascii="仿宋_GB2312" w:eastAsia="仿宋_GB2312"/>
                <w:color w:val="000000"/>
                <w:sz w:val="18"/>
                <w:szCs w:val="18"/>
              </w:rPr>
            </w:pPr>
          </w:p>
        </w:tc>
        <w:tc>
          <w:tcPr>
            <w:tcW w:w="551"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rPr>
                <w:rFonts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、建设用地审查报批有关规定。</w:t>
            </w:r>
          </w:p>
        </w:tc>
        <w:tc>
          <w:tcPr>
            <w:tcW w:w="1980" w:type="dxa"/>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spacing w:line="260" w:lineRule="exact"/>
              <w:rPr>
                <w:rFonts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spacing w:line="260" w:lineRule="exact"/>
              <w:rPr>
                <w:rFonts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spacing w:line="260" w:lineRule="exact"/>
              <w:rPr>
                <w:rFonts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rPr>
                <w:rFonts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r>
              <w:rPr>
                <w:rFonts w:hint="eastAsia" w:ascii="仿宋_GB2312" w:eastAsia="仿宋_GB2312"/>
                <w:color w:val="000000"/>
                <w:sz w:val="18"/>
                <w:szCs w:val="18"/>
              </w:rPr>
              <w:t xml:space="preserve">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rPr>
                <w:rFonts w:hint="eastAsia"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p>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rPr>
                <w:rFonts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lang w:val="en-US" w:eastAsia="zh-CN"/>
              </w:rPr>
              <w:t>札萨克镇人民政府</w:t>
            </w:r>
          </w:p>
        </w:tc>
        <w:tc>
          <w:tcPr>
            <w:tcW w:w="1786"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札萨克发布公众号</w:t>
            </w:r>
          </w:p>
          <w:p>
            <w:pPr>
              <w:widowControl/>
              <w:rPr>
                <w:rFonts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3DB9"/>
    <w:rsid w:val="001E6D63"/>
    <w:rsid w:val="002967AA"/>
    <w:rsid w:val="002E0878"/>
    <w:rsid w:val="003B2C77"/>
    <w:rsid w:val="004077CB"/>
    <w:rsid w:val="00416393"/>
    <w:rsid w:val="00612901"/>
    <w:rsid w:val="008438B0"/>
    <w:rsid w:val="00902A01"/>
    <w:rsid w:val="00A41EEC"/>
    <w:rsid w:val="00BB6CC6"/>
    <w:rsid w:val="00C3715A"/>
    <w:rsid w:val="00FA002F"/>
    <w:rsid w:val="013727AF"/>
    <w:rsid w:val="53FA7AC2"/>
    <w:rsid w:val="61674417"/>
    <w:rsid w:val="BBFBB20B"/>
    <w:rsid w:val="DB7E70A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0"/>
    <w:pPr>
      <w:jc w:val="left"/>
    </w:pPr>
  </w:style>
  <w:style w:type="paragraph" w:styleId="4">
    <w:name w:val="Balloon Text"/>
    <w:basedOn w:val="1"/>
    <w:link w:val="19"/>
    <w:autoRedefine/>
    <w:semiHidden/>
    <w:qFormat/>
    <w:uiPriority w:val="0"/>
    <w:rPr>
      <w:sz w:val="18"/>
      <w:szCs w:val="18"/>
    </w:rPr>
  </w:style>
  <w:style w:type="paragraph" w:styleId="5">
    <w:name w:val="footer"/>
    <w:basedOn w:val="1"/>
    <w:link w:val="22"/>
    <w:autoRedefine/>
    <w:qFormat/>
    <w:uiPriority w:val="0"/>
    <w:pPr>
      <w:tabs>
        <w:tab w:val="center" w:pos="4153"/>
        <w:tab w:val="right" w:pos="8306"/>
      </w:tabs>
      <w:snapToGrid w:val="0"/>
      <w:jc w:val="left"/>
    </w:pPr>
    <w:rPr>
      <w:sz w:val="18"/>
      <w:szCs w:val="18"/>
    </w:rPr>
  </w:style>
  <w:style w:type="paragraph" w:styleId="6">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autoRedefine/>
    <w:semiHidden/>
    <w:qFormat/>
    <w:uiPriority w:val="0"/>
    <w:rPr>
      <w:b/>
      <w:bCs/>
    </w:rPr>
  </w:style>
  <w:style w:type="table" w:styleId="10">
    <w:name w:val="Table Grid"/>
    <w:basedOn w:val="9"/>
    <w:autoRedefine/>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styleId="13">
    <w:name w:val="Hyperlink"/>
    <w:autoRedefine/>
    <w:qFormat/>
    <w:uiPriority w:val="0"/>
    <w:rPr>
      <w:color w:val="0000FF"/>
      <w:u w:val="single"/>
    </w:rPr>
  </w:style>
  <w:style w:type="character" w:styleId="14">
    <w:name w:val="annotation reference"/>
    <w:autoRedefine/>
    <w:semiHidden/>
    <w:qFormat/>
    <w:uiPriority w:val="0"/>
    <w:rPr>
      <w:sz w:val="21"/>
      <w:szCs w:val="21"/>
    </w:rPr>
  </w:style>
  <w:style w:type="character" w:customStyle="1" w:styleId="15">
    <w:name w:val="标题 1 字符"/>
    <w:basedOn w:val="11"/>
    <w:link w:val="2"/>
    <w:autoRedefine/>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autoRedefine/>
    <w:semiHidden/>
    <w:qFormat/>
    <w:uiPriority w:val="0"/>
    <w:rPr>
      <w:rFonts w:ascii="Calibri" w:hAnsi="Calibri" w:eastAsia="宋体" w:cs="Times New Roman"/>
    </w:rPr>
  </w:style>
  <w:style w:type="character" w:customStyle="1" w:styleId="18">
    <w:name w:val="批注主题 字符"/>
    <w:basedOn w:val="17"/>
    <w:link w:val="8"/>
    <w:autoRedefine/>
    <w:semiHidden/>
    <w:qFormat/>
    <w:uiPriority w:val="0"/>
    <w:rPr>
      <w:rFonts w:ascii="Calibri" w:hAnsi="Calibri" w:eastAsia="宋体" w:cs="Times New Roman"/>
      <w:b/>
      <w:bCs/>
    </w:rPr>
  </w:style>
  <w:style w:type="character" w:customStyle="1" w:styleId="19">
    <w:name w:val="批注框文本 字符"/>
    <w:basedOn w:val="11"/>
    <w:link w:val="4"/>
    <w:autoRedefine/>
    <w:semiHidden/>
    <w:qFormat/>
    <w:uiPriority w:val="0"/>
    <w:rPr>
      <w:rFonts w:ascii="Calibri" w:hAnsi="Calibri" w:eastAsia="宋体" w:cs="Times New Roman"/>
      <w:sz w:val="18"/>
      <w:szCs w:val="18"/>
    </w:rPr>
  </w:style>
  <w:style w:type="paragraph" w:customStyle="1" w:styleId="20">
    <w:name w:val="列出段落1"/>
    <w:basedOn w:val="1"/>
    <w:autoRedefine/>
    <w:qFormat/>
    <w:uiPriority w:val="0"/>
    <w:pPr>
      <w:ind w:firstLine="420" w:firstLineChars="200"/>
    </w:pPr>
  </w:style>
  <w:style w:type="character" w:customStyle="1" w:styleId="21">
    <w:name w:val="页眉 字符"/>
    <w:basedOn w:val="11"/>
    <w:link w:val="6"/>
    <w:autoRedefine/>
    <w:qFormat/>
    <w:uiPriority w:val="0"/>
    <w:rPr>
      <w:rFonts w:ascii="Calibri" w:hAnsi="Calibri" w:eastAsia="宋体" w:cs="Times New Roman"/>
      <w:sz w:val="18"/>
      <w:szCs w:val="18"/>
    </w:rPr>
  </w:style>
  <w:style w:type="character" w:customStyle="1" w:styleId="22">
    <w:name w:val="页脚 字符"/>
    <w:basedOn w:val="11"/>
    <w:link w:val="5"/>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530</Words>
  <Characters>3024</Characters>
  <Lines>25</Lines>
  <Paragraphs>7</Paragraphs>
  <TotalTime>6</TotalTime>
  <ScaleCrop>false</ScaleCrop>
  <LinksUpToDate>false</LinksUpToDate>
  <CharactersWithSpaces>3547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2020-03-06T23:02:00Z</dcterms:created>
  <dc:creator>tai yuzhu</dc:creator>
  <cp:lastModifiedBy>Administrator</cp:lastModifiedBy>
  <cp:lastPrinted>2020-10-30T21:56:00Z</cp:lastPrinted>
  <dcterms:modified xsi:type="dcterms:W3CDTF">2024-04-17T03:07:39Z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AAEA92DA926F4BA981ACB44188F36996_13</vt:lpwstr>
  </property>
</Properties>
</file>