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rPr>
          <w:rFonts w:ascii="楷体" w:hAnsi="楷体" w:eastAsia="楷体" w:cs="Times New Roman"/>
          <w:b/>
          <w:sz w:val="36"/>
          <w:szCs w:val="36"/>
          <w:lang w:bidi="ar"/>
        </w:rPr>
      </w:pPr>
    </w:p>
    <w:p>
      <w:pPr>
        <w:widowControl/>
        <w:spacing w:before="156" w:beforeLines="50"/>
        <w:rPr>
          <w:rFonts w:ascii="楷体" w:hAnsi="楷体" w:eastAsia="楷体" w:cs="Times New Roman"/>
          <w:b/>
          <w:sz w:val="36"/>
          <w:szCs w:val="36"/>
          <w:lang w:bidi="ar"/>
        </w:rPr>
      </w:pPr>
    </w:p>
    <w:p>
      <w:pPr>
        <w:widowControl/>
        <w:spacing w:before="156" w:beforeLines="50"/>
        <w:rPr>
          <w:rFonts w:ascii="Calibri" w:hAnsi="Calibri" w:eastAsia="宋体" w:cs="Times New Roman"/>
          <w:szCs w:val="24"/>
          <w:lang w:bidi="ar"/>
        </w:rPr>
      </w:pPr>
    </w:p>
    <w:p>
      <w:pPr>
        <w:spacing w:before="240" w:after="60"/>
        <w:jc w:val="center"/>
        <w:rPr>
          <w:rFonts w:ascii="Calibri Light" w:hAnsi="Calibri Light" w:eastAsia="宋体" w:cs="Times New Roman"/>
          <w:b/>
          <w:bCs/>
          <w:sz w:val="32"/>
          <w:szCs w:val="32"/>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楷体" w:hAnsi="楷体" w:eastAsia="楷体" w:cs="Times New Roman"/>
          <w:b/>
          <w:sz w:val="44"/>
          <w:szCs w:val="44"/>
          <w:lang w:val="en-US" w:eastAsia="zh-CN" w:bidi="ar"/>
        </w:rPr>
      </w:pPr>
      <w:bookmarkStart w:id="0" w:name="_Toc30278"/>
      <w:bookmarkStart w:id="1" w:name="_Toc4966"/>
      <w:bookmarkStart w:id="2" w:name="_Toc18415"/>
      <w:r>
        <w:rPr>
          <w:rFonts w:hint="eastAsia" w:ascii="楷体" w:hAnsi="楷体" w:eastAsia="楷体" w:cs="Times New Roman"/>
          <w:b/>
          <w:sz w:val="44"/>
          <w:szCs w:val="44"/>
          <w:lang w:bidi="ar"/>
        </w:rPr>
        <w:t>伊金霍洛旗苏布尔嘎镇</w:t>
      </w:r>
      <w:r>
        <w:rPr>
          <w:rFonts w:hint="eastAsia" w:ascii="楷体" w:hAnsi="楷体" w:eastAsia="楷体" w:cs="Times New Roman"/>
          <w:b/>
          <w:sz w:val="44"/>
          <w:szCs w:val="44"/>
          <w:lang w:eastAsia="zh-CN" w:bidi="ar"/>
        </w:rPr>
        <w:t>、</w:t>
      </w:r>
      <w:r>
        <w:rPr>
          <w:rFonts w:hint="eastAsia" w:ascii="楷体" w:hAnsi="楷体" w:eastAsia="楷体" w:cs="Times New Roman"/>
          <w:b/>
          <w:sz w:val="44"/>
          <w:szCs w:val="44"/>
          <w:lang w:val="en-US" w:eastAsia="zh-CN" w:bidi="ar"/>
        </w:rPr>
        <w:t>卫生健康委员会</w:t>
      </w:r>
    </w:p>
    <w:p>
      <w:pPr>
        <w:keepNext w:val="0"/>
        <w:keepLines w:val="0"/>
        <w:pageBreakBefore w:val="0"/>
        <w:widowControl/>
        <w:kinsoku/>
        <w:wordWrap/>
        <w:overflowPunct/>
        <w:topLinePunct w:val="0"/>
        <w:autoSpaceDE/>
        <w:autoSpaceDN/>
        <w:bidi w:val="0"/>
        <w:spacing w:line="560" w:lineRule="exact"/>
        <w:jc w:val="center"/>
        <w:textAlignment w:val="auto"/>
        <w:rPr>
          <w:rFonts w:ascii="楷体" w:hAnsi="楷体" w:eastAsia="楷体" w:cs="Times New Roman"/>
          <w:b/>
          <w:sz w:val="44"/>
          <w:szCs w:val="44"/>
          <w:lang w:bidi="ar"/>
        </w:rPr>
      </w:pPr>
      <w:r>
        <w:rPr>
          <w:rFonts w:hint="eastAsia" w:ascii="楷体" w:hAnsi="楷体" w:eastAsia="楷体" w:cs="Times New Roman"/>
          <w:b/>
          <w:sz w:val="44"/>
          <w:szCs w:val="44"/>
          <w:lang w:bidi="ar"/>
        </w:rPr>
        <w:t>基层卫生院建设项目</w:t>
      </w:r>
      <w:bookmarkEnd w:id="0"/>
      <w:bookmarkEnd w:id="1"/>
      <w:bookmarkEnd w:id="2"/>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黑体" w:hAnsi="宋体" w:eastAsia="黑体" w:cs="Times New Roman"/>
          <w:b/>
          <w:sz w:val="72"/>
          <w:szCs w:val="72"/>
          <w:lang w:val="zh-CN"/>
        </w:rPr>
      </w:pPr>
      <w:r>
        <w:rPr>
          <w:rFonts w:hint="eastAsia" w:ascii="楷体" w:hAnsi="楷体" w:eastAsia="楷体" w:cs="Times New Roman"/>
          <w:b/>
          <w:sz w:val="44"/>
          <w:szCs w:val="44"/>
          <w:lang w:val="zh-CN" w:bidi="ar"/>
        </w:rPr>
        <w:t>绩效评</w:t>
      </w:r>
      <w:r>
        <w:rPr>
          <w:rFonts w:hint="eastAsia" w:ascii="楷体" w:hAnsi="楷体" w:eastAsia="楷体" w:cs="Times New Roman"/>
          <w:b/>
          <w:sz w:val="44"/>
          <w:szCs w:val="44"/>
          <w:lang w:bidi="ar"/>
        </w:rPr>
        <w:t>估</w:t>
      </w:r>
      <w:r>
        <w:rPr>
          <w:rFonts w:hint="eastAsia" w:ascii="楷体" w:hAnsi="楷体" w:eastAsia="楷体" w:cs="Times New Roman"/>
          <w:b/>
          <w:sz w:val="44"/>
          <w:szCs w:val="44"/>
          <w:lang w:eastAsia="zh-CN" w:bidi="ar"/>
        </w:rPr>
        <w:t>简要</w:t>
      </w:r>
      <w:r>
        <w:rPr>
          <w:rFonts w:hint="eastAsia" w:ascii="楷体" w:hAnsi="楷体" w:eastAsia="楷体" w:cs="Times New Roman"/>
          <w:b/>
          <w:sz w:val="44"/>
          <w:szCs w:val="44"/>
          <w:lang w:val="zh-CN" w:bidi="ar"/>
        </w:rPr>
        <w:t>报告</w:t>
      </w:r>
    </w:p>
    <w:p>
      <w:pPr>
        <w:widowControl/>
        <w:spacing w:before="156" w:beforeLines="50" w:after="156" w:afterLines="50" w:line="360" w:lineRule="auto"/>
        <w:rPr>
          <w:rFonts w:ascii="黑体" w:hAnsi="宋体" w:eastAsia="黑体" w:cs="仿宋"/>
          <w:b/>
          <w:sz w:val="32"/>
          <w:szCs w:val="32"/>
        </w:rPr>
      </w:pPr>
    </w:p>
    <w:p>
      <w:pPr>
        <w:widowControl/>
        <w:spacing w:before="156" w:beforeLines="50" w:after="156" w:afterLines="50" w:line="360" w:lineRule="auto"/>
        <w:rPr>
          <w:rFonts w:ascii="黑体" w:hAnsi="宋体" w:eastAsia="黑体" w:cs="仿宋"/>
          <w:b/>
          <w:sz w:val="32"/>
          <w:szCs w:val="32"/>
        </w:rPr>
      </w:pPr>
    </w:p>
    <w:p>
      <w:pPr>
        <w:widowControl/>
        <w:spacing w:before="156" w:beforeLines="50" w:after="156" w:afterLines="50" w:line="360" w:lineRule="auto"/>
        <w:rPr>
          <w:rFonts w:ascii="黑体" w:hAnsi="宋体" w:eastAsia="黑体" w:cs="仿宋"/>
          <w:b/>
          <w:sz w:val="32"/>
          <w:szCs w:val="32"/>
        </w:rPr>
      </w:pPr>
    </w:p>
    <w:p>
      <w:pPr>
        <w:rPr>
          <w:rFonts w:ascii="Calibri" w:hAnsi="Calibri" w:eastAsia="宋体" w:cs="Times New Roman"/>
          <w:szCs w:val="24"/>
        </w:rPr>
      </w:pPr>
    </w:p>
    <w:p>
      <w:pPr>
        <w:spacing w:before="240" w:after="60"/>
        <w:jc w:val="center"/>
        <w:rPr>
          <w:rFonts w:ascii="Calibri Light" w:hAnsi="Calibri Light" w:eastAsia="宋体" w:cs="Times New Roman"/>
          <w:b/>
          <w:bCs/>
          <w:sz w:val="32"/>
          <w:szCs w:val="32"/>
        </w:rPr>
      </w:pPr>
    </w:p>
    <w:p>
      <w:pPr>
        <w:spacing w:line="600" w:lineRule="exact"/>
        <w:jc w:val="center"/>
        <w:rPr>
          <w:rFonts w:ascii="楷体" w:hAnsi="楷体" w:eastAsia="楷体" w:cs="Times New Roman"/>
          <w:b/>
          <w:sz w:val="44"/>
          <w:szCs w:val="44"/>
        </w:rPr>
      </w:pPr>
      <w:bookmarkStart w:id="3" w:name="_Toc16101"/>
      <w:bookmarkStart w:id="4" w:name="_Toc9763"/>
      <w:bookmarkStart w:id="5" w:name="_Toc12051"/>
      <w:r>
        <w:rPr>
          <w:rFonts w:hint="eastAsia" w:ascii="楷体" w:hAnsi="楷体" w:eastAsia="楷体" w:cs="Times New Roman"/>
          <w:b/>
          <w:sz w:val="44"/>
          <w:szCs w:val="44"/>
          <w:lang w:bidi="ar"/>
        </w:rPr>
        <w:t>内蒙古东衡政同咨询管理有限公司</w:t>
      </w:r>
      <w:bookmarkEnd w:id="3"/>
      <w:bookmarkEnd w:id="4"/>
      <w:bookmarkEnd w:id="5"/>
    </w:p>
    <w:p>
      <w:pPr>
        <w:widowControl/>
        <w:spacing w:before="156" w:beforeLines="50" w:after="156" w:afterLines="50" w:line="360" w:lineRule="auto"/>
        <w:rPr>
          <w:rFonts w:ascii="黑体" w:hAnsi="宋体" w:eastAsia="黑体" w:cs="仿宋"/>
          <w:b/>
          <w:sz w:val="32"/>
          <w:szCs w:val="32"/>
        </w:rPr>
      </w:pPr>
    </w:p>
    <w:p>
      <w:pPr>
        <w:spacing w:line="600" w:lineRule="exact"/>
        <w:jc w:val="center"/>
        <w:rPr>
          <w:rFonts w:ascii="仿宋" w:hAnsi="仿宋" w:eastAsia="仿宋" w:cs="Times New Roman"/>
          <w:b/>
          <w:sz w:val="32"/>
          <w:szCs w:val="32"/>
          <w:lang w:val="zh-CN"/>
        </w:rPr>
      </w:pPr>
      <w:r>
        <w:rPr>
          <w:rFonts w:hint="eastAsia" w:ascii="仿宋" w:hAnsi="仿宋" w:eastAsia="仿宋" w:cs="Times New Roman"/>
          <w:b/>
          <w:sz w:val="32"/>
          <w:szCs w:val="32"/>
          <w:lang w:val="zh-CN" w:bidi="ar"/>
        </w:rPr>
        <w:t>20</w:t>
      </w:r>
      <w:r>
        <w:rPr>
          <w:rFonts w:ascii="仿宋" w:hAnsi="仿宋" w:eastAsia="仿宋" w:cs="Times New Roman"/>
          <w:b/>
          <w:sz w:val="32"/>
          <w:szCs w:val="32"/>
          <w:lang w:val="zh-CN" w:bidi="ar"/>
        </w:rPr>
        <w:t>2</w:t>
      </w:r>
      <w:r>
        <w:rPr>
          <w:rFonts w:ascii="仿宋" w:hAnsi="仿宋" w:eastAsia="仿宋" w:cs="Times New Roman"/>
          <w:b/>
          <w:sz w:val="32"/>
          <w:szCs w:val="32"/>
          <w:lang w:bidi="ar"/>
        </w:rPr>
        <w:t>3</w:t>
      </w:r>
      <w:r>
        <w:rPr>
          <w:rFonts w:hint="eastAsia" w:ascii="仿宋" w:hAnsi="仿宋" w:eastAsia="仿宋" w:cs="Times New Roman"/>
          <w:b/>
          <w:sz w:val="32"/>
          <w:szCs w:val="32"/>
          <w:lang w:val="zh-CN" w:bidi="ar"/>
        </w:rPr>
        <w:t>年</w:t>
      </w:r>
      <w:r>
        <w:rPr>
          <w:rFonts w:hint="eastAsia" w:ascii="仿宋" w:hAnsi="仿宋" w:eastAsia="仿宋" w:cs="Times New Roman"/>
          <w:b/>
          <w:sz w:val="32"/>
          <w:szCs w:val="32"/>
          <w:lang w:bidi="ar"/>
        </w:rPr>
        <w:t>1</w:t>
      </w:r>
      <w:r>
        <w:rPr>
          <w:rFonts w:hint="eastAsia" w:ascii="仿宋" w:hAnsi="仿宋" w:eastAsia="仿宋" w:cs="Times New Roman"/>
          <w:b/>
          <w:sz w:val="32"/>
          <w:szCs w:val="32"/>
          <w:lang w:val="zh-CN" w:bidi="ar"/>
        </w:rPr>
        <w:t>月</w:t>
      </w:r>
    </w:p>
    <w:p>
      <w:pPr>
        <w:sectPr>
          <w:head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jc w:val="center"/>
        <w:rPr>
          <w:rFonts w:ascii="仿宋" w:hAnsi="仿宋" w:eastAsia="仿宋" w:cs="Arial"/>
          <w:b/>
          <w:kern w:val="0"/>
          <w:sz w:val="32"/>
          <w:szCs w:val="32"/>
        </w:rPr>
      </w:pPr>
      <w:bookmarkStart w:id="6" w:name="_Toc32479"/>
      <w:bookmarkStart w:id="7" w:name="_Toc13839"/>
      <w:r>
        <w:rPr>
          <w:rFonts w:hint="eastAsia" w:ascii="仿宋" w:hAnsi="仿宋" w:eastAsia="仿宋" w:cs="Arial"/>
          <w:b/>
          <w:kern w:val="0"/>
          <w:sz w:val="32"/>
          <w:szCs w:val="32"/>
        </w:rPr>
        <w:t>基层卫生院建设项目绩效评估</w:t>
      </w:r>
      <w:r>
        <w:rPr>
          <w:rFonts w:hint="eastAsia" w:ascii="仿宋" w:hAnsi="仿宋" w:eastAsia="仿宋" w:cs="Arial"/>
          <w:b/>
          <w:kern w:val="0"/>
          <w:sz w:val="32"/>
          <w:szCs w:val="32"/>
          <w:lang w:eastAsia="zh-CN"/>
        </w:rPr>
        <w:t>简要</w:t>
      </w:r>
      <w:r>
        <w:rPr>
          <w:rFonts w:hint="eastAsia" w:ascii="仿宋" w:hAnsi="仿宋" w:eastAsia="仿宋" w:cs="Arial"/>
          <w:b/>
          <w:kern w:val="0"/>
          <w:sz w:val="32"/>
          <w:szCs w:val="32"/>
        </w:rPr>
        <w:t>报告</w:t>
      </w:r>
      <w:bookmarkEnd w:id="6"/>
      <w:bookmarkEnd w:id="7"/>
    </w:p>
    <w:p>
      <w:pPr>
        <w:adjustRightInd w:val="0"/>
        <w:snapToGrid w:val="0"/>
        <w:spacing w:line="360" w:lineRule="auto"/>
        <w:ind w:firstLine="640" w:firstLineChars="200"/>
        <w:rPr>
          <w:rFonts w:hint="eastAsia" w:ascii="仿宋" w:hAnsi="仿宋" w:eastAsia="仿宋" w:cs="Arial"/>
          <w:kern w:val="0"/>
          <w:sz w:val="32"/>
          <w:szCs w:val="32"/>
        </w:rPr>
      </w:pPr>
    </w:p>
    <w:p>
      <w:pPr>
        <w:adjustRightInd w:val="0"/>
        <w:snapToGrid w:val="0"/>
        <w:spacing w:line="360" w:lineRule="auto"/>
        <w:ind w:firstLine="643" w:firstLineChars="200"/>
        <w:outlineLvl w:val="0"/>
        <w:rPr>
          <w:rFonts w:ascii="黑体" w:hAnsi="黑体" w:eastAsia="黑体" w:cs="Times New Roman"/>
          <w:b/>
          <w:bCs/>
          <w:sz w:val="32"/>
          <w:szCs w:val="32"/>
        </w:rPr>
      </w:pPr>
      <w:bookmarkStart w:id="8" w:name="_Toc7158"/>
      <w:bookmarkStart w:id="9" w:name="_Toc13789"/>
      <w:bookmarkStart w:id="10" w:name="_Toc7949"/>
      <w:bookmarkStart w:id="11" w:name="_Toc10425"/>
      <w:bookmarkStart w:id="12" w:name="_Toc19466"/>
      <w:bookmarkStart w:id="13" w:name="_Toc6233"/>
      <w:bookmarkStart w:id="14" w:name="_Toc4783"/>
      <w:bookmarkStart w:id="15" w:name="_Toc1099"/>
      <w:r>
        <w:rPr>
          <w:rFonts w:hint="eastAsia" w:ascii="黑体" w:hAnsi="黑体" w:eastAsia="黑体" w:cs="Times New Roman"/>
          <w:b/>
          <w:bCs/>
          <w:sz w:val="32"/>
          <w:szCs w:val="32"/>
        </w:rPr>
        <w:t>一、基本情况</w:t>
      </w:r>
      <w:bookmarkEnd w:id="8"/>
      <w:bookmarkEnd w:id="9"/>
      <w:bookmarkEnd w:id="10"/>
      <w:bookmarkEnd w:id="11"/>
      <w:bookmarkEnd w:id="12"/>
      <w:bookmarkEnd w:id="13"/>
      <w:bookmarkEnd w:id="14"/>
      <w:bookmarkEnd w:id="15"/>
    </w:p>
    <w:p>
      <w:pPr>
        <w:adjustRightInd w:val="0"/>
        <w:snapToGrid w:val="0"/>
        <w:spacing w:line="360" w:lineRule="auto"/>
        <w:ind w:firstLine="643" w:firstLineChars="200"/>
        <w:outlineLvl w:val="2"/>
        <w:rPr>
          <w:rFonts w:ascii="仿宋" w:hAnsi="仿宋" w:eastAsia="仿宋" w:cs="Arial"/>
          <w:b/>
          <w:kern w:val="0"/>
          <w:sz w:val="32"/>
          <w:szCs w:val="32"/>
        </w:rPr>
      </w:pPr>
      <w:bookmarkStart w:id="16" w:name="_Toc36216435"/>
      <w:bookmarkStart w:id="17" w:name="_Toc14811"/>
      <w:bookmarkStart w:id="18" w:name="_Toc20893"/>
      <w:bookmarkStart w:id="19" w:name="_Toc26145"/>
      <w:bookmarkStart w:id="20" w:name="_Toc3028"/>
      <w:bookmarkStart w:id="21" w:name="_Toc8369"/>
      <w:bookmarkStart w:id="22" w:name="_Toc6835"/>
      <w:bookmarkStart w:id="23" w:name="_Toc277"/>
      <w:bookmarkStart w:id="24" w:name="_Toc5181"/>
      <w:r>
        <w:rPr>
          <w:rFonts w:hint="eastAsia" w:ascii="楷体" w:hAnsi="楷体" w:eastAsia="楷体" w:cs="Arial"/>
          <w:b/>
          <w:kern w:val="0"/>
          <w:sz w:val="32"/>
          <w:szCs w:val="32"/>
        </w:rPr>
        <w:t>（一）</w:t>
      </w:r>
      <w:bookmarkEnd w:id="16"/>
      <w:bookmarkEnd w:id="17"/>
      <w:bookmarkEnd w:id="18"/>
      <w:bookmarkEnd w:id="19"/>
      <w:bookmarkEnd w:id="20"/>
      <w:bookmarkEnd w:id="21"/>
      <w:bookmarkEnd w:id="22"/>
      <w:bookmarkEnd w:id="23"/>
      <w:bookmarkEnd w:id="24"/>
      <w:bookmarkStart w:id="25" w:name="_Toc55497454"/>
      <w:bookmarkStart w:id="26" w:name="_Toc52144063"/>
      <w:r>
        <w:rPr>
          <w:rFonts w:hint="eastAsia" w:ascii="仿宋" w:hAnsi="仿宋" w:eastAsia="仿宋" w:cs="Arial"/>
          <w:b/>
          <w:kern w:val="0"/>
          <w:sz w:val="32"/>
          <w:szCs w:val="32"/>
        </w:rPr>
        <w:t>项目背景</w:t>
      </w:r>
      <w:bookmarkEnd w:id="25"/>
      <w:bookmarkEnd w:id="26"/>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医疗卫生事业关系千家万户的幸</w:t>
      </w:r>
      <w:bookmarkStart w:id="59" w:name="_GoBack"/>
      <w:bookmarkEnd w:id="59"/>
      <w:r>
        <w:rPr>
          <w:rFonts w:hint="eastAsia" w:ascii="仿宋" w:hAnsi="仿宋" w:eastAsia="仿宋" w:cs="仿宋"/>
          <w:sz w:val="32"/>
          <w:szCs w:val="32"/>
        </w:rPr>
        <w:t>福，是重大民生问题。新中国成立以来，我国医药卫生事业取得了显著成就，覆盖城乡的医药卫生服务体系基本形成，疾病防治能力不断增强，医疗保障覆盖人口逐步扩大，医疗卫生科技水平迅速提高，人民群众健康水平明显改善。但在2020年初的新冠肺炎疫情触发的突发</w:t>
      </w:r>
      <w:r>
        <w:rPr>
          <w:rFonts w:hint="eastAsia" w:ascii="仿宋" w:hAnsi="仿宋" w:eastAsia="仿宋" w:cs="仿宋"/>
          <w:sz w:val="32"/>
          <w:szCs w:val="32"/>
          <w:lang w:val="en-US" w:eastAsia="zh-CN"/>
        </w:rPr>
        <w:t>性</w:t>
      </w:r>
      <w:r>
        <w:rPr>
          <w:rFonts w:hint="eastAsia" w:ascii="仿宋" w:hAnsi="仿宋" w:eastAsia="仿宋" w:cs="仿宋"/>
          <w:sz w:val="32"/>
          <w:szCs w:val="32"/>
        </w:rPr>
        <w:t>公共卫生事件中，暴露出乡镇公共卫生服务诸多不足，其短板仍然明显，乡镇公共卫生防护系统依旧存在很多问题。</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2021年，《中华人民共和国国民经济和社会发展第十四个五年规划和2035年远景目标纲要》强调要加强基层医疗卫生队伍建设，以城市社区和农村基层、边境口岸城市、县级医院为重点，完善城乡医疗服务网络。</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内蒙古自治区始终贯彻落实中央文件精神，在《内蒙古自治区人民政府办公厅关于印发自治区“十四五”卫生与健康事业发展规划的通知》（内政办发〔2021〕61号）中指出乡镇卫生院是农村卫生工作的主体，是农村卫生服务网的桥梁和枢纽，承担着为农村居民提供基本公共卫生和基本医疗服务的重任。因此，要不断推进基层卫生事业改革发展，提升乡镇卫生院服务能力。</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伊金霍洛旗国民经济和社会发展第十三个五年规划纲要》提出，建设健康伊金霍洛，健全医疗卫生服务体系，加快基层医疗卫生服务机构的标准化和规范化建设，确保每个建制村建设一所政府承办的村卫生室。原布连图卫生院与原苏布尔嘎镇卫生院建设时间久远，已不符合乡镇卫生院建设标准，亟需进行改扩建。</w:t>
      </w:r>
    </w:p>
    <w:p>
      <w:pPr>
        <w:adjustRightInd w:val="0"/>
        <w:snapToGrid w:val="0"/>
        <w:spacing w:line="360" w:lineRule="auto"/>
        <w:ind w:firstLine="643" w:firstLineChars="200"/>
        <w:outlineLvl w:val="2"/>
        <w:rPr>
          <w:rFonts w:ascii="仿宋" w:hAnsi="仿宋" w:eastAsia="仿宋" w:cs="Times New Roman"/>
          <w:sz w:val="32"/>
          <w:szCs w:val="32"/>
        </w:rPr>
      </w:pPr>
      <w:r>
        <w:rPr>
          <w:rFonts w:hint="eastAsia" w:ascii="仿宋" w:hAnsi="仿宋" w:eastAsia="仿宋" w:cs="Arial"/>
          <w:b/>
          <w:kern w:val="0"/>
          <w:sz w:val="32"/>
          <w:szCs w:val="32"/>
          <w:lang w:eastAsia="zh-CN"/>
        </w:rPr>
        <w:t>（二）</w:t>
      </w:r>
      <w:r>
        <w:rPr>
          <w:rFonts w:hint="eastAsia" w:ascii="仿宋" w:hAnsi="仿宋" w:eastAsia="仿宋" w:cs="Arial"/>
          <w:b/>
          <w:kern w:val="0"/>
          <w:sz w:val="32"/>
          <w:szCs w:val="32"/>
        </w:rPr>
        <w:t>主要内容及实施情况</w:t>
      </w:r>
    </w:p>
    <w:p>
      <w:pPr>
        <w:adjustRightInd w:val="0"/>
        <w:snapToGrid w:val="0"/>
        <w:spacing w:line="360" w:lineRule="auto"/>
        <w:ind w:firstLine="643" w:firstLineChars="200"/>
        <w:rPr>
          <w:rFonts w:hint="default" w:ascii="仿宋" w:hAnsi="仿宋" w:eastAsia="仿宋" w:cs="Times New Roman"/>
          <w:sz w:val="32"/>
          <w:szCs w:val="32"/>
          <w:lang w:val="en-US" w:eastAsia="zh-CN"/>
        </w:rPr>
      </w:pPr>
      <w:r>
        <w:rPr>
          <w:rFonts w:hint="eastAsia" w:ascii="仿宋" w:hAnsi="仿宋" w:eastAsia="仿宋" w:cs="Times New Roman"/>
          <w:b/>
          <w:bCs/>
          <w:sz w:val="32"/>
          <w:szCs w:val="32"/>
        </w:rPr>
        <w:t>一是</w:t>
      </w:r>
      <w:r>
        <w:rPr>
          <w:rFonts w:hint="eastAsia" w:ascii="仿宋" w:hAnsi="仿宋" w:eastAsia="仿宋" w:cs="Times New Roman"/>
          <w:sz w:val="32"/>
          <w:szCs w:val="32"/>
        </w:rPr>
        <w:t>苏布尔嘎镇卫生院建设项目，总建筑面积3451.43平方米，救护车车库及消防水池用房总建筑面积510.25平方米。其中，苏布尔嘎镇中心卫生院地上三层，建筑总高度13.45米；屋顶局部设有水箱间，建筑总高度16.35米。救护车车库及消防水池用房建筑层数为地上一层，地下一层，总建筑高度4.5米。项目主要建设内容包括：土建工程、结构工程、给排水工程、采暖工程、通风工程、防排烟工程等建筑配套工程。项目建设周期为2022年7月至2023年12月。苏布尔嘎镇卫生院建设项目由苏布尔嘎镇人民政府通过公开招标方式确认建设单位</w:t>
      </w:r>
      <w:r>
        <w:rPr>
          <w:rFonts w:hint="eastAsia" w:ascii="仿宋" w:hAnsi="仿宋" w:eastAsia="仿宋" w:cs="Times New Roman"/>
          <w:sz w:val="32"/>
          <w:szCs w:val="32"/>
          <w:lang w:val="en-US" w:eastAsia="zh-CN"/>
        </w:rPr>
        <w:t>为</w:t>
      </w:r>
      <w:r>
        <w:rPr>
          <w:rFonts w:hint="eastAsia" w:ascii="仿宋" w:hAnsi="仿宋" w:eastAsia="仿宋" w:cs="Times New Roman"/>
          <w:sz w:val="32"/>
          <w:szCs w:val="32"/>
        </w:rPr>
        <w:t>内蒙古繁荣建设工程有限公司。</w:t>
      </w:r>
    </w:p>
    <w:p>
      <w:pPr>
        <w:adjustRightInd w:val="0"/>
        <w:snapToGrid w:val="0"/>
        <w:spacing w:line="360" w:lineRule="auto"/>
        <w:jc w:val="center"/>
      </w:pPr>
      <w:r>
        <w:rPr>
          <w:rFonts w:hint="eastAsia" w:ascii="黑体" w:hAnsi="黑体" w:eastAsia="黑体" w:cs="Times New Roman"/>
          <w:sz w:val="24"/>
          <w:szCs w:val="24"/>
        </w:rPr>
        <w:t xml:space="preserve"> 苏布尔嘎镇卫生院建设内容及面积</w:t>
      </w:r>
    </w:p>
    <w:tbl>
      <w:tblPr>
        <w:tblStyle w:val="12"/>
        <w:tblW w:w="8978" w:type="dxa"/>
        <w:jc w:val="center"/>
        <w:tblLayout w:type="fixed"/>
        <w:tblCellMar>
          <w:top w:w="0" w:type="dxa"/>
          <w:left w:w="108" w:type="dxa"/>
          <w:bottom w:w="0" w:type="dxa"/>
          <w:right w:w="108" w:type="dxa"/>
        </w:tblCellMar>
      </w:tblPr>
      <w:tblGrid>
        <w:gridCol w:w="815"/>
        <w:gridCol w:w="2299"/>
        <w:gridCol w:w="1520"/>
        <w:gridCol w:w="4344"/>
      </w:tblGrid>
      <w:tr>
        <w:tblPrEx>
          <w:tblCellMar>
            <w:top w:w="0" w:type="dxa"/>
            <w:left w:w="108" w:type="dxa"/>
            <w:bottom w:w="0" w:type="dxa"/>
            <w:right w:w="108" w:type="dxa"/>
          </w:tblCellMar>
        </w:tblPrEx>
        <w:trPr>
          <w:trHeight w:val="397" w:hRule="atLeast"/>
          <w:tblHeader/>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建筑名称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b/>
                <w:bCs/>
                <w:lang w:val="en-US" w:eastAsia="zh-CN"/>
              </w:rPr>
            </w:pPr>
            <w:r>
              <w:rPr>
                <w:rFonts w:hint="eastAsia"/>
                <w:b/>
                <w:bCs/>
              </w:rPr>
              <w:t>层高</w:t>
            </w:r>
            <w:r>
              <w:rPr>
                <w:rFonts w:hint="eastAsia" w:ascii="宋体" w:hAnsi="宋体" w:eastAsia="宋体" w:cs="宋体"/>
                <w:b/>
                <w:bCs/>
                <w:color w:val="000000"/>
                <w:kern w:val="0"/>
                <w:sz w:val="22"/>
                <w:lang w:eastAsia="zh-CN" w:bidi="ar"/>
              </w:rPr>
              <w:t>（</w:t>
            </w:r>
            <w:r>
              <w:rPr>
                <w:rFonts w:hint="eastAsia" w:ascii="宋体" w:hAnsi="宋体" w:eastAsia="宋体" w:cs="宋体"/>
                <w:b/>
                <w:bCs/>
                <w:color w:val="000000"/>
                <w:kern w:val="0"/>
                <w:sz w:val="22"/>
                <w:lang w:val="en-US" w:eastAsia="zh-CN" w:bidi="ar"/>
              </w:rPr>
              <w:t>m）</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2"/>
                <w:lang w:eastAsia="zh-CN"/>
              </w:rPr>
            </w:pPr>
            <w:r>
              <w:rPr>
                <w:rFonts w:hint="eastAsia" w:ascii="宋体" w:hAnsi="宋体" w:eastAsia="宋体" w:cs="宋体"/>
                <w:b/>
                <w:bCs/>
                <w:color w:val="000000"/>
                <w:kern w:val="0"/>
                <w:sz w:val="22"/>
                <w:lang w:bidi="ar"/>
              </w:rPr>
              <w:t>建筑面积（摘自初步设计）</w:t>
            </w:r>
            <w:r>
              <w:rPr>
                <w:rFonts w:hint="eastAsia" w:ascii="宋体" w:hAnsi="宋体" w:eastAsia="宋体" w:cs="宋体"/>
                <w:b/>
                <w:bCs/>
                <w:color w:val="000000"/>
                <w:kern w:val="0"/>
                <w:sz w:val="22"/>
                <w:lang w:eastAsia="zh-CN" w:bidi="ar"/>
              </w:rPr>
              <w:t>（</w:t>
            </w:r>
            <w:r>
              <w:rPr>
                <w:rFonts w:hint="eastAsia" w:ascii="宋体" w:hAnsi="宋体" w:eastAsia="宋体" w:cs="宋体"/>
                <w:b/>
                <w:bCs/>
                <w:color w:val="000000"/>
                <w:sz w:val="22"/>
              </w:rPr>
              <w:t>㎡</w:t>
            </w:r>
            <w:r>
              <w:rPr>
                <w:rFonts w:hint="eastAsia" w:ascii="宋体" w:hAnsi="宋体" w:eastAsia="宋体" w:cs="宋体"/>
                <w:b/>
                <w:bCs/>
                <w:color w:val="000000"/>
                <w:sz w:val="22"/>
                <w:lang w:eastAsia="zh-CN"/>
              </w:rPr>
              <w:t>）</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w:t>
            </w:r>
            <w:r>
              <w:rPr>
                <w:rFonts w:hint="eastAsia" w:ascii="宋体" w:hAnsi="宋体" w:eastAsia="宋体" w:cs="宋体"/>
                <w:color w:val="000000"/>
                <w:sz w:val="22"/>
              </w:rPr>
              <w:t>楼</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1113.26</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ascii="宋体" w:hAnsi="宋体" w:eastAsia="宋体" w:cs="宋体"/>
                <w:color w:val="000000"/>
                <w:sz w:val="22"/>
              </w:rPr>
              <w:t>2</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sz w:val="22"/>
              </w:rPr>
              <w:t>2#</w:t>
            </w:r>
            <w:r>
              <w:rPr>
                <w:rFonts w:hint="eastAsia" w:ascii="宋体" w:hAnsi="宋体" w:eastAsia="宋体" w:cs="宋体"/>
                <w:color w:val="000000"/>
                <w:sz w:val="22"/>
              </w:rPr>
              <w:t>楼</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1089.85</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ascii="宋体" w:hAnsi="宋体" w:eastAsia="宋体" w:cs="宋体"/>
                <w:color w:val="000000"/>
                <w:sz w:val="22"/>
              </w:rPr>
              <w:t>3</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楼</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3.9</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1089.85</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ascii="宋体" w:hAnsi="宋体" w:eastAsia="宋体" w:cs="宋体"/>
                <w:color w:val="000000"/>
                <w:sz w:val="22"/>
              </w:rPr>
              <w:t>4</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屋顶机房及水箱间</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158.47</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ascii="宋体" w:hAnsi="宋体" w:eastAsia="宋体" w:cs="宋体"/>
                <w:color w:val="000000"/>
                <w:sz w:val="22"/>
              </w:rPr>
              <w:t>5</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地上车库</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3.6</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291.92</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ascii="宋体" w:hAnsi="宋体" w:eastAsia="宋体" w:cs="宋体"/>
                <w:color w:val="000000"/>
                <w:sz w:val="22"/>
              </w:rPr>
              <w:t>6</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地下消防水池及泵房</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-3.9</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218.37</w:t>
            </w:r>
          </w:p>
        </w:tc>
      </w:tr>
      <w:tr>
        <w:tblPrEx>
          <w:tblCellMar>
            <w:top w:w="0" w:type="dxa"/>
            <w:left w:w="108" w:type="dxa"/>
            <w:bottom w:w="0" w:type="dxa"/>
            <w:right w:w="108" w:type="dxa"/>
          </w:tblCellMar>
        </w:tblPrEx>
        <w:trPr>
          <w:trHeight w:val="397" w:hRule="atLeast"/>
          <w:jc w:val="center"/>
        </w:trPr>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sz w:val="22"/>
              </w:rPr>
              <w:t>合计</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3961.72</w:t>
            </w:r>
          </w:p>
        </w:tc>
      </w:tr>
    </w:tbl>
    <w:p>
      <w:pPr>
        <w:adjustRightInd w:val="0"/>
        <w:snapToGrid w:val="0"/>
        <w:spacing w:line="360" w:lineRule="auto"/>
        <w:ind w:firstLine="643" w:firstLineChars="200"/>
        <w:rPr>
          <w:rFonts w:ascii="仿宋" w:hAnsi="仿宋" w:eastAsia="仿宋" w:cs="Times New Roman"/>
          <w:b/>
          <w:bCs/>
          <w:sz w:val="32"/>
          <w:szCs w:val="32"/>
        </w:rPr>
      </w:pPr>
    </w:p>
    <w:p>
      <w:pPr>
        <w:adjustRightInd w:val="0"/>
        <w:snapToGrid w:val="0"/>
        <w:spacing w:line="360" w:lineRule="auto"/>
        <w:ind w:firstLine="643" w:firstLineChars="200"/>
        <w:rPr>
          <w:rFonts w:ascii="仿宋" w:hAnsi="仿宋" w:eastAsia="仿宋" w:cs="Times New Roman"/>
          <w:sz w:val="32"/>
          <w:szCs w:val="32"/>
        </w:rPr>
      </w:pPr>
      <w:r>
        <w:rPr>
          <w:rFonts w:hint="eastAsia" w:ascii="仿宋" w:hAnsi="仿宋" w:eastAsia="仿宋" w:cs="Times New Roman"/>
          <w:b/>
          <w:bCs/>
          <w:sz w:val="32"/>
          <w:szCs w:val="32"/>
        </w:rPr>
        <w:t>二是</w:t>
      </w:r>
      <w:r>
        <w:rPr>
          <w:rFonts w:hint="eastAsia" w:ascii="仿宋" w:hAnsi="仿宋" w:eastAsia="仿宋" w:cs="Times New Roman"/>
          <w:sz w:val="32"/>
          <w:szCs w:val="32"/>
        </w:rPr>
        <w:t>布连图卫生院改扩建项目，项目总用地面积1274.70平方米，拆除原有建筑物750平方米；总建筑面积1163.92平方米，其中：新建一座三层卫生院楼，建筑面积1110.24平方米，占地面积为326.40平方米；附属用房一层，面积为53.68平方米，占地面积为53.68平方米。卫生院楼包括B超室、输液室、药房、诊室、心电图室、理疗室，检验科、X光室、卫生间、病房、餐厅、办公室、会议室、休息室等功能区。同时，在卫生院楼前空地合理设置地上停车位10个，满足医患使用需求。项目建成后，设置病床床位数12床，可以满足布连办事处周边各村村民和国电建投内蒙古能源有限公司察哈素煤矿人员的诊疗需求。布连图卫生院改扩建项目由伊金霍洛旗政府投资项目代建中心</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以下简称“代建中心”</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委托代建，代建中心</w:t>
      </w:r>
      <w:r>
        <w:rPr>
          <w:rFonts w:hint="eastAsia" w:ascii="仿宋" w:hAnsi="仿宋" w:eastAsia="仿宋" w:cs="Times New Roman"/>
          <w:sz w:val="32"/>
          <w:szCs w:val="32"/>
        </w:rPr>
        <w:t>通过公开招标方式确认建设单位</w:t>
      </w:r>
      <w:r>
        <w:rPr>
          <w:rFonts w:hint="eastAsia" w:ascii="仿宋" w:hAnsi="仿宋" w:eastAsia="仿宋" w:cs="Times New Roman"/>
          <w:sz w:val="32"/>
          <w:szCs w:val="32"/>
          <w:lang w:val="en-US" w:eastAsia="zh-CN"/>
        </w:rPr>
        <w:t>为</w:t>
      </w:r>
      <w:r>
        <w:rPr>
          <w:rFonts w:hint="eastAsia" w:ascii="仿宋" w:hAnsi="仿宋" w:eastAsia="仿宋" w:cs="Times New Roman"/>
          <w:sz w:val="32"/>
          <w:szCs w:val="32"/>
        </w:rPr>
        <w:t>内蒙古浩霖盛世建设工程有限责任公司。</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截至评估日，苏布尔嘎镇中心卫生院建设项目主体封顶；布连图卫生院改扩建项目综合楼和附属用房主体完工。</w:t>
      </w:r>
    </w:p>
    <w:p>
      <w:pPr>
        <w:adjustRightInd w:val="0"/>
        <w:snapToGrid w:val="0"/>
        <w:spacing w:line="360" w:lineRule="auto"/>
        <w:ind w:firstLine="640" w:firstLineChars="200"/>
        <w:outlineLvl w:val="0"/>
        <w:rPr>
          <w:rFonts w:ascii="黑体" w:hAnsi="黑体" w:eastAsia="黑体" w:cs="Times New Roman"/>
          <w:sz w:val="32"/>
          <w:szCs w:val="32"/>
        </w:rPr>
      </w:pPr>
      <w:bookmarkStart w:id="27" w:name="_Toc124082812"/>
      <w:bookmarkStart w:id="28" w:name="_Toc23921"/>
      <w:bookmarkStart w:id="29" w:name="_Toc20108"/>
      <w:bookmarkStart w:id="30" w:name="_Toc32124"/>
      <w:bookmarkStart w:id="31" w:name="_Toc18496"/>
      <w:bookmarkStart w:id="32" w:name="_Toc43914267"/>
      <w:r>
        <w:rPr>
          <w:rFonts w:hint="eastAsia" w:ascii="黑体" w:hAnsi="黑体" w:eastAsia="黑体" w:cs="Times New Roman"/>
          <w:sz w:val="32"/>
          <w:szCs w:val="32"/>
          <w:lang w:eastAsia="zh-CN"/>
        </w:rPr>
        <w:t>二</w:t>
      </w:r>
      <w:r>
        <w:rPr>
          <w:rFonts w:hint="eastAsia" w:ascii="黑体" w:hAnsi="黑体" w:eastAsia="黑体" w:cs="Times New Roman"/>
          <w:sz w:val="32"/>
          <w:szCs w:val="32"/>
        </w:rPr>
        <w:t>、综合评估情况及评估结论</w:t>
      </w:r>
      <w:bookmarkEnd w:id="27"/>
      <w:bookmarkEnd w:id="28"/>
      <w:bookmarkEnd w:id="29"/>
      <w:bookmarkEnd w:id="30"/>
      <w:bookmarkEnd w:id="31"/>
    </w:p>
    <w:p>
      <w:pPr>
        <w:adjustRightInd w:val="0"/>
        <w:snapToGrid w:val="0"/>
        <w:spacing w:line="360" w:lineRule="auto"/>
        <w:ind w:firstLine="640" w:firstLineChars="200"/>
        <w:rPr>
          <w:rFonts w:ascii="仿宋" w:hAnsi="仿宋" w:eastAsia="仿宋"/>
          <w:bCs/>
          <w:sz w:val="32"/>
          <w:szCs w:val="32"/>
          <w:shd w:val="clear" w:color="auto" w:fill="CCE8CF" w:themeFill="background1"/>
        </w:rPr>
      </w:pPr>
      <w:r>
        <w:rPr>
          <w:rFonts w:hint="eastAsia" w:ascii="仿宋" w:hAnsi="仿宋" w:eastAsia="仿宋" w:cs="仿宋"/>
          <w:sz w:val="32"/>
          <w:szCs w:val="32"/>
        </w:rPr>
        <w:t>进一步推进基层公共卫生保障体系建设，</w:t>
      </w:r>
      <w:r>
        <w:rPr>
          <w:rFonts w:hint="eastAsia" w:ascii="仿宋" w:hAnsi="仿宋" w:eastAsia="仿宋"/>
          <w:bCs/>
          <w:kern w:val="0"/>
          <w:sz w:val="32"/>
          <w:szCs w:val="32"/>
        </w:rPr>
        <w:t>改善基层医疗卫生环境，是提高人民健康素质的基本要求。本项目通过建设基层卫生院，以期满足周边居民就医需求，持续为地区群众提供医疗保障。截至评估日，苏布尔嘎镇卫生院建设</w:t>
      </w:r>
      <w:r>
        <w:rPr>
          <w:rFonts w:hint="eastAsia" w:ascii="仿宋" w:hAnsi="仿宋" w:eastAsia="仿宋"/>
          <w:bCs/>
          <w:sz w:val="32"/>
          <w:szCs w:val="32"/>
          <w:shd w:val="clear" w:color="auto" w:fill="CCE8CF" w:themeFill="background1"/>
        </w:rPr>
        <w:t>已完成主</w:t>
      </w:r>
      <w:r>
        <w:rPr>
          <w:rFonts w:hint="eastAsia" w:ascii="仿宋" w:hAnsi="仿宋" w:eastAsia="仿宋" w:cs="Times New Roman"/>
          <w:sz w:val="32"/>
          <w:szCs w:val="32"/>
        </w:rPr>
        <w:t>体封顶，布连图卫生院项目建设主体已完工。</w:t>
      </w:r>
      <w:r>
        <w:rPr>
          <w:rFonts w:hint="eastAsia" w:ascii="仿宋" w:hAnsi="仿宋" w:eastAsia="仿宋"/>
          <w:bCs/>
          <w:sz w:val="32"/>
          <w:szCs w:val="32"/>
          <w:shd w:val="clear" w:color="auto" w:fill="CCE8CF" w:themeFill="background1"/>
        </w:rPr>
        <w:t>整体工程建设完成并交付使用后将有效推进医疗资源向基层、农村牧区流动。但评估发现项目执行过程中存在</w:t>
      </w:r>
      <w:r>
        <w:rPr>
          <w:rFonts w:hint="eastAsia" w:ascii="仿宋" w:hAnsi="仿宋" w:eastAsia="仿宋"/>
          <w:bCs/>
          <w:sz w:val="32"/>
          <w:szCs w:val="32"/>
          <w:shd w:val="clear" w:color="auto" w:fill="CCE8CF" w:themeFill="background1"/>
          <w:lang w:val="en-US" w:eastAsia="zh-CN"/>
        </w:rPr>
        <w:t>未编制项目实施方案</w:t>
      </w:r>
      <w:r>
        <w:rPr>
          <w:rFonts w:hint="eastAsia" w:ascii="仿宋" w:hAnsi="仿宋" w:eastAsia="仿宋"/>
          <w:bCs/>
          <w:sz w:val="32"/>
          <w:szCs w:val="32"/>
          <w:shd w:val="clear" w:color="auto" w:fill="CCE8CF" w:themeFill="background1"/>
        </w:rPr>
        <w:t>、绩效目标表编制质量不高等问题。</w:t>
      </w:r>
      <w:r>
        <w:rPr>
          <w:rFonts w:hint="eastAsia" w:ascii="仿宋" w:hAnsi="仿宋" w:eastAsia="仿宋"/>
          <w:b/>
          <w:bCs/>
          <w:sz w:val="32"/>
          <w:szCs w:val="32"/>
          <w:shd w:val="clear" w:color="auto" w:fill="CCE8CF" w:themeFill="background1"/>
        </w:rPr>
        <w:t>项目绩效评估得分为8</w:t>
      </w:r>
      <w:r>
        <w:rPr>
          <w:rFonts w:hint="eastAsia" w:ascii="仿宋" w:hAnsi="仿宋" w:eastAsia="仿宋"/>
          <w:b/>
          <w:bCs/>
          <w:sz w:val="32"/>
          <w:szCs w:val="32"/>
          <w:shd w:val="clear" w:color="auto" w:fill="CCE8CF" w:themeFill="background1"/>
          <w:lang w:val="en-US" w:eastAsia="zh-CN"/>
        </w:rPr>
        <w:t>2</w:t>
      </w:r>
      <w:r>
        <w:rPr>
          <w:rFonts w:hint="eastAsia" w:ascii="仿宋" w:hAnsi="仿宋" w:eastAsia="仿宋"/>
          <w:b/>
          <w:bCs/>
          <w:sz w:val="32"/>
          <w:szCs w:val="32"/>
          <w:shd w:val="clear" w:color="auto" w:fill="CCE8CF" w:themeFill="background1"/>
        </w:rPr>
        <w:t>分，评估级别为“良”</w:t>
      </w:r>
      <w:r>
        <w:rPr>
          <w:rFonts w:hint="eastAsia" w:ascii="仿宋" w:hAnsi="仿宋" w:eastAsia="仿宋"/>
          <w:bCs/>
          <w:sz w:val="32"/>
          <w:szCs w:val="32"/>
          <w:shd w:val="clear" w:color="auto" w:fill="CCE8CF" w:themeFill="background1"/>
        </w:rPr>
        <w:t>。</w:t>
      </w:r>
    </w:p>
    <w:p>
      <w:pPr>
        <w:adjustRightInd w:val="0"/>
        <w:snapToGrid w:val="0"/>
        <w:spacing w:line="360" w:lineRule="auto"/>
        <w:jc w:val="center"/>
      </w:pPr>
      <w:r>
        <w:rPr>
          <w:rFonts w:hint="eastAsia" w:ascii="黑体" w:hAnsi="黑体" w:eastAsia="黑体" w:cs="Times New Roman"/>
          <w:sz w:val="24"/>
          <w:szCs w:val="24"/>
        </w:rPr>
        <w:t>绩效评估得分总体情况表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6"/>
        <w:gridCol w:w="1507"/>
        <w:gridCol w:w="151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2051" w:type="pct"/>
            <w:shd w:val="clear" w:color="auto" w:fill="auto"/>
            <w:vAlign w:val="center"/>
          </w:tcPr>
          <w:p>
            <w:pPr>
              <w:widowControl/>
              <w:snapToGrid w:val="0"/>
              <w:jc w:val="center"/>
              <w:rPr>
                <w:rFonts w:ascii="宋体" w:hAnsi="宋体" w:eastAsia="宋体" w:cs="宋体"/>
                <w:b/>
                <w:bCs/>
                <w:kern w:val="0"/>
                <w:sz w:val="22"/>
              </w:rPr>
            </w:pPr>
            <w:bookmarkStart w:id="33" w:name="_Toc43914272"/>
            <w:r>
              <w:rPr>
                <w:rFonts w:hint="eastAsia" w:ascii="宋体" w:hAnsi="宋体" w:eastAsia="宋体" w:cs="宋体"/>
                <w:b/>
                <w:bCs/>
                <w:kern w:val="0"/>
                <w:sz w:val="22"/>
              </w:rPr>
              <w:t>一级指标</w:t>
            </w:r>
          </w:p>
        </w:tc>
        <w:tc>
          <w:tcPr>
            <w:tcW w:w="884" w:type="pct"/>
            <w:shd w:val="clear" w:color="auto" w:fill="auto"/>
            <w:vAlign w:val="center"/>
          </w:tcPr>
          <w:p>
            <w:pPr>
              <w:widowControl/>
              <w:snapToGrid w:val="0"/>
              <w:jc w:val="center"/>
              <w:rPr>
                <w:rFonts w:ascii="宋体" w:hAnsi="宋体" w:eastAsia="宋体" w:cs="宋体"/>
                <w:b/>
                <w:bCs/>
                <w:kern w:val="0"/>
                <w:sz w:val="22"/>
              </w:rPr>
            </w:pPr>
            <w:r>
              <w:rPr>
                <w:rFonts w:hint="eastAsia" w:ascii="宋体" w:hAnsi="宋体" w:eastAsia="宋体" w:cs="宋体"/>
                <w:b/>
                <w:bCs/>
                <w:kern w:val="0"/>
                <w:sz w:val="22"/>
              </w:rPr>
              <w:t>分值</w:t>
            </w:r>
          </w:p>
        </w:tc>
        <w:tc>
          <w:tcPr>
            <w:tcW w:w="886" w:type="pct"/>
            <w:shd w:val="clear" w:color="auto" w:fill="auto"/>
            <w:vAlign w:val="center"/>
          </w:tcPr>
          <w:p>
            <w:pPr>
              <w:widowControl/>
              <w:snapToGrid w:val="0"/>
              <w:jc w:val="center"/>
              <w:rPr>
                <w:rFonts w:ascii="宋体" w:hAnsi="宋体" w:eastAsia="宋体" w:cs="宋体"/>
                <w:b/>
                <w:bCs/>
                <w:kern w:val="0"/>
                <w:sz w:val="22"/>
              </w:rPr>
            </w:pPr>
            <w:r>
              <w:rPr>
                <w:rFonts w:hint="eastAsia" w:ascii="宋体" w:hAnsi="宋体" w:eastAsia="宋体" w:cs="宋体"/>
                <w:b/>
                <w:bCs/>
                <w:kern w:val="0"/>
                <w:sz w:val="22"/>
              </w:rPr>
              <w:t>得分</w:t>
            </w:r>
          </w:p>
        </w:tc>
        <w:tc>
          <w:tcPr>
            <w:tcW w:w="1179" w:type="pct"/>
            <w:shd w:val="clear" w:color="auto" w:fill="auto"/>
            <w:vAlign w:val="center"/>
          </w:tcPr>
          <w:p>
            <w:pPr>
              <w:widowControl/>
              <w:snapToGrid w:val="0"/>
              <w:jc w:val="center"/>
              <w:rPr>
                <w:rFonts w:ascii="宋体" w:hAnsi="宋体" w:eastAsia="宋体" w:cs="宋体"/>
                <w:b/>
                <w:bCs/>
                <w:kern w:val="0"/>
                <w:sz w:val="22"/>
              </w:rPr>
            </w:pPr>
            <w:r>
              <w:rPr>
                <w:rFonts w:hint="eastAsia" w:ascii="宋体" w:hAnsi="宋体" w:eastAsia="宋体" w:cs="宋体"/>
                <w:b/>
                <w:bCs/>
                <w:kern w:val="0"/>
                <w:sz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决策</w:t>
            </w:r>
          </w:p>
        </w:tc>
        <w:tc>
          <w:tcPr>
            <w:tcW w:w="884" w:type="pct"/>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15</w:t>
            </w:r>
          </w:p>
        </w:tc>
        <w:tc>
          <w:tcPr>
            <w:tcW w:w="886" w:type="pct"/>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color w:val="000000"/>
                <w:kern w:val="0"/>
                <w:sz w:val="22"/>
                <w:lang w:bidi="ar"/>
              </w:rPr>
              <w:t>9.50</w:t>
            </w:r>
          </w:p>
        </w:tc>
        <w:tc>
          <w:tcPr>
            <w:tcW w:w="1179" w:type="pct"/>
            <w:shd w:val="clear" w:color="auto" w:fill="auto"/>
            <w:vAlign w:val="center"/>
          </w:tcPr>
          <w:p>
            <w:pPr>
              <w:widowControl/>
              <w:jc w:val="center"/>
              <w:textAlignment w:val="center"/>
              <w:rPr>
                <w:rFonts w:ascii="宋体" w:hAnsi="宋体" w:eastAsia="宋体" w:cs="宋体"/>
                <w:kern w:val="0"/>
                <w:sz w:val="22"/>
                <w:lang w:bidi="ar"/>
              </w:rPr>
            </w:pPr>
            <w:r>
              <w:rPr>
                <w:rFonts w:ascii="宋体" w:hAnsi="宋体" w:eastAsia="宋体" w:cs="宋体"/>
                <w:kern w:val="0"/>
                <w:sz w:val="22"/>
                <w:lang w:bidi="ar"/>
              </w:rPr>
              <w:t>63</w:t>
            </w:r>
            <w:r>
              <w:rPr>
                <w:rFonts w:hint="eastAsia" w:ascii="宋体" w:hAnsi="宋体" w:eastAsia="宋体" w:cs="宋体"/>
                <w:kern w:val="0"/>
                <w:sz w:val="22"/>
                <w:lang w:bidi="ar"/>
              </w:rPr>
              <w:t>.</w:t>
            </w:r>
            <w:r>
              <w:rPr>
                <w:rFonts w:ascii="宋体" w:hAnsi="宋体" w:eastAsia="宋体" w:cs="宋体"/>
                <w:kern w:val="0"/>
                <w:sz w:val="22"/>
                <w:lang w:bidi="ar"/>
              </w:rPr>
              <w:t>33</w:t>
            </w:r>
            <w:r>
              <w:rPr>
                <w:rFonts w:hint="eastAsia" w:ascii="宋体" w:hAnsi="宋体" w:eastAsia="宋体" w:cs="宋体"/>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过程</w:t>
            </w:r>
          </w:p>
        </w:tc>
        <w:tc>
          <w:tcPr>
            <w:tcW w:w="884" w:type="pct"/>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20</w:t>
            </w:r>
          </w:p>
        </w:tc>
        <w:tc>
          <w:tcPr>
            <w:tcW w:w="886" w:type="pct"/>
            <w:shd w:val="clear" w:color="auto" w:fill="auto"/>
            <w:vAlign w:val="center"/>
          </w:tcPr>
          <w:p>
            <w:pPr>
              <w:widowControl/>
              <w:jc w:val="center"/>
              <w:textAlignment w:val="center"/>
              <w:rPr>
                <w:rFonts w:hint="default" w:ascii="宋体" w:hAnsi="宋体" w:eastAsia="宋体" w:cs="宋体"/>
                <w:kern w:val="0"/>
                <w:sz w:val="22"/>
                <w:lang w:val="en-US" w:eastAsia="zh-CN" w:bidi="ar"/>
              </w:rPr>
            </w:pPr>
            <w:r>
              <w:rPr>
                <w:rFonts w:hint="eastAsia" w:ascii="宋体" w:hAnsi="宋体" w:eastAsia="宋体" w:cs="宋体"/>
                <w:kern w:val="0"/>
                <w:sz w:val="22"/>
              </w:rPr>
              <w:t>1</w:t>
            </w:r>
            <w:r>
              <w:rPr>
                <w:rFonts w:hint="eastAsia" w:ascii="宋体" w:hAnsi="宋体" w:eastAsia="宋体" w:cs="宋体"/>
                <w:kern w:val="0"/>
                <w:sz w:val="22"/>
                <w:lang w:val="en-US" w:eastAsia="zh-CN"/>
              </w:rPr>
              <w:t>9.45</w:t>
            </w:r>
          </w:p>
        </w:tc>
        <w:tc>
          <w:tcPr>
            <w:tcW w:w="1179" w:type="pct"/>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9</w:t>
            </w:r>
            <w:r>
              <w:rPr>
                <w:rFonts w:hint="eastAsia" w:ascii="宋体" w:hAnsi="宋体" w:eastAsia="宋体" w:cs="宋体"/>
                <w:kern w:val="0"/>
                <w:sz w:val="22"/>
                <w:lang w:val="en-US" w:eastAsia="zh-CN" w:bidi="ar"/>
              </w:rPr>
              <w:t>7</w:t>
            </w:r>
            <w:r>
              <w:rPr>
                <w:rFonts w:hint="eastAsia" w:ascii="宋体" w:hAnsi="宋体" w:eastAsia="宋体" w:cs="宋体"/>
                <w:kern w:val="0"/>
                <w:sz w:val="22"/>
                <w:lang w:bidi="ar"/>
              </w:rPr>
              <w:t>.</w:t>
            </w:r>
            <w:r>
              <w:rPr>
                <w:rFonts w:hint="eastAsia" w:ascii="宋体" w:hAnsi="宋体" w:eastAsia="宋体" w:cs="宋体"/>
                <w:kern w:val="0"/>
                <w:sz w:val="22"/>
                <w:lang w:val="en-US" w:eastAsia="zh-CN" w:bidi="ar"/>
              </w:rPr>
              <w:t>25</w:t>
            </w:r>
            <w:r>
              <w:rPr>
                <w:rFonts w:hint="eastAsia" w:ascii="宋体" w:hAnsi="宋体" w:eastAsia="宋体" w:cs="宋体"/>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产出</w:t>
            </w:r>
          </w:p>
        </w:tc>
        <w:tc>
          <w:tcPr>
            <w:tcW w:w="884" w:type="pct"/>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30</w:t>
            </w:r>
          </w:p>
        </w:tc>
        <w:tc>
          <w:tcPr>
            <w:tcW w:w="886" w:type="pct"/>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color w:val="000000"/>
                <w:kern w:val="0"/>
                <w:sz w:val="22"/>
                <w:lang w:bidi="ar"/>
              </w:rPr>
              <w:t>23.31</w:t>
            </w:r>
          </w:p>
        </w:tc>
        <w:tc>
          <w:tcPr>
            <w:tcW w:w="1179" w:type="pct"/>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77.7</w:t>
            </w:r>
            <w:r>
              <w:rPr>
                <w:rFonts w:hint="eastAsia" w:ascii="宋体" w:hAnsi="宋体" w:eastAsia="宋体" w:cs="宋体"/>
                <w:kern w:val="0"/>
                <w:sz w:val="22"/>
                <w:lang w:val="en-US" w:eastAsia="zh-CN" w:bidi="ar"/>
              </w:rPr>
              <w:t>0</w:t>
            </w:r>
            <w:r>
              <w:rPr>
                <w:rFonts w:hint="eastAsia" w:ascii="宋体" w:hAnsi="宋体" w:eastAsia="宋体" w:cs="宋体"/>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效益</w:t>
            </w:r>
          </w:p>
        </w:tc>
        <w:tc>
          <w:tcPr>
            <w:tcW w:w="884" w:type="pct"/>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35</w:t>
            </w:r>
          </w:p>
        </w:tc>
        <w:tc>
          <w:tcPr>
            <w:tcW w:w="886" w:type="pct"/>
            <w:shd w:val="clear" w:color="auto" w:fill="auto"/>
            <w:vAlign w:val="center"/>
          </w:tcPr>
          <w:p>
            <w:pPr>
              <w:widowControl/>
              <w:jc w:val="center"/>
              <w:textAlignment w:val="center"/>
              <w:rPr>
                <w:rFonts w:hint="eastAsia" w:ascii="宋体" w:hAnsi="宋体" w:eastAsia="宋体" w:cs="宋体"/>
                <w:kern w:val="0"/>
                <w:sz w:val="22"/>
                <w:lang w:val="en-US" w:eastAsia="zh-CN" w:bidi="ar"/>
              </w:rPr>
            </w:pPr>
            <w:r>
              <w:rPr>
                <w:rFonts w:hint="eastAsia" w:ascii="宋体" w:hAnsi="宋体" w:eastAsia="宋体" w:cs="宋体"/>
                <w:kern w:val="0"/>
                <w:sz w:val="22"/>
                <w:lang w:bidi="ar"/>
              </w:rPr>
              <w:t>29.7</w:t>
            </w:r>
            <w:r>
              <w:rPr>
                <w:rFonts w:hint="eastAsia" w:ascii="宋体" w:hAnsi="宋体" w:eastAsia="宋体" w:cs="宋体"/>
                <w:kern w:val="0"/>
                <w:sz w:val="22"/>
                <w:lang w:val="en-US" w:eastAsia="zh-CN" w:bidi="ar"/>
              </w:rPr>
              <w:t>2</w:t>
            </w:r>
          </w:p>
        </w:tc>
        <w:tc>
          <w:tcPr>
            <w:tcW w:w="1179" w:type="pct"/>
            <w:shd w:val="clear" w:color="auto" w:fill="auto"/>
            <w:vAlign w:val="center"/>
          </w:tcPr>
          <w:p>
            <w:pPr>
              <w:widowControl/>
              <w:jc w:val="center"/>
              <w:textAlignment w:val="center"/>
              <w:rPr>
                <w:rFonts w:ascii="宋体" w:hAnsi="宋体" w:eastAsia="宋体" w:cs="宋体"/>
                <w:kern w:val="0"/>
                <w:sz w:val="22"/>
                <w:lang w:bidi="ar"/>
              </w:rPr>
            </w:pPr>
            <w:r>
              <w:rPr>
                <w:rFonts w:ascii="宋体" w:hAnsi="宋体" w:eastAsia="宋体" w:cs="宋体"/>
                <w:kern w:val="0"/>
                <w:sz w:val="22"/>
                <w:lang w:bidi="ar"/>
              </w:rPr>
              <w:t>8</w:t>
            </w:r>
            <w:r>
              <w:rPr>
                <w:rFonts w:hint="eastAsia" w:ascii="宋体" w:hAnsi="宋体" w:eastAsia="宋体" w:cs="宋体"/>
                <w:kern w:val="0"/>
                <w:sz w:val="22"/>
                <w:lang w:val="en-US" w:eastAsia="zh-CN" w:bidi="ar"/>
              </w:rPr>
              <w:t>4.91</w:t>
            </w:r>
            <w:r>
              <w:rPr>
                <w:rFonts w:hint="eastAsia" w:ascii="宋体" w:hAnsi="宋体" w:eastAsia="宋体" w:cs="宋体"/>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总分</w:t>
            </w:r>
          </w:p>
        </w:tc>
        <w:tc>
          <w:tcPr>
            <w:tcW w:w="884" w:type="pct"/>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100</w:t>
            </w:r>
          </w:p>
        </w:tc>
        <w:tc>
          <w:tcPr>
            <w:tcW w:w="886" w:type="pct"/>
            <w:shd w:val="clear" w:color="auto" w:fill="auto"/>
            <w:vAlign w:val="center"/>
          </w:tcPr>
          <w:p>
            <w:pPr>
              <w:widowControl/>
              <w:jc w:val="center"/>
              <w:textAlignment w:val="center"/>
              <w:rPr>
                <w:rFonts w:hint="default" w:ascii="宋体" w:hAnsi="宋体" w:eastAsia="宋体" w:cs="宋体"/>
                <w:b/>
                <w:bCs/>
                <w:kern w:val="0"/>
                <w:sz w:val="22"/>
                <w:lang w:val="en-US" w:eastAsia="zh-CN" w:bidi="ar"/>
              </w:rPr>
            </w:pPr>
            <w:r>
              <w:rPr>
                <w:rFonts w:hint="eastAsia" w:ascii="宋体" w:hAnsi="宋体" w:eastAsia="宋体" w:cs="宋体"/>
                <w:b/>
                <w:bCs/>
                <w:kern w:val="0"/>
                <w:sz w:val="22"/>
                <w:lang w:bidi="ar"/>
              </w:rPr>
              <w:t>81.</w:t>
            </w:r>
            <w:r>
              <w:rPr>
                <w:rFonts w:hint="eastAsia" w:ascii="宋体" w:hAnsi="宋体" w:eastAsia="宋体" w:cs="宋体"/>
                <w:b/>
                <w:bCs/>
                <w:kern w:val="0"/>
                <w:sz w:val="22"/>
                <w:lang w:val="en-US" w:eastAsia="zh-CN" w:bidi="ar"/>
              </w:rPr>
              <w:t>98</w:t>
            </w:r>
          </w:p>
        </w:tc>
        <w:tc>
          <w:tcPr>
            <w:tcW w:w="1179" w:type="pct"/>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val="en-US" w:eastAsia="zh-CN" w:bidi="ar"/>
              </w:rPr>
              <w:t>81.98</w:t>
            </w:r>
            <w:r>
              <w:rPr>
                <w:rFonts w:hint="eastAsia" w:ascii="宋体" w:hAnsi="宋体" w:eastAsia="宋体" w:cs="宋体"/>
                <w:b/>
                <w:bCs/>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051" w:type="pct"/>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总分（取整）</w:t>
            </w:r>
          </w:p>
        </w:tc>
        <w:tc>
          <w:tcPr>
            <w:tcW w:w="884" w:type="pct"/>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100</w:t>
            </w:r>
          </w:p>
        </w:tc>
        <w:tc>
          <w:tcPr>
            <w:tcW w:w="886" w:type="pct"/>
            <w:shd w:val="clear" w:color="auto" w:fill="auto"/>
            <w:vAlign w:val="center"/>
          </w:tcPr>
          <w:p>
            <w:pPr>
              <w:widowControl/>
              <w:jc w:val="center"/>
              <w:textAlignment w:val="center"/>
              <w:rPr>
                <w:rFonts w:hint="default" w:ascii="宋体" w:hAnsi="宋体" w:eastAsia="宋体" w:cs="宋体"/>
                <w:b/>
                <w:bCs/>
                <w:kern w:val="0"/>
                <w:sz w:val="22"/>
                <w:lang w:val="en-US" w:eastAsia="zh-CN" w:bidi="ar"/>
              </w:rPr>
            </w:pPr>
            <w:r>
              <w:rPr>
                <w:rFonts w:hint="eastAsia" w:ascii="宋体" w:hAnsi="宋体" w:eastAsia="宋体" w:cs="宋体"/>
                <w:b/>
                <w:bCs/>
                <w:kern w:val="0"/>
                <w:sz w:val="22"/>
                <w:lang w:bidi="ar"/>
              </w:rPr>
              <w:t>8</w:t>
            </w:r>
            <w:r>
              <w:rPr>
                <w:rFonts w:hint="eastAsia" w:ascii="宋体" w:hAnsi="宋体" w:eastAsia="宋体" w:cs="宋体"/>
                <w:b/>
                <w:bCs/>
                <w:kern w:val="0"/>
                <w:sz w:val="22"/>
                <w:lang w:val="en-US" w:eastAsia="zh-CN" w:bidi="ar"/>
              </w:rPr>
              <w:t>2</w:t>
            </w:r>
          </w:p>
        </w:tc>
        <w:tc>
          <w:tcPr>
            <w:tcW w:w="1179" w:type="pct"/>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8</w:t>
            </w:r>
            <w:r>
              <w:rPr>
                <w:rFonts w:hint="eastAsia" w:ascii="宋体" w:hAnsi="宋体" w:eastAsia="宋体" w:cs="宋体"/>
                <w:b/>
                <w:bCs/>
                <w:kern w:val="0"/>
                <w:sz w:val="22"/>
                <w:lang w:val="en-US" w:eastAsia="zh-CN" w:bidi="ar"/>
              </w:rPr>
              <w:t>2</w:t>
            </w:r>
            <w:r>
              <w:rPr>
                <w:rFonts w:hint="eastAsia" w:ascii="宋体" w:hAnsi="宋体" w:eastAsia="宋体" w:cs="宋体"/>
                <w:b/>
                <w:bCs/>
                <w:kern w:val="0"/>
                <w:sz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935" w:type="pct"/>
            <w:gridSpan w:val="2"/>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综合评估等级</w:t>
            </w:r>
          </w:p>
        </w:tc>
        <w:tc>
          <w:tcPr>
            <w:tcW w:w="2065" w:type="pct"/>
            <w:gridSpan w:val="2"/>
            <w:shd w:val="clear" w:color="auto" w:fill="auto"/>
            <w:vAlign w:val="center"/>
          </w:tcPr>
          <w:p>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良</w:t>
            </w:r>
          </w:p>
        </w:tc>
      </w:tr>
      <w:bookmarkEnd w:id="33"/>
    </w:tbl>
    <w:p>
      <w:pPr>
        <w:keepNext/>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0"/>
        <w:rPr>
          <w:rFonts w:ascii="黑体" w:hAnsi="黑体" w:eastAsia="黑体" w:cs="Times New Roman"/>
          <w:b/>
          <w:bCs/>
          <w:sz w:val="32"/>
          <w:szCs w:val="32"/>
        </w:rPr>
      </w:pPr>
      <w:bookmarkStart w:id="34" w:name="_Toc124082818"/>
      <w:bookmarkStart w:id="35" w:name="_Toc27354"/>
      <w:bookmarkStart w:id="36" w:name="_Toc23012"/>
      <w:bookmarkStart w:id="37" w:name="_Toc4351"/>
      <w:bookmarkStart w:id="38" w:name="_Toc6069"/>
      <w:r>
        <w:rPr>
          <w:rFonts w:hint="eastAsia" w:ascii="黑体" w:hAnsi="黑体" w:eastAsia="黑体" w:cs="Times New Roman"/>
          <w:b/>
          <w:bCs/>
          <w:sz w:val="32"/>
          <w:szCs w:val="32"/>
          <w:lang w:eastAsia="zh-CN"/>
        </w:rPr>
        <w:t>三</w:t>
      </w:r>
      <w:r>
        <w:rPr>
          <w:rFonts w:hint="eastAsia" w:ascii="黑体" w:hAnsi="黑体" w:eastAsia="黑体" w:cs="Times New Roman"/>
          <w:b/>
          <w:bCs/>
          <w:sz w:val="32"/>
          <w:szCs w:val="32"/>
        </w:rPr>
        <w:t>、存在问题和建议</w:t>
      </w:r>
      <w:bookmarkEnd w:id="34"/>
      <w:bookmarkEnd w:id="35"/>
      <w:bookmarkEnd w:id="36"/>
      <w:bookmarkEnd w:id="37"/>
      <w:bookmarkEnd w:id="38"/>
    </w:p>
    <w:p>
      <w:pPr>
        <w:keepNext/>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ascii="楷体" w:hAnsi="楷体" w:eastAsia="楷体" w:cs="Arial"/>
          <w:b/>
          <w:kern w:val="0"/>
          <w:sz w:val="32"/>
          <w:szCs w:val="32"/>
        </w:rPr>
      </w:pPr>
      <w:bookmarkStart w:id="39" w:name="_Toc23281"/>
      <w:bookmarkStart w:id="40" w:name="_Toc52144080"/>
      <w:bookmarkStart w:id="41" w:name="_Toc11774"/>
      <w:bookmarkStart w:id="42" w:name="_Toc799"/>
      <w:bookmarkStart w:id="43" w:name="_Toc16025"/>
      <w:bookmarkStart w:id="44" w:name="_Toc5907"/>
      <w:bookmarkStart w:id="45" w:name="_Toc482"/>
      <w:bookmarkStart w:id="46" w:name="_Toc124082819"/>
      <w:bookmarkStart w:id="47" w:name="_Toc55486357"/>
      <w:r>
        <w:rPr>
          <w:rFonts w:hint="eastAsia" w:ascii="楷体" w:hAnsi="楷体" w:eastAsia="楷体" w:cs="Arial"/>
          <w:b/>
          <w:kern w:val="0"/>
          <w:sz w:val="32"/>
          <w:szCs w:val="32"/>
        </w:rPr>
        <w:t>（一）存在问题</w:t>
      </w:r>
      <w:bookmarkEnd w:id="39"/>
      <w:bookmarkEnd w:id="40"/>
      <w:bookmarkEnd w:id="41"/>
      <w:bookmarkEnd w:id="42"/>
      <w:bookmarkEnd w:id="43"/>
      <w:bookmarkEnd w:id="44"/>
      <w:bookmarkEnd w:id="45"/>
      <w:bookmarkEnd w:id="46"/>
      <w:bookmarkEnd w:id="47"/>
    </w:p>
    <w:p>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ascii="仿宋" w:hAnsi="仿宋" w:eastAsia="仿宋" w:cs="Times New Roman"/>
          <w:b/>
          <w:bCs/>
          <w:sz w:val="32"/>
          <w:szCs w:val="32"/>
          <w:shd w:val="clear" w:color="auto" w:fill="FFFFFF"/>
        </w:rPr>
      </w:pPr>
      <w:r>
        <w:rPr>
          <w:rFonts w:hint="eastAsia" w:ascii="仿宋" w:hAnsi="仿宋" w:eastAsia="仿宋" w:cs="Times New Roman"/>
          <w:b/>
          <w:bCs/>
          <w:sz w:val="32"/>
          <w:szCs w:val="32"/>
          <w:shd w:val="clear" w:color="auto" w:fill="FFFFFF"/>
        </w:rPr>
        <w:t>1.主管部门未编制项目实施方案</w:t>
      </w:r>
    </w:p>
    <w:p>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sz w:val="32"/>
          <w:szCs w:val="32"/>
        </w:rPr>
      </w:pPr>
      <w:r>
        <w:rPr>
          <w:rFonts w:hint="eastAsia" w:ascii="仿宋" w:hAnsi="仿宋" w:eastAsia="仿宋" w:cs="Arial"/>
          <w:bCs/>
          <w:kern w:val="0"/>
          <w:sz w:val="32"/>
          <w:szCs w:val="32"/>
        </w:rPr>
        <w:t>苏布尔嘎镇人民政府、旗卫健委对项目的全局管理意识有待提升，未编制详细的项目实施方案</w:t>
      </w:r>
      <w:bookmarkStart w:id="48" w:name="_Toc60253834"/>
      <w:r>
        <w:rPr>
          <w:rFonts w:hint="eastAsia" w:ascii="仿宋" w:hAnsi="仿宋" w:eastAsia="仿宋" w:cs="Arial"/>
          <w:bCs/>
          <w:kern w:val="0"/>
          <w:sz w:val="32"/>
          <w:szCs w:val="32"/>
        </w:rPr>
        <w:t>，</w:t>
      </w:r>
      <w:r>
        <w:rPr>
          <w:rFonts w:hint="eastAsia" w:ascii="仿宋" w:hAnsi="仿宋" w:eastAsia="仿宋" w:cs="Times New Roman"/>
          <w:sz w:val="32"/>
          <w:szCs w:val="32"/>
        </w:rPr>
        <w:t>不利于对项目整体推进</w:t>
      </w:r>
      <w:r>
        <w:rPr>
          <w:rFonts w:hint="eastAsia" w:ascii="仿宋" w:hAnsi="仿宋" w:eastAsia="仿宋" w:cs="Times New Roman"/>
          <w:sz w:val="32"/>
          <w:szCs w:val="32"/>
          <w:lang w:val="en-US" w:eastAsia="zh-CN"/>
        </w:rPr>
        <w:t>以及</w:t>
      </w:r>
      <w:r>
        <w:rPr>
          <w:rFonts w:hint="eastAsia" w:ascii="仿宋" w:hAnsi="仿宋" w:eastAsia="仿宋" w:cs="Times New Roman"/>
          <w:sz w:val="32"/>
          <w:szCs w:val="32"/>
        </w:rPr>
        <w:t>全面有效管控。</w:t>
      </w:r>
    </w:p>
    <w:p>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default" w:ascii="仿宋" w:hAnsi="仿宋" w:eastAsia="仿宋" w:cs="Times New Roman"/>
          <w:b/>
          <w:bCs/>
          <w:sz w:val="32"/>
          <w:szCs w:val="32"/>
          <w:shd w:val="clear" w:color="auto" w:fill="FFFFFF"/>
          <w:lang w:val="en-US" w:eastAsia="zh-CN"/>
        </w:rPr>
      </w:pPr>
      <w:r>
        <w:rPr>
          <w:rFonts w:hint="eastAsia" w:ascii="仿宋" w:hAnsi="仿宋" w:eastAsia="仿宋" w:cs="Times New Roman"/>
          <w:b/>
          <w:bCs/>
          <w:sz w:val="32"/>
          <w:szCs w:val="32"/>
          <w:shd w:val="clear" w:color="auto" w:fill="FFFFFF"/>
        </w:rPr>
        <w:t>2.</w:t>
      </w:r>
      <w:bookmarkEnd w:id="48"/>
      <w:r>
        <w:rPr>
          <w:rFonts w:hint="eastAsia" w:ascii="仿宋" w:hAnsi="仿宋" w:eastAsia="仿宋" w:cs="Times New Roman"/>
          <w:b/>
          <w:bCs/>
          <w:sz w:val="32"/>
          <w:szCs w:val="32"/>
          <w:shd w:val="clear" w:color="auto" w:fill="FFFFFF"/>
          <w:lang w:val="en-US" w:eastAsia="zh-CN"/>
        </w:rPr>
        <w:t>绩效目标表编制质量有待加强</w:t>
      </w:r>
    </w:p>
    <w:p>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Cs/>
          <w:kern w:val="0"/>
          <w:sz w:val="32"/>
          <w:szCs w:val="32"/>
        </w:rPr>
      </w:pPr>
      <w:r>
        <w:rPr>
          <w:rFonts w:hint="eastAsia" w:ascii="仿宋" w:hAnsi="仿宋" w:eastAsia="仿宋" w:cs="Times New Roman"/>
          <w:bCs/>
          <w:kern w:val="0"/>
          <w:sz w:val="32"/>
          <w:szCs w:val="32"/>
        </w:rPr>
        <w:t>苏布尔嘎镇人民政府目标申报表指标设置与年度计划数不符，数量指标设置为“完成苏布尔嘎中心卫生院基础工程与一、二层主体工程”，但年度计划为完成主体工程。</w:t>
      </w:r>
    </w:p>
    <w:p>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bCs/>
          <w:kern w:val="0"/>
          <w:sz w:val="32"/>
          <w:szCs w:val="32"/>
        </w:rPr>
      </w:pPr>
      <w:bookmarkStart w:id="49" w:name="_Toc1659"/>
      <w:bookmarkStart w:id="50" w:name="_Toc19007"/>
      <w:bookmarkStart w:id="51" w:name="_Toc124082820"/>
      <w:r>
        <w:rPr>
          <w:rFonts w:hint="eastAsia" w:ascii="仿宋" w:hAnsi="仿宋" w:eastAsia="仿宋" w:cs="Times New Roman"/>
          <w:bCs/>
          <w:kern w:val="0"/>
          <w:sz w:val="32"/>
          <w:szCs w:val="32"/>
        </w:rPr>
        <w:t>布连图卫生院绩效支出目标申报表年度目标未填写；资金总额为298.92万元与成本指标计划总投资408万元不匹配；项目数量指标“布连图卫生院工程”与计划完成主体工程、配套工程不符，无法全面清晰的了解项目年度建设内容。</w:t>
      </w:r>
    </w:p>
    <w:p>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Times New Roman"/>
          <w:b/>
          <w:bCs/>
          <w:sz w:val="32"/>
          <w:szCs w:val="32"/>
          <w:shd w:val="clear" w:color="auto" w:fill="FFFFFF"/>
          <w:lang w:eastAsia="zh-CN"/>
        </w:rPr>
      </w:pPr>
      <w:r>
        <w:rPr>
          <w:rFonts w:hint="eastAsia" w:ascii="仿宋" w:hAnsi="仿宋" w:eastAsia="仿宋" w:cs="Times New Roman"/>
          <w:b/>
          <w:bCs/>
          <w:sz w:val="32"/>
          <w:szCs w:val="32"/>
          <w:shd w:val="clear" w:color="auto" w:fill="FFFFFF"/>
        </w:rPr>
        <w:t>3.布连图卫生院建设进度滞后，工程尚未验收</w:t>
      </w:r>
      <w:r>
        <w:rPr>
          <w:rFonts w:hint="eastAsia" w:ascii="仿宋" w:hAnsi="仿宋" w:eastAsia="仿宋" w:cs="Times New Roman"/>
          <w:b/>
          <w:bCs/>
          <w:sz w:val="32"/>
          <w:szCs w:val="32"/>
          <w:shd w:val="clear" w:color="auto" w:fill="FFFFFF"/>
          <w:lang w:eastAsia="zh-CN"/>
        </w:rPr>
        <w:t>。</w:t>
      </w:r>
    </w:p>
    <w:p>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截至评估日，布连图卫生院改扩建项目已完成主体工程建设。但配套工程建设尚未完工，工程施工进度滞后，与计划不符。同时，工程未开展阶段性验收工作。</w:t>
      </w:r>
    </w:p>
    <w:p>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ascii="仿宋" w:hAnsi="仿宋" w:eastAsia="仿宋" w:cs="仿宋"/>
          <w:b/>
          <w:bCs/>
          <w:sz w:val="32"/>
          <w:szCs w:val="32"/>
        </w:rPr>
      </w:pPr>
      <w:r>
        <w:rPr>
          <w:rFonts w:hint="eastAsia" w:ascii="仿宋" w:hAnsi="仿宋" w:eastAsia="仿宋" w:cs="仿宋"/>
          <w:b/>
          <w:bCs/>
          <w:sz w:val="32"/>
          <w:szCs w:val="32"/>
        </w:rPr>
        <w:t>4.布连图卫生院财务资料不完整</w:t>
      </w:r>
    </w:p>
    <w:p>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Times New Roman"/>
          <w:kern w:val="0"/>
          <w:sz w:val="32"/>
          <w:szCs w:val="32"/>
        </w:rPr>
      </w:pPr>
      <w:r>
        <w:rPr>
          <w:rFonts w:hint="eastAsia" w:ascii="仿宋" w:hAnsi="仿宋" w:eastAsia="仿宋" w:cs="仿宋"/>
          <w:sz w:val="32"/>
          <w:szCs w:val="32"/>
        </w:rPr>
        <w:t>截至评</w:t>
      </w:r>
      <w:r>
        <w:rPr>
          <w:rFonts w:hint="eastAsia" w:ascii="仿宋" w:hAnsi="仿宋" w:eastAsia="仿宋" w:cs="仿宋"/>
          <w:sz w:val="32"/>
          <w:szCs w:val="32"/>
          <w:lang w:val="en-US" w:eastAsia="zh-CN"/>
        </w:rPr>
        <w:t>估</w:t>
      </w:r>
      <w:r>
        <w:rPr>
          <w:rFonts w:hint="eastAsia" w:ascii="仿宋" w:hAnsi="仿宋" w:eastAsia="仿宋" w:cs="仿宋"/>
          <w:sz w:val="32"/>
          <w:szCs w:val="32"/>
        </w:rPr>
        <w:t>日，评估工作组未收到布连图卫生院项目资金入账凭证，资料收集不齐全。</w:t>
      </w:r>
    </w:p>
    <w:p>
      <w:pPr>
        <w:keepNext/>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ascii="楷体" w:hAnsi="楷体" w:eastAsia="楷体" w:cs="Arial"/>
          <w:b/>
          <w:kern w:val="0"/>
          <w:sz w:val="32"/>
          <w:szCs w:val="32"/>
        </w:rPr>
      </w:pPr>
      <w:bookmarkStart w:id="52" w:name="_Toc597"/>
      <w:bookmarkStart w:id="53" w:name="_Toc26603"/>
      <w:bookmarkStart w:id="54" w:name="_Toc19857"/>
      <w:bookmarkStart w:id="55" w:name="_Toc19162"/>
      <w:r>
        <w:rPr>
          <w:rFonts w:hint="eastAsia" w:ascii="楷体" w:hAnsi="楷体" w:eastAsia="楷体" w:cs="Arial"/>
          <w:b/>
          <w:kern w:val="0"/>
          <w:sz w:val="32"/>
          <w:szCs w:val="32"/>
        </w:rPr>
        <w:t>（二）有关建议</w:t>
      </w:r>
      <w:bookmarkEnd w:id="49"/>
      <w:bookmarkEnd w:id="50"/>
      <w:bookmarkEnd w:id="51"/>
      <w:bookmarkEnd w:id="52"/>
      <w:bookmarkEnd w:id="53"/>
      <w:bookmarkEnd w:id="54"/>
      <w:bookmarkEnd w:id="55"/>
    </w:p>
    <w:p>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Times New Roman"/>
          <w:b/>
          <w:bCs/>
          <w:sz w:val="32"/>
          <w:szCs w:val="32"/>
          <w:shd w:val="clear" w:color="auto" w:fill="FFFFFF"/>
          <w:lang w:eastAsia="zh-CN"/>
        </w:rPr>
      </w:pPr>
      <w:bookmarkStart w:id="56" w:name="_Toc55520104"/>
      <w:bookmarkStart w:id="57" w:name="_Toc55486363"/>
      <w:r>
        <w:rPr>
          <w:rFonts w:hint="eastAsia" w:ascii="仿宋" w:hAnsi="仿宋" w:eastAsia="仿宋" w:cs="Times New Roman"/>
          <w:b/>
          <w:bCs/>
          <w:sz w:val="32"/>
          <w:szCs w:val="32"/>
          <w:shd w:val="clear" w:color="auto" w:fill="FFFFFF"/>
        </w:rPr>
        <w:t>1.</w:t>
      </w:r>
      <w:bookmarkEnd w:id="56"/>
      <w:bookmarkEnd w:id="57"/>
      <w:r>
        <w:rPr>
          <w:rFonts w:hint="eastAsia" w:ascii="仿宋" w:hAnsi="仿宋" w:eastAsia="仿宋" w:cs="Times New Roman"/>
          <w:b/>
          <w:bCs/>
          <w:sz w:val="32"/>
          <w:szCs w:val="32"/>
          <w:shd w:val="clear" w:color="auto" w:fill="FFFFFF"/>
        </w:rPr>
        <w:t>强化项目全局管理意识，科学制定项目实施方案</w:t>
      </w:r>
      <w:r>
        <w:rPr>
          <w:rFonts w:hint="eastAsia" w:ascii="仿宋" w:hAnsi="仿宋" w:eastAsia="仿宋" w:cs="Times New Roman"/>
          <w:b/>
          <w:bCs/>
          <w:sz w:val="32"/>
          <w:szCs w:val="32"/>
          <w:shd w:val="clear" w:color="auto" w:fill="FFFFFF"/>
          <w:lang w:eastAsia="zh-CN"/>
        </w:rPr>
        <w:t>。</w:t>
      </w:r>
    </w:p>
    <w:p>
      <w:pPr>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Arial"/>
          <w:b/>
          <w:kern w:val="0"/>
          <w:sz w:val="32"/>
          <w:szCs w:val="32"/>
        </w:rPr>
      </w:pPr>
      <w:r>
        <w:rPr>
          <w:rFonts w:hint="eastAsia" w:ascii="仿宋" w:hAnsi="仿宋" w:eastAsia="仿宋" w:cs="仿宋"/>
          <w:sz w:val="32"/>
          <w:szCs w:val="32"/>
        </w:rPr>
        <w:t>建议苏布尔嘎镇人民政府与旗卫健委</w:t>
      </w:r>
      <w:r>
        <w:rPr>
          <w:rFonts w:hint="eastAsia" w:ascii="仿宋" w:hAnsi="仿宋" w:eastAsia="仿宋" w:cs="Arial"/>
          <w:bCs/>
          <w:kern w:val="0"/>
          <w:sz w:val="32"/>
          <w:szCs w:val="32"/>
        </w:rPr>
        <w:t>强化项目管理全局意识，统筹规划项目全过程管理，结合项目具体情况，制定包含总体和分年度</w:t>
      </w:r>
      <w:r>
        <w:rPr>
          <w:rFonts w:hint="eastAsia" w:ascii="仿宋" w:hAnsi="仿宋" w:eastAsia="仿宋" w:cs="仿宋"/>
          <w:sz w:val="32"/>
          <w:szCs w:val="32"/>
        </w:rPr>
        <w:t>工作内容、项目管理组成员职责划分、项目工作进度安排、资金管理计划、项目定期或不定期监督检查管理制度、验收方案、风险控制措施等具体要求的项目实施方案，用于全面指导项目组织实施，以保证项目监督的有效性。</w:t>
      </w:r>
    </w:p>
    <w:p>
      <w:pPr>
        <w:keepNext/>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Times New Roman"/>
          <w:b/>
          <w:bCs/>
          <w:sz w:val="32"/>
          <w:szCs w:val="32"/>
          <w:shd w:val="clear" w:color="auto" w:fill="FFFFFF"/>
          <w:lang w:eastAsia="zh-CN"/>
        </w:rPr>
      </w:pPr>
      <w:r>
        <w:rPr>
          <w:rFonts w:hint="eastAsia" w:ascii="仿宋" w:hAnsi="仿宋" w:eastAsia="仿宋" w:cs="Times New Roman"/>
          <w:b/>
          <w:bCs/>
          <w:sz w:val="32"/>
          <w:szCs w:val="32"/>
          <w:shd w:val="clear" w:color="auto" w:fill="FFFFFF"/>
        </w:rPr>
        <w:t>2.加强预算绩效管理学习，完善项目目标编写</w:t>
      </w:r>
      <w:r>
        <w:rPr>
          <w:rFonts w:hint="eastAsia" w:ascii="仿宋" w:hAnsi="仿宋" w:eastAsia="仿宋" w:cs="Times New Roman"/>
          <w:b/>
          <w:bCs/>
          <w:sz w:val="32"/>
          <w:szCs w:val="32"/>
          <w:shd w:val="clear" w:color="auto" w:fill="FFFFFF"/>
          <w:lang w:eastAsia="zh-CN"/>
        </w:rPr>
        <w:t>。</w:t>
      </w:r>
    </w:p>
    <w:p>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Calibri" w:eastAsia="仿宋_GB2312" w:cs="Times New Roman"/>
          <w:sz w:val="32"/>
          <w:szCs w:val="32"/>
        </w:rPr>
      </w:pPr>
      <w:r>
        <w:rPr>
          <w:rFonts w:hint="eastAsia" w:ascii="仿宋" w:hAnsi="仿宋" w:eastAsia="仿宋" w:cs="仿宋"/>
          <w:sz w:val="32"/>
          <w:szCs w:val="32"/>
        </w:rPr>
        <w:t>建议旗卫健委与苏布尔嘎镇人民政府</w:t>
      </w:r>
      <w:r>
        <w:rPr>
          <w:rFonts w:hint="eastAsia" w:ascii="仿宋_GB2312" w:hAnsi="Calibri" w:eastAsia="仿宋_GB2312" w:cs="Times New Roman"/>
          <w:sz w:val="32"/>
          <w:szCs w:val="32"/>
        </w:rPr>
        <w:t>加强预算绩效管理学习，针对跨年度项目计划实施内容、筹资计划及管理要求等，在制定总体目标基础上，对总体目标进行有效的年度分解，确保总体目标、年度目标和对应指标设置与对应周期项目计划实施内容、预算相匹配。同时，将目标细化分解为全面、具体的绩效指标，充分论证指标的可考核性，全面体现项目预期产出及效益，为后续项目实施管理及过程把控提供依据。</w:t>
      </w:r>
    </w:p>
    <w:p>
      <w:pPr>
        <w:keepLines w:val="0"/>
        <w:pageBreakBefore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Times New Roman"/>
          <w:b/>
          <w:bCs/>
          <w:sz w:val="32"/>
          <w:szCs w:val="32"/>
          <w:shd w:val="clear" w:color="auto" w:fill="FFFFFF"/>
          <w:lang w:eastAsia="zh-CN"/>
        </w:rPr>
      </w:pPr>
      <w:r>
        <w:rPr>
          <w:rFonts w:hint="eastAsia" w:ascii="仿宋" w:hAnsi="仿宋" w:eastAsia="仿宋" w:cs="Times New Roman"/>
          <w:b/>
          <w:bCs/>
          <w:sz w:val="32"/>
          <w:szCs w:val="32"/>
          <w:shd w:val="clear" w:color="auto" w:fill="FFFFFF"/>
        </w:rPr>
        <w:t>3.布连图卫生院及时开展验收工作，保证工程施工质量</w:t>
      </w:r>
      <w:r>
        <w:rPr>
          <w:rFonts w:hint="eastAsia" w:ascii="仿宋" w:hAnsi="仿宋" w:eastAsia="仿宋" w:cs="Times New Roman"/>
          <w:b/>
          <w:bCs/>
          <w:sz w:val="32"/>
          <w:szCs w:val="32"/>
          <w:shd w:val="clear" w:color="auto" w:fill="FFFFFF"/>
          <w:lang w:eastAsia="zh-CN"/>
        </w:rPr>
        <w:t>。</w:t>
      </w:r>
    </w:p>
    <w:p>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hAnsi="Calibri" w:eastAsia="仿宋_GB2312" w:cs="Times New Roman"/>
          <w:sz w:val="32"/>
          <w:szCs w:val="32"/>
        </w:rPr>
      </w:pPr>
      <w:r>
        <w:rPr>
          <w:rFonts w:hint="eastAsia" w:ascii="仿宋" w:hAnsi="仿宋" w:eastAsia="仿宋" w:cs="Times New Roman"/>
          <w:sz w:val="32"/>
          <w:szCs w:val="32"/>
        </w:rPr>
        <w:t>建议</w:t>
      </w:r>
      <w:r>
        <w:rPr>
          <w:rFonts w:hint="eastAsia" w:ascii="仿宋" w:hAnsi="仿宋" w:eastAsia="仿宋" w:cs="Times New Roman"/>
          <w:sz w:val="32"/>
          <w:szCs w:val="32"/>
          <w:lang w:val="en-US" w:eastAsia="zh-CN"/>
        </w:rPr>
        <w:t>旗卫健委</w:t>
      </w:r>
      <w:r>
        <w:rPr>
          <w:rFonts w:hint="eastAsia" w:ascii="仿宋" w:hAnsi="仿宋" w:eastAsia="仿宋" w:cs="Times New Roman"/>
          <w:sz w:val="32"/>
          <w:szCs w:val="32"/>
        </w:rPr>
        <w:t>加快推进项目实施，敦促施工单位加快施工进度，待项目完工后，及时按相关文件规定开展项目验收工作，确保工程质量达到国家相关验收标准，使基层卫生院能按时投入使用。</w:t>
      </w:r>
      <w:bookmarkStart w:id="58" w:name="_Toc124189335"/>
    </w:p>
    <w:p>
      <w:pPr>
        <w:keepNext/>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 w:hAnsi="仿宋" w:eastAsia="仿宋" w:cs="仿宋"/>
          <w:b/>
          <w:bCs/>
          <w:sz w:val="32"/>
          <w:szCs w:val="32"/>
          <w:lang w:eastAsia="zh-CN"/>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建议布连图卫生院</w:t>
      </w:r>
      <w:r>
        <w:rPr>
          <w:rFonts w:hint="eastAsia" w:ascii="仿宋" w:hAnsi="仿宋" w:eastAsia="仿宋" w:cs="仿宋"/>
          <w:b/>
          <w:bCs/>
          <w:sz w:val="32"/>
          <w:szCs w:val="32"/>
        </w:rPr>
        <w:t>强化档案管理工作，确保资料完整性</w:t>
      </w:r>
      <w:r>
        <w:rPr>
          <w:rFonts w:hint="eastAsia" w:ascii="仿宋" w:hAnsi="仿宋" w:eastAsia="仿宋" w:cs="仿宋"/>
          <w:b/>
          <w:bCs/>
          <w:sz w:val="32"/>
          <w:szCs w:val="32"/>
          <w:lang w:eastAsia="zh-CN"/>
        </w:rPr>
        <w:t>。</w:t>
      </w:r>
    </w:p>
    <w:p>
      <w:pPr>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b/>
          <w:bCs/>
          <w:sz w:val="32"/>
          <w:szCs w:val="32"/>
          <w:lang w:val="en-US" w:eastAsia="zh-CN"/>
        </w:rPr>
      </w:pPr>
      <w:r>
        <w:rPr>
          <w:rFonts w:hint="eastAsia" w:ascii="仿宋" w:hAnsi="仿宋" w:eastAsia="仿宋" w:cs="仿宋"/>
          <w:sz w:val="32"/>
          <w:szCs w:val="32"/>
        </w:rPr>
        <w:t>建议旗卫健委提高档案管理意识和财务管理合规性，做好相关资料档案保管工作，建立健全档案管理制度，便于后期总结项目经验。</w:t>
      </w:r>
      <w:bookmarkEnd w:id="32"/>
      <w:bookmarkEnd w:id="58"/>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pacing w:line="36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TdjZDgyMWJmMjRlNTU5OGMxYjdmNjdmZmRlMWMifQ=="/>
  </w:docVars>
  <w:rsids>
    <w:rsidRoot w:val="00CB2FF6"/>
    <w:rsid w:val="000516C1"/>
    <w:rsid w:val="001324BE"/>
    <w:rsid w:val="001652F4"/>
    <w:rsid w:val="00175D11"/>
    <w:rsid w:val="001A1E50"/>
    <w:rsid w:val="00252939"/>
    <w:rsid w:val="002852B0"/>
    <w:rsid w:val="002A5D02"/>
    <w:rsid w:val="00384B9C"/>
    <w:rsid w:val="00443541"/>
    <w:rsid w:val="00456228"/>
    <w:rsid w:val="00675481"/>
    <w:rsid w:val="006D0CE9"/>
    <w:rsid w:val="006D5866"/>
    <w:rsid w:val="006E765B"/>
    <w:rsid w:val="0072367A"/>
    <w:rsid w:val="00736A5C"/>
    <w:rsid w:val="00755DF0"/>
    <w:rsid w:val="00756F4E"/>
    <w:rsid w:val="00771DF3"/>
    <w:rsid w:val="00932A1A"/>
    <w:rsid w:val="00977CDA"/>
    <w:rsid w:val="00985AF3"/>
    <w:rsid w:val="00C149A0"/>
    <w:rsid w:val="00C4348A"/>
    <w:rsid w:val="00CB2FF6"/>
    <w:rsid w:val="00D76F01"/>
    <w:rsid w:val="00DD75D2"/>
    <w:rsid w:val="00DE7096"/>
    <w:rsid w:val="00F25654"/>
    <w:rsid w:val="00F27C02"/>
    <w:rsid w:val="00FD679E"/>
    <w:rsid w:val="00FF0A0F"/>
    <w:rsid w:val="01057F1E"/>
    <w:rsid w:val="010F53AD"/>
    <w:rsid w:val="01203FAE"/>
    <w:rsid w:val="01286819"/>
    <w:rsid w:val="013E2686"/>
    <w:rsid w:val="01401F5A"/>
    <w:rsid w:val="014F75CD"/>
    <w:rsid w:val="015076F0"/>
    <w:rsid w:val="01527EDF"/>
    <w:rsid w:val="01536131"/>
    <w:rsid w:val="0159301C"/>
    <w:rsid w:val="01695955"/>
    <w:rsid w:val="01763BCE"/>
    <w:rsid w:val="0187402D"/>
    <w:rsid w:val="01916C5A"/>
    <w:rsid w:val="0196601E"/>
    <w:rsid w:val="01AC3A93"/>
    <w:rsid w:val="01B9240D"/>
    <w:rsid w:val="01C1789B"/>
    <w:rsid w:val="01D37B81"/>
    <w:rsid w:val="01D46DBB"/>
    <w:rsid w:val="01EE5E5A"/>
    <w:rsid w:val="01F62F61"/>
    <w:rsid w:val="01F63416"/>
    <w:rsid w:val="01FD42EF"/>
    <w:rsid w:val="02467A44"/>
    <w:rsid w:val="02652328"/>
    <w:rsid w:val="028247F4"/>
    <w:rsid w:val="02900CBF"/>
    <w:rsid w:val="029F53A6"/>
    <w:rsid w:val="02A4476B"/>
    <w:rsid w:val="02C959C4"/>
    <w:rsid w:val="02CB619B"/>
    <w:rsid w:val="02DC49AC"/>
    <w:rsid w:val="034D6BB0"/>
    <w:rsid w:val="036363D4"/>
    <w:rsid w:val="036A59B4"/>
    <w:rsid w:val="03D816E2"/>
    <w:rsid w:val="03EE2305"/>
    <w:rsid w:val="03F72935"/>
    <w:rsid w:val="03FF434E"/>
    <w:rsid w:val="04275653"/>
    <w:rsid w:val="04397A9F"/>
    <w:rsid w:val="0442248D"/>
    <w:rsid w:val="04553F6E"/>
    <w:rsid w:val="04671920"/>
    <w:rsid w:val="049251C3"/>
    <w:rsid w:val="04B74C29"/>
    <w:rsid w:val="04BD38C2"/>
    <w:rsid w:val="04D52AA4"/>
    <w:rsid w:val="04E86B91"/>
    <w:rsid w:val="04FD71D7"/>
    <w:rsid w:val="05121E5F"/>
    <w:rsid w:val="05177476"/>
    <w:rsid w:val="053F6FB9"/>
    <w:rsid w:val="054933A7"/>
    <w:rsid w:val="054A240E"/>
    <w:rsid w:val="055206F4"/>
    <w:rsid w:val="055C30DB"/>
    <w:rsid w:val="055E4FDC"/>
    <w:rsid w:val="056474A6"/>
    <w:rsid w:val="05C50C80"/>
    <w:rsid w:val="05CD1539"/>
    <w:rsid w:val="05DA3800"/>
    <w:rsid w:val="05FE23E4"/>
    <w:rsid w:val="060E0879"/>
    <w:rsid w:val="06197D3C"/>
    <w:rsid w:val="06211403"/>
    <w:rsid w:val="06356E17"/>
    <w:rsid w:val="06387385"/>
    <w:rsid w:val="063E4C65"/>
    <w:rsid w:val="06426774"/>
    <w:rsid w:val="064539AC"/>
    <w:rsid w:val="06486A43"/>
    <w:rsid w:val="06693D01"/>
    <w:rsid w:val="06936FD0"/>
    <w:rsid w:val="06D82C35"/>
    <w:rsid w:val="06F950DC"/>
    <w:rsid w:val="06FA7B4C"/>
    <w:rsid w:val="070C28DE"/>
    <w:rsid w:val="070F301F"/>
    <w:rsid w:val="07372051"/>
    <w:rsid w:val="07481B68"/>
    <w:rsid w:val="076F701E"/>
    <w:rsid w:val="07797F74"/>
    <w:rsid w:val="07876357"/>
    <w:rsid w:val="07A20778"/>
    <w:rsid w:val="07C54C87"/>
    <w:rsid w:val="07D63618"/>
    <w:rsid w:val="08100EC7"/>
    <w:rsid w:val="08207379"/>
    <w:rsid w:val="0860457F"/>
    <w:rsid w:val="086329D2"/>
    <w:rsid w:val="087B405D"/>
    <w:rsid w:val="08A80B99"/>
    <w:rsid w:val="08BB280E"/>
    <w:rsid w:val="08C3328D"/>
    <w:rsid w:val="08CE0B51"/>
    <w:rsid w:val="08DF64FD"/>
    <w:rsid w:val="08F04266"/>
    <w:rsid w:val="09074842"/>
    <w:rsid w:val="090C3B5F"/>
    <w:rsid w:val="091361A6"/>
    <w:rsid w:val="09167A44"/>
    <w:rsid w:val="09173EE8"/>
    <w:rsid w:val="092C1EA1"/>
    <w:rsid w:val="093A7BD7"/>
    <w:rsid w:val="09426C2D"/>
    <w:rsid w:val="095C7EAD"/>
    <w:rsid w:val="09684744"/>
    <w:rsid w:val="096C34C1"/>
    <w:rsid w:val="09B07E99"/>
    <w:rsid w:val="09C120A6"/>
    <w:rsid w:val="09CB0B7A"/>
    <w:rsid w:val="09D92D83"/>
    <w:rsid w:val="09DB4A2F"/>
    <w:rsid w:val="09DE3D10"/>
    <w:rsid w:val="0A116B8A"/>
    <w:rsid w:val="0A20494D"/>
    <w:rsid w:val="0A2B09AE"/>
    <w:rsid w:val="0A4C4224"/>
    <w:rsid w:val="0A4D1921"/>
    <w:rsid w:val="0A63624B"/>
    <w:rsid w:val="0A80640C"/>
    <w:rsid w:val="0A8A6B90"/>
    <w:rsid w:val="0AB87DA1"/>
    <w:rsid w:val="0AF91B48"/>
    <w:rsid w:val="0B465E36"/>
    <w:rsid w:val="0B470389"/>
    <w:rsid w:val="0B4B7E79"/>
    <w:rsid w:val="0B845139"/>
    <w:rsid w:val="0BD25EA5"/>
    <w:rsid w:val="0BD54A82"/>
    <w:rsid w:val="0C1530FE"/>
    <w:rsid w:val="0C22560C"/>
    <w:rsid w:val="0C2A7A8F"/>
    <w:rsid w:val="0C460641"/>
    <w:rsid w:val="0C542D5E"/>
    <w:rsid w:val="0C5D2700"/>
    <w:rsid w:val="0C5E67B3"/>
    <w:rsid w:val="0C6D2071"/>
    <w:rsid w:val="0CC23633"/>
    <w:rsid w:val="0CCD4DE3"/>
    <w:rsid w:val="0CE2480D"/>
    <w:rsid w:val="0D1331AA"/>
    <w:rsid w:val="0D1B387B"/>
    <w:rsid w:val="0D215336"/>
    <w:rsid w:val="0D49316E"/>
    <w:rsid w:val="0D500D75"/>
    <w:rsid w:val="0D560BFD"/>
    <w:rsid w:val="0D5B011C"/>
    <w:rsid w:val="0D784215"/>
    <w:rsid w:val="0D8A6BFB"/>
    <w:rsid w:val="0D933352"/>
    <w:rsid w:val="0DA970D9"/>
    <w:rsid w:val="0DAD0977"/>
    <w:rsid w:val="0DBE0DD6"/>
    <w:rsid w:val="0DC451BB"/>
    <w:rsid w:val="0DD8176C"/>
    <w:rsid w:val="0E7019A5"/>
    <w:rsid w:val="0E8A515C"/>
    <w:rsid w:val="0E9B1118"/>
    <w:rsid w:val="0E9D75E1"/>
    <w:rsid w:val="0EAB2447"/>
    <w:rsid w:val="0EBC1393"/>
    <w:rsid w:val="0EC73CBB"/>
    <w:rsid w:val="0EDA5565"/>
    <w:rsid w:val="0F324E82"/>
    <w:rsid w:val="0F4B4A53"/>
    <w:rsid w:val="0F7D6A6F"/>
    <w:rsid w:val="0F890F70"/>
    <w:rsid w:val="0FAC0586"/>
    <w:rsid w:val="0FB104C7"/>
    <w:rsid w:val="0FB10903"/>
    <w:rsid w:val="0FD269DC"/>
    <w:rsid w:val="0FD3668F"/>
    <w:rsid w:val="0FD70E8E"/>
    <w:rsid w:val="0FF57C99"/>
    <w:rsid w:val="101073D5"/>
    <w:rsid w:val="10444B40"/>
    <w:rsid w:val="10464B82"/>
    <w:rsid w:val="10637A13"/>
    <w:rsid w:val="10806817"/>
    <w:rsid w:val="10841F61"/>
    <w:rsid w:val="108E2330"/>
    <w:rsid w:val="10902873"/>
    <w:rsid w:val="10AC2E43"/>
    <w:rsid w:val="10F354AA"/>
    <w:rsid w:val="11082369"/>
    <w:rsid w:val="111156C1"/>
    <w:rsid w:val="11124F95"/>
    <w:rsid w:val="11627D2E"/>
    <w:rsid w:val="116972AB"/>
    <w:rsid w:val="11731ED8"/>
    <w:rsid w:val="118440E5"/>
    <w:rsid w:val="11CD0CEF"/>
    <w:rsid w:val="11D43EB8"/>
    <w:rsid w:val="11F052D6"/>
    <w:rsid w:val="11FB06C6"/>
    <w:rsid w:val="12174B86"/>
    <w:rsid w:val="12454595"/>
    <w:rsid w:val="12495BD4"/>
    <w:rsid w:val="12847016"/>
    <w:rsid w:val="12CB3684"/>
    <w:rsid w:val="12F6179B"/>
    <w:rsid w:val="13225964"/>
    <w:rsid w:val="132E255A"/>
    <w:rsid w:val="136715C8"/>
    <w:rsid w:val="13785584"/>
    <w:rsid w:val="138F2831"/>
    <w:rsid w:val="138F28CD"/>
    <w:rsid w:val="1399374C"/>
    <w:rsid w:val="13A10F7E"/>
    <w:rsid w:val="13AE31F3"/>
    <w:rsid w:val="13AE5449"/>
    <w:rsid w:val="13B50586"/>
    <w:rsid w:val="13C91484"/>
    <w:rsid w:val="14310FC1"/>
    <w:rsid w:val="14466417"/>
    <w:rsid w:val="144E09DA"/>
    <w:rsid w:val="14553B17"/>
    <w:rsid w:val="14952165"/>
    <w:rsid w:val="149A3C1F"/>
    <w:rsid w:val="149B5F6D"/>
    <w:rsid w:val="149C2E7E"/>
    <w:rsid w:val="14A96588"/>
    <w:rsid w:val="14AD3953"/>
    <w:rsid w:val="15325C06"/>
    <w:rsid w:val="15344D3E"/>
    <w:rsid w:val="15407EF2"/>
    <w:rsid w:val="155B5AE1"/>
    <w:rsid w:val="156F6E5A"/>
    <w:rsid w:val="15715692"/>
    <w:rsid w:val="15772007"/>
    <w:rsid w:val="15AD48BA"/>
    <w:rsid w:val="15D53161"/>
    <w:rsid w:val="15DD3DC4"/>
    <w:rsid w:val="15E05662"/>
    <w:rsid w:val="16001A6E"/>
    <w:rsid w:val="160F05C8"/>
    <w:rsid w:val="1626576B"/>
    <w:rsid w:val="163300AD"/>
    <w:rsid w:val="164B3423"/>
    <w:rsid w:val="169C5A2D"/>
    <w:rsid w:val="16B82E4D"/>
    <w:rsid w:val="16CF5E02"/>
    <w:rsid w:val="171C6B6E"/>
    <w:rsid w:val="174C1201"/>
    <w:rsid w:val="17611074"/>
    <w:rsid w:val="176B6193"/>
    <w:rsid w:val="178A3AD7"/>
    <w:rsid w:val="179D7844"/>
    <w:rsid w:val="17A96653"/>
    <w:rsid w:val="17DB5C48"/>
    <w:rsid w:val="17EC4792"/>
    <w:rsid w:val="18221CE1"/>
    <w:rsid w:val="182C371E"/>
    <w:rsid w:val="183357E7"/>
    <w:rsid w:val="18616AF4"/>
    <w:rsid w:val="18950986"/>
    <w:rsid w:val="189E74FF"/>
    <w:rsid w:val="18A312F5"/>
    <w:rsid w:val="18AB2948"/>
    <w:rsid w:val="18B5173B"/>
    <w:rsid w:val="18B83CF9"/>
    <w:rsid w:val="18C96C1B"/>
    <w:rsid w:val="18F27B86"/>
    <w:rsid w:val="190855FC"/>
    <w:rsid w:val="19231C11"/>
    <w:rsid w:val="19353F17"/>
    <w:rsid w:val="19416241"/>
    <w:rsid w:val="194B54E8"/>
    <w:rsid w:val="1955268D"/>
    <w:rsid w:val="196071E6"/>
    <w:rsid w:val="19801636"/>
    <w:rsid w:val="1988080D"/>
    <w:rsid w:val="1997072D"/>
    <w:rsid w:val="19CC0EC1"/>
    <w:rsid w:val="19E07411"/>
    <w:rsid w:val="19E33973"/>
    <w:rsid w:val="1A004AF6"/>
    <w:rsid w:val="1A840CB2"/>
    <w:rsid w:val="1A8B4C12"/>
    <w:rsid w:val="1ACD2659"/>
    <w:rsid w:val="1AD27C6F"/>
    <w:rsid w:val="1B174574"/>
    <w:rsid w:val="1B266758"/>
    <w:rsid w:val="1B527002"/>
    <w:rsid w:val="1B5468D6"/>
    <w:rsid w:val="1B681CCA"/>
    <w:rsid w:val="1B866CAC"/>
    <w:rsid w:val="1B993C0B"/>
    <w:rsid w:val="1BA86C22"/>
    <w:rsid w:val="1BAD4238"/>
    <w:rsid w:val="1BAF37DB"/>
    <w:rsid w:val="1BC81072"/>
    <w:rsid w:val="1BCB2DA2"/>
    <w:rsid w:val="1BCE5E91"/>
    <w:rsid w:val="1BFD478D"/>
    <w:rsid w:val="1C27068D"/>
    <w:rsid w:val="1C2C01A7"/>
    <w:rsid w:val="1C5446B4"/>
    <w:rsid w:val="1C623275"/>
    <w:rsid w:val="1CE83650"/>
    <w:rsid w:val="1D1F1AB9"/>
    <w:rsid w:val="1D3A2396"/>
    <w:rsid w:val="1D453804"/>
    <w:rsid w:val="1D4F1A4B"/>
    <w:rsid w:val="1D5A219E"/>
    <w:rsid w:val="1D5E6EEA"/>
    <w:rsid w:val="1D816169"/>
    <w:rsid w:val="1D8E0357"/>
    <w:rsid w:val="1D980AE6"/>
    <w:rsid w:val="1DA43327"/>
    <w:rsid w:val="1DBC69B5"/>
    <w:rsid w:val="1DC67833"/>
    <w:rsid w:val="1DD63ED5"/>
    <w:rsid w:val="1DDA5B4F"/>
    <w:rsid w:val="1DEC6435"/>
    <w:rsid w:val="1DF356DA"/>
    <w:rsid w:val="1E07134D"/>
    <w:rsid w:val="1E2D7E59"/>
    <w:rsid w:val="1E324BDA"/>
    <w:rsid w:val="1E476CC0"/>
    <w:rsid w:val="1E57048B"/>
    <w:rsid w:val="1E591960"/>
    <w:rsid w:val="1E6D10DF"/>
    <w:rsid w:val="1E702A32"/>
    <w:rsid w:val="1E7068A1"/>
    <w:rsid w:val="1E7E7818"/>
    <w:rsid w:val="1E7F2308"/>
    <w:rsid w:val="1EBA1146"/>
    <w:rsid w:val="1ED95142"/>
    <w:rsid w:val="1EDF6DFF"/>
    <w:rsid w:val="1EFD2558"/>
    <w:rsid w:val="1F0979D8"/>
    <w:rsid w:val="1F1C1412"/>
    <w:rsid w:val="1F2B48C1"/>
    <w:rsid w:val="1F3F164B"/>
    <w:rsid w:val="1F6A19AC"/>
    <w:rsid w:val="1F7312F5"/>
    <w:rsid w:val="1FC55273"/>
    <w:rsid w:val="1FD55B0C"/>
    <w:rsid w:val="1FD60202"/>
    <w:rsid w:val="2011123A"/>
    <w:rsid w:val="201C198C"/>
    <w:rsid w:val="203B1E13"/>
    <w:rsid w:val="20452C91"/>
    <w:rsid w:val="205904EB"/>
    <w:rsid w:val="207B2B57"/>
    <w:rsid w:val="209822A0"/>
    <w:rsid w:val="20BE0D95"/>
    <w:rsid w:val="20CD0B42"/>
    <w:rsid w:val="20F5147B"/>
    <w:rsid w:val="20FC4A96"/>
    <w:rsid w:val="210E2953"/>
    <w:rsid w:val="21320AC6"/>
    <w:rsid w:val="215238B8"/>
    <w:rsid w:val="215A77B7"/>
    <w:rsid w:val="215C4EC0"/>
    <w:rsid w:val="21701F90"/>
    <w:rsid w:val="21865261"/>
    <w:rsid w:val="218835F1"/>
    <w:rsid w:val="218E2416"/>
    <w:rsid w:val="21C20F10"/>
    <w:rsid w:val="21C77E98"/>
    <w:rsid w:val="21C83B7A"/>
    <w:rsid w:val="21D27E01"/>
    <w:rsid w:val="22185F2F"/>
    <w:rsid w:val="22552F34"/>
    <w:rsid w:val="228F44B7"/>
    <w:rsid w:val="229E0014"/>
    <w:rsid w:val="22BB3F09"/>
    <w:rsid w:val="22C56381"/>
    <w:rsid w:val="22DD18A7"/>
    <w:rsid w:val="23052DD1"/>
    <w:rsid w:val="230C3F3A"/>
    <w:rsid w:val="23152DEF"/>
    <w:rsid w:val="234436D4"/>
    <w:rsid w:val="23635204"/>
    <w:rsid w:val="239B0E1A"/>
    <w:rsid w:val="23A37E51"/>
    <w:rsid w:val="23AB3753"/>
    <w:rsid w:val="23B4085A"/>
    <w:rsid w:val="23C7261C"/>
    <w:rsid w:val="23ED1676"/>
    <w:rsid w:val="23F944BF"/>
    <w:rsid w:val="24041164"/>
    <w:rsid w:val="241035B6"/>
    <w:rsid w:val="241F37F9"/>
    <w:rsid w:val="243F3E9B"/>
    <w:rsid w:val="24594F5D"/>
    <w:rsid w:val="246E2D16"/>
    <w:rsid w:val="24A64E3C"/>
    <w:rsid w:val="24AB3403"/>
    <w:rsid w:val="24B623B0"/>
    <w:rsid w:val="24BB09CF"/>
    <w:rsid w:val="24DB2419"/>
    <w:rsid w:val="24FA6740"/>
    <w:rsid w:val="250D7AF6"/>
    <w:rsid w:val="250E5D48"/>
    <w:rsid w:val="25153BB3"/>
    <w:rsid w:val="2519649B"/>
    <w:rsid w:val="251B6C00"/>
    <w:rsid w:val="2551032A"/>
    <w:rsid w:val="25B82157"/>
    <w:rsid w:val="25BA5ED0"/>
    <w:rsid w:val="25DD571A"/>
    <w:rsid w:val="262E22C9"/>
    <w:rsid w:val="265F758F"/>
    <w:rsid w:val="2676584E"/>
    <w:rsid w:val="26AE1041"/>
    <w:rsid w:val="26AF355A"/>
    <w:rsid w:val="26D353B8"/>
    <w:rsid w:val="26E0627B"/>
    <w:rsid w:val="26FD6EE4"/>
    <w:rsid w:val="27313F6F"/>
    <w:rsid w:val="276339D3"/>
    <w:rsid w:val="27653C19"/>
    <w:rsid w:val="27731758"/>
    <w:rsid w:val="27767BD4"/>
    <w:rsid w:val="27C76682"/>
    <w:rsid w:val="27D50D9F"/>
    <w:rsid w:val="283F090E"/>
    <w:rsid w:val="285223EF"/>
    <w:rsid w:val="286D6F60"/>
    <w:rsid w:val="2881331F"/>
    <w:rsid w:val="288844A4"/>
    <w:rsid w:val="288A18A7"/>
    <w:rsid w:val="28B60BD0"/>
    <w:rsid w:val="28C31BC6"/>
    <w:rsid w:val="28D32671"/>
    <w:rsid w:val="28F90ABD"/>
    <w:rsid w:val="29053273"/>
    <w:rsid w:val="290D1DAF"/>
    <w:rsid w:val="291E5AE2"/>
    <w:rsid w:val="295E3016"/>
    <w:rsid w:val="295E4DC4"/>
    <w:rsid w:val="297B3BC8"/>
    <w:rsid w:val="298A0750"/>
    <w:rsid w:val="298B4180"/>
    <w:rsid w:val="299D58EC"/>
    <w:rsid w:val="29DB01C2"/>
    <w:rsid w:val="29E277A3"/>
    <w:rsid w:val="29EC4E59"/>
    <w:rsid w:val="29F26D21"/>
    <w:rsid w:val="29FA0F90"/>
    <w:rsid w:val="2A0C65CE"/>
    <w:rsid w:val="2A1262DA"/>
    <w:rsid w:val="2A1F439F"/>
    <w:rsid w:val="2A247694"/>
    <w:rsid w:val="2A2C6C70"/>
    <w:rsid w:val="2A331DAD"/>
    <w:rsid w:val="2A351CF5"/>
    <w:rsid w:val="2A385615"/>
    <w:rsid w:val="2A3F0751"/>
    <w:rsid w:val="2A4C4F64"/>
    <w:rsid w:val="2A571F3F"/>
    <w:rsid w:val="2A572EBE"/>
    <w:rsid w:val="2A6B59EA"/>
    <w:rsid w:val="2A892758"/>
    <w:rsid w:val="2A8E62D0"/>
    <w:rsid w:val="2AB54EB7"/>
    <w:rsid w:val="2AB8309A"/>
    <w:rsid w:val="2AE61515"/>
    <w:rsid w:val="2B296BB8"/>
    <w:rsid w:val="2B345DDC"/>
    <w:rsid w:val="2B471FB3"/>
    <w:rsid w:val="2BA44FCF"/>
    <w:rsid w:val="2BC929C8"/>
    <w:rsid w:val="2BD8066A"/>
    <w:rsid w:val="2BE617CC"/>
    <w:rsid w:val="2C041E7B"/>
    <w:rsid w:val="2C0D5CCF"/>
    <w:rsid w:val="2C2A71DF"/>
    <w:rsid w:val="2C351E0C"/>
    <w:rsid w:val="2C3B13EC"/>
    <w:rsid w:val="2C534D62"/>
    <w:rsid w:val="2C8554E4"/>
    <w:rsid w:val="2C8B3F68"/>
    <w:rsid w:val="2CA84CD4"/>
    <w:rsid w:val="2CB216AE"/>
    <w:rsid w:val="2CB97BDE"/>
    <w:rsid w:val="2CBB2380"/>
    <w:rsid w:val="2D320A41"/>
    <w:rsid w:val="2D3E73E6"/>
    <w:rsid w:val="2D4C22C2"/>
    <w:rsid w:val="2D7114E3"/>
    <w:rsid w:val="2D7D0460"/>
    <w:rsid w:val="2D825525"/>
    <w:rsid w:val="2D8F379E"/>
    <w:rsid w:val="2DA01E4F"/>
    <w:rsid w:val="2DC62459"/>
    <w:rsid w:val="2DCF3824"/>
    <w:rsid w:val="2E166E98"/>
    <w:rsid w:val="2E1F160C"/>
    <w:rsid w:val="2E3D144C"/>
    <w:rsid w:val="2E6469D8"/>
    <w:rsid w:val="2E876B6B"/>
    <w:rsid w:val="2EA15E7F"/>
    <w:rsid w:val="2EC929D3"/>
    <w:rsid w:val="2F1228D8"/>
    <w:rsid w:val="2F210D6D"/>
    <w:rsid w:val="2F507CAF"/>
    <w:rsid w:val="2F7C41F6"/>
    <w:rsid w:val="2F837332"/>
    <w:rsid w:val="2FA5433A"/>
    <w:rsid w:val="2FD30669"/>
    <w:rsid w:val="2FDE0A0C"/>
    <w:rsid w:val="2FE204FD"/>
    <w:rsid w:val="30230B30"/>
    <w:rsid w:val="302A3C52"/>
    <w:rsid w:val="304C5976"/>
    <w:rsid w:val="30625C67"/>
    <w:rsid w:val="30B154C4"/>
    <w:rsid w:val="30C23E8A"/>
    <w:rsid w:val="30C776F3"/>
    <w:rsid w:val="30C96FC7"/>
    <w:rsid w:val="30E262DA"/>
    <w:rsid w:val="30EE1123"/>
    <w:rsid w:val="30F5600E"/>
    <w:rsid w:val="30FE1366"/>
    <w:rsid w:val="31032ADC"/>
    <w:rsid w:val="31142A7E"/>
    <w:rsid w:val="313A6AFF"/>
    <w:rsid w:val="31487073"/>
    <w:rsid w:val="31782DD9"/>
    <w:rsid w:val="317A6513"/>
    <w:rsid w:val="31B20610"/>
    <w:rsid w:val="31CF2D03"/>
    <w:rsid w:val="31D9592F"/>
    <w:rsid w:val="31F77CF3"/>
    <w:rsid w:val="322900D3"/>
    <w:rsid w:val="32384404"/>
    <w:rsid w:val="323E5792"/>
    <w:rsid w:val="32430FFB"/>
    <w:rsid w:val="3247469D"/>
    <w:rsid w:val="324C4353"/>
    <w:rsid w:val="32543208"/>
    <w:rsid w:val="32A41A99"/>
    <w:rsid w:val="32B17972"/>
    <w:rsid w:val="32C444C9"/>
    <w:rsid w:val="32FD564D"/>
    <w:rsid w:val="331A468B"/>
    <w:rsid w:val="332A0C75"/>
    <w:rsid w:val="332B3F69"/>
    <w:rsid w:val="333A23FE"/>
    <w:rsid w:val="333C43C8"/>
    <w:rsid w:val="33596D28"/>
    <w:rsid w:val="335A44BE"/>
    <w:rsid w:val="3367137C"/>
    <w:rsid w:val="33AE1854"/>
    <w:rsid w:val="33B57CD6"/>
    <w:rsid w:val="33D1609B"/>
    <w:rsid w:val="33D20888"/>
    <w:rsid w:val="33E02FA5"/>
    <w:rsid w:val="342E1F62"/>
    <w:rsid w:val="343926B5"/>
    <w:rsid w:val="34402B3D"/>
    <w:rsid w:val="348E0C53"/>
    <w:rsid w:val="34975C7C"/>
    <w:rsid w:val="349B511E"/>
    <w:rsid w:val="34E00D83"/>
    <w:rsid w:val="34F211E2"/>
    <w:rsid w:val="34FF5430"/>
    <w:rsid w:val="35284AC8"/>
    <w:rsid w:val="352D27C8"/>
    <w:rsid w:val="35347E38"/>
    <w:rsid w:val="35494B7A"/>
    <w:rsid w:val="354A310B"/>
    <w:rsid w:val="35505DD6"/>
    <w:rsid w:val="35553359"/>
    <w:rsid w:val="35581AD9"/>
    <w:rsid w:val="35585FE3"/>
    <w:rsid w:val="356A2A1B"/>
    <w:rsid w:val="358E07DF"/>
    <w:rsid w:val="35AB1391"/>
    <w:rsid w:val="35AC3AF6"/>
    <w:rsid w:val="35C2018C"/>
    <w:rsid w:val="35D05A62"/>
    <w:rsid w:val="35E46E9E"/>
    <w:rsid w:val="35E84393"/>
    <w:rsid w:val="36394BEF"/>
    <w:rsid w:val="36484E32"/>
    <w:rsid w:val="36590F32"/>
    <w:rsid w:val="36592B9B"/>
    <w:rsid w:val="36714388"/>
    <w:rsid w:val="36794389"/>
    <w:rsid w:val="367B6FB5"/>
    <w:rsid w:val="36951FA9"/>
    <w:rsid w:val="36AE738B"/>
    <w:rsid w:val="36DD2B5E"/>
    <w:rsid w:val="371170C8"/>
    <w:rsid w:val="373F7FE3"/>
    <w:rsid w:val="37423984"/>
    <w:rsid w:val="37517D16"/>
    <w:rsid w:val="375717D0"/>
    <w:rsid w:val="376033EE"/>
    <w:rsid w:val="37955E55"/>
    <w:rsid w:val="37985945"/>
    <w:rsid w:val="379E41B0"/>
    <w:rsid w:val="37C57441"/>
    <w:rsid w:val="37C624B2"/>
    <w:rsid w:val="37D72911"/>
    <w:rsid w:val="37DA4B4D"/>
    <w:rsid w:val="37ED5C91"/>
    <w:rsid w:val="37F7266B"/>
    <w:rsid w:val="38202C36"/>
    <w:rsid w:val="38345574"/>
    <w:rsid w:val="38420FFB"/>
    <w:rsid w:val="384344D3"/>
    <w:rsid w:val="384960F1"/>
    <w:rsid w:val="38867AC0"/>
    <w:rsid w:val="389363C0"/>
    <w:rsid w:val="38BF587F"/>
    <w:rsid w:val="38DC4F1C"/>
    <w:rsid w:val="38F7318E"/>
    <w:rsid w:val="39111E53"/>
    <w:rsid w:val="3925145A"/>
    <w:rsid w:val="3938092E"/>
    <w:rsid w:val="39783C80"/>
    <w:rsid w:val="39A20CFD"/>
    <w:rsid w:val="39BC3B6C"/>
    <w:rsid w:val="39C11183"/>
    <w:rsid w:val="39DC5FBD"/>
    <w:rsid w:val="39E860EF"/>
    <w:rsid w:val="39FC040D"/>
    <w:rsid w:val="39FC21BB"/>
    <w:rsid w:val="39FF3A59"/>
    <w:rsid w:val="3A60099C"/>
    <w:rsid w:val="3A773F37"/>
    <w:rsid w:val="3A784F22"/>
    <w:rsid w:val="3A960861"/>
    <w:rsid w:val="3A9B42B0"/>
    <w:rsid w:val="3AAC240A"/>
    <w:rsid w:val="3AB25A08"/>
    <w:rsid w:val="3AB94550"/>
    <w:rsid w:val="3AE74C19"/>
    <w:rsid w:val="3B334302"/>
    <w:rsid w:val="3B5677AE"/>
    <w:rsid w:val="3B651FE2"/>
    <w:rsid w:val="3B7B328E"/>
    <w:rsid w:val="3B9155C4"/>
    <w:rsid w:val="3BB62D86"/>
    <w:rsid w:val="3BBC60A6"/>
    <w:rsid w:val="3BC248A3"/>
    <w:rsid w:val="3BE032BE"/>
    <w:rsid w:val="3BE73A93"/>
    <w:rsid w:val="3C391737"/>
    <w:rsid w:val="3C412618"/>
    <w:rsid w:val="3C5A2C1F"/>
    <w:rsid w:val="3C5E715D"/>
    <w:rsid w:val="3C5F6A31"/>
    <w:rsid w:val="3C756255"/>
    <w:rsid w:val="3C8D17F0"/>
    <w:rsid w:val="3C920BB5"/>
    <w:rsid w:val="3CA80281"/>
    <w:rsid w:val="3CAB1C76"/>
    <w:rsid w:val="3CE84C78"/>
    <w:rsid w:val="3CEF24AB"/>
    <w:rsid w:val="3D015651"/>
    <w:rsid w:val="3D1941C2"/>
    <w:rsid w:val="3D1F4B30"/>
    <w:rsid w:val="3D391B04"/>
    <w:rsid w:val="3D4A7E6B"/>
    <w:rsid w:val="3D58706B"/>
    <w:rsid w:val="3D5B44A2"/>
    <w:rsid w:val="3D6D1627"/>
    <w:rsid w:val="3D6D517E"/>
    <w:rsid w:val="3DF12C92"/>
    <w:rsid w:val="3E103980"/>
    <w:rsid w:val="3E244C89"/>
    <w:rsid w:val="3E2E7003"/>
    <w:rsid w:val="3E3F4D6C"/>
    <w:rsid w:val="3E4E3201"/>
    <w:rsid w:val="3E524A9F"/>
    <w:rsid w:val="3E720C5E"/>
    <w:rsid w:val="3E991162"/>
    <w:rsid w:val="3EC4252E"/>
    <w:rsid w:val="3ED23E32"/>
    <w:rsid w:val="3EED2A1A"/>
    <w:rsid w:val="3F03223E"/>
    <w:rsid w:val="3F3356A6"/>
    <w:rsid w:val="3F4050D9"/>
    <w:rsid w:val="3F5605BF"/>
    <w:rsid w:val="3F714A5E"/>
    <w:rsid w:val="3F741A2E"/>
    <w:rsid w:val="3F780536"/>
    <w:rsid w:val="3F8A2017"/>
    <w:rsid w:val="3FBF6165"/>
    <w:rsid w:val="3FC512A1"/>
    <w:rsid w:val="3FC93A56"/>
    <w:rsid w:val="3FE24420"/>
    <w:rsid w:val="40365E08"/>
    <w:rsid w:val="408C387E"/>
    <w:rsid w:val="409869F8"/>
    <w:rsid w:val="40F0234E"/>
    <w:rsid w:val="40F938F8"/>
    <w:rsid w:val="40FC76C4"/>
    <w:rsid w:val="41173D7E"/>
    <w:rsid w:val="411B561D"/>
    <w:rsid w:val="41742E54"/>
    <w:rsid w:val="4181131A"/>
    <w:rsid w:val="41943621"/>
    <w:rsid w:val="419C6EE8"/>
    <w:rsid w:val="41AF045B"/>
    <w:rsid w:val="41B33AA7"/>
    <w:rsid w:val="41C53626"/>
    <w:rsid w:val="41EA6B79"/>
    <w:rsid w:val="41FB06EA"/>
    <w:rsid w:val="420A7835"/>
    <w:rsid w:val="420F4F91"/>
    <w:rsid w:val="422C1AAB"/>
    <w:rsid w:val="423A4139"/>
    <w:rsid w:val="425E0838"/>
    <w:rsid w:val="427A45C5"/>
    <w:rsid w:val="428C42F8"/>
    <w:rsid w:val="42A26ED8"/>
    <w:rsid w:val="42B10213"/>
    <w:rsid w:val="431542ED"/>
    <w:rsid w:val="432D5ADB"/>
    <w:rsid w:val="43334508"/>
    <w:rsid w:val="435E5C94"/>
    <w:rsid w:val="43617FED"/>
    <w:rsid w:val="43AE45BE"/>
    <w:rsid w:val="43C35BF6"/>
    <w:rsid w:val="43DC40C8"/>
    <w:rsid w:val="43EC32A0"/>
    <w:rsid w:val="44052968"/>
    <w:rsid w:val="441445A5"/>
    <w:rsid w:val="443D0038"/>
    <w:rsid w:val="44937BC0"/>
    <w:rsid w:val="44AC6EA4"/>
    <w:rsid w:val="44ED5522"/>
    <w:rsid w:val="45102FBE"/>
    <w:rsid w:val="451F07A9"/>
    <w:rsid w:val="459D4FF1"/>
    <w:rsid w:val="45CA775C"/>
    <w:rsid w:val="45FD1795"/>
    <w:rsid w:val="461E0F86"/>
    <w:rsid w:val="46715CDF"/>
    <w:rsid w:val="467F664E"/>
    <w:rsid w:val="46933EA7"/>
    <w:rsid w:val="46A42841"/>
    <w:rsid w:val="46C47DAA"/>
    <w:rsid w:val="46C91677"/>
    <w:rsid w:val="46D131DF"/>
    <w:rsid w:val="46D149CF"/>
    <w:rsid w:val="46D178D5"/>
    <w:rsid w:val="46E37EC5"/>
    <w:rsid w:val="46EB42D7"/>
    <w:rsid w:val="472F2E4F"/>
    <w:rsid w:val="476842AD"/>
    <w:rsid w:val="476D0B1E"/>
    <w:rsid w:val="479E5B05"/>
    <w:rsid w:val="47B5389A"/>
    <w:rsid w:val="47CF7161"/>
    <w:rsid w:val="47FB1D04"/>
    <w:rsid w:val="48206787"/>
    <w:rsid w:val="48474F49"/>
    <w:rsid w:val="4848504C"/>
    <w:rsid w:val="485960C4"/>
    <w:rsid w:val="48641F10"/>
    <w:rsid w:val="48733219"/>
    <w:rsid w:val="48961A2D"/>
    <w:rsid w:val="48B2162B"/>
    <w:rsid w:val="48B3417C"/>
    <w:rsid w:val="48BB1493"/>
    <w:rsid w:val="48BC4752"/>
    <w:rsid w:val="4904108C"/>
    <w:rsid w:val="491535A2"/>
    <w:rsid w:val="4929464F"/>
    <w:rsid w:val="493C4382"/>
    <w:rsid w:val="4959670F"/>
    <w:rsid w:val="498B355B"/>
    <w:rsid w:val="498B7DDE"/>
    <w:rsid w:val="499046CE"/>
    <w:rsid w:val="49920446"/>
    <w:rsid w:val="49990A3E"/>
    <w:rsid w:val="499A554C"/>
    <w:rsid w:val="49AD34D2"/>
    <w:rsid w:val="49B52386"/>
    <w:rsid w:val="49CD147E"/>
    <w:rsid w:val="49EB7B56"/>
    <w:rsid w:val="49F904C5"/>
    <w:rsid w:val="4A0A248B"/>
    <w:rsid w:val="4A233794"/>
    <w:rsid w:val="4A3B1213"/>
    <w:rsid w:val="4A5031FF"/>
    <w:rsid w:val="4A653DAC"/>
    <w:rsid w:val="4A677B24"/>
    <w:rsid w:val="4A6D4A0F"/>
    <w:rsid w:val="4A6F0787"/>
    <w:rsid w:val="4A8F4985"/>
    <w:rsid w:val="4A9A20A7"/>
    <w:rsid w:val="4AB26B4B"/>
    <w:rsid w:val="4AC93522"/>
    <w:rsid w:val="4AD17194"/>
    <w:rsid w:val="4AF40152"/>
    <w:rsid w:val="4AFD28C3"/>
    <w:rsid w:val="4B154C05"/>
    <w:rsid w:val="4B262808"/>
    <w:rsid w:val="4B5300A9"/>
    <w:rsid w:val="4B683B54"/>
    <w:rsid w:val="4B821E26"/>
    <w:rsid w:val="4BA06B2B"/>
    <w:rsid w:val="4BBC5C4E"/>
    <w:rsid w:val="4BE56F53"/>
    <w:rsid w:val="4BEE2D10"/>
    <w:rsid w:val="4BF076A6"/>
    <w:rsid w:val="4BF90C50"/>
    <w:rsid w:val="4C0558FE"/>
    <w:rsid w:val="4C0F5D7E"/>
    <w:rsid w:val="4C4D4AF8"/>
    <w:rsid w:val="4C943C93"/>
    <w:rsid w:val="4C9E7102"/>
    <w:rsid w:val="4CC57FBB"/>
    <w:rsid w:val="4CD54770"/>
    <w:rsid w:val="4CE52F83"/>
    <w:rsid w:val="4CE83F1B"/>
    <w:rsid w:val="4CF03E01"/>
    <w:rsid w:val="4CF11927"/>
    <w:rsid w:val="4D276770"/>
    <w:rsid w:val="4D611B11"/>
    <w:rsid w:val="4D84279B"/>
    <w:rsid w:val="4DA13C81"/>
    <w:rsid w:val="4DC81400"/>
    <w:rsid w:val="4DDA685F"/>
    <w:rsid w:val="4DFC7B4E"/>
    <w:rsid w:val="4E17716C"/>
    <w:rsid w:val="4E2F3CC8"/>
    <w:rsid w:val="4E2F60D9"/>
    <w:rsid w:val="4E573A0C"/>
    <w:rsid w:val="4E667CFE"/>
    <w:rsid w:val="4E885EE2"/>
    <w:rsid w:val="4E992277"/>
    <w:rsid w:val="4E9A2934"/>
    <w:rsid w:val="4EB044F2"/>
    <w:rsid w:val="4EB4216F"/>
    <w:rsid w:val="4EDD2163"/>
    <w:rsid w:val="4EFB7302"/>
    <w:rsid w:val="4F03473D"/>
    <w:rsid w:val="4F1D2FF6"/>
    <w:rsid w:val="4F271630"/>
    <w:rsid w:val="4F766114"/>
    <w:rsid w:val="4F7D56F4"/>
    <w:rsid w:val="4F836032"/>
    <w:rsid w:val="4FB66391"/>
    <w:rsid w:val="4FB95338"/>
    <w:rsid w:val="4FBA06F6"/>
    <w:rsid w:val="4FFF435B"/>
    <w:rsid w:val="50025BF9"/>
    <w:rsid w:val="506A5C79"/>
    <w:rsid w:val="5086582A"/>
    <w:rsid w:val="508A00C9"/>
    <w:rsid w:val="5099094E"/>
    <w:rsid w:val="509B22D6"/>
    <w:rsid w:val="509F0715"/>
    <w:rsid w:val="50A1677A"/>
    <w:rsid w:val="50A26FB0"/>
    <w:rsid w:val="50A44427"/>
    <w:rsid w:val="50B14219"/>
    <w:rsid w:val="50D940BE"/>
    <w:rsid w:val="50DB6B76"/>
    <w:rsid w:val="50DC335D"/>
    <w:rsid w:val="50DF4E72"/>
    <w:rsid w:val="50E46C80"/>
    <w:rsid w:val="50EC0D83"/>
    <w:rsid w:val="50EF617E"/>
    <w:rsid w:val="50F639B0"/>
    <w:rsid w:val="50F6575E"/>
    <w:rsid w:val="510908C5"/>
    <w:rsid w:val="510936E3"/>
    <w:rsid w:val="511A2CA6"/>
    <w:rsid w:val="51205B1A"/>
    <w:rsid w:val="51275918"/>
    <w:rsid w:val="513F0082"/>
    <w:rsid w:val="514778EE"/>
    <w:rsid w:val="514F1402"/>
    <w:rsid w:val="515A3F3F"/>
    <w:rsid w:val="51662594"/>
    <w:rsid w:val="51697291"/>
    <w:rsid w:val="517C0CB4"/>
    <w:rsid w:val="51BC0756"/>
    <w:rsid w:val="51D535C6"/>
    <w:rsid w:val="51D84E64"/>
    <w:rsid w:val="51DB16D8"/>
    <w:rsid w:val="51DC2BA6"/>
    <w:rsid w:val="51FB0B52"/>
    <w:rsid w:val="52237BBC"/>
    <w:rsid w:val="524D7600"/>
    <w:rsid w:val="525A7F6F"/>
    <w:rsid w:val="52730B24"/>
    <w:rsid w:val="52B86C7A"/>
    <w:rsid w:val="52CD24EF"/>
    <w:rsid w:val="52E46546"/>
    <w:rsid w:val="52E954AA"/>
    <w:rsid w:val="53346859"/>
    <w:rsid w:val="53360094"/>
    <w:rsid w:val="53472C1A"/>
    <w:rsid w:val="534F0956"/>
    <w:rsid w:val="535F0FB2"/>
    <w:rsid w:val="536B21A7"/>
    <w:rsid w:val="537A08C9"/>
    <w:rsid w:val="53907D16"/>
    <w:rsid w:val="53B13BBE"/>
    <w:rsid w:val="53B53A2F"/>
    <w:rsid w:val="53D77AC9"/>
    <w:rsid w:val="53ED158D"/>
    <w:rsid w:val="540957A8"/>
    <w:rsid w:val="5454278A"/>
    <w:rsid w:val="54684635"/>
    <w:rsid w:val="54691225"/>
    <w:rsid w:val="549A6509"/>
    <w:rsid w:val="54A43723"/>
    <w:rsid w:val="54B75204"/>
    <w:rsid w:val="54BE5DF6"/>
    <w:rsid w:val="54EB1352"/>
    <w:rsid w:val="550D751A"/>
    <w:rsid w:val="55237844"/>
    <w:rsid w:val="55442ED5"/>
    <w:rsid w:val="555E17BA"/>
    <w:rsid w:val="55976828"/>
    <w:rsid w:val="55A7171D"/>
    <w:rsid w:val="55B42837"/>
    <w:rsid w:val="55CF657E"/>
    <w:rsid w:val="55D6790C"/>
    <w:rsid w:val="55D904A2"/>
    <w:rsid w:val="560B5B9C"/>
    <w:rsid w:val="561548D9"/>
    <w:rsid w:val="56293EE0"/>
    <w:rsid w:val="56570F13"/>
    <w:rsid w:val="565A6E77"/>
    <w:rsid w:val="566B44F9"/>
    <w:rsid w:val="568A5F56"/>
    <w:rsid w:val="56B55774"/>
    <w:rsid w:val="56BD2A8C"/>
    <w:rsid w:val="56C314AD"/>
    <w:rsid w:val="56D025AE"/>
    <w:rsid w:val="56D05E7C"/>
    <w:rsid w:val="57261726"/>
    <w:rsid w:val="572D5C52"/>
    <w:rsid w:val="57401AE5"/>
    <w:rsid w:val="57405985"/>
    <w:rsid w:val="575046D6"/>
    <w:rsid w:val="57623B4D"/>
    <w:rsid w:val="578732D5"/>
    <w:rsid w:val="57914433"/>
    <w:rsid w:val="579653E4"/>
    <w:rsid w:val="57BE4AFC"/>
    <w:rsid w:val="580C7579"/>
    <w:rsid w:val="581D7A74"/>
    <w:rsid w:val="58512CAD"/>
    <w:rsid w:val="5889491C"/>
    <w:rsid w:val="58BB738F"/>
    <w:rsid w:val="58DA3BB7"/>
    <w:rsid w:val="58E00096"/>
    <w:rsid w:val="58EE45B5"/>
    <w:rsid w:val="58F509F1"/>
    <w:rsid w:val="58FA1B64"/>
    <w:rsid w:val="59142C25"/>
    <w:rsid w:val="59171E4F"/>
    <w:rsid w:val="59260BAB"/>
    <w:rsid w:val="593D6057"/>
    <w:rsid w:val="595A2602"/>
    <w:rsid w:val="595E20F3"/>
    <w:rsid w:val="597D4C6F"/>
    <w:rsid w:val="5991071A"/>
    <w:rsid w:val="59981AA8"/>
    <w:rsid w:val="59A26483"/>
    <w:rsid w:val="59E20F76"/>
    <w:rsid w:val="59E85E60"/>
    <w:rsid w:val="59E92304"/>
    <w:rsid w:val="5A0D04FE"/>
    <w:rsid w:val="5A602A52"/>
    <w:rsid w:val="5A680652"/>
    <w:rsid w:val="5A7276CE"/>
    <w:rsid w:val="5A751DEA"/>
    <w:rsid w:val="5A7616BE"/>
    <w:rsid w:val="5A7C4F26"/>
    <w:rsid w:val="5A886D08"/>
    <w:rsid w:val="5A9D30EE"/>
    <w:rsid w:val="5AAE2E96"/>
    <w:rsid w:val="5AD07755"/>
    <w:rsid w:val="5AFF3461"/>
    <w:rsid w:val="5B0C0196"/>
    <w:rsid w:val="5B13515F"/>
    <w:rsid w:val="5B4879AB"/>
    <w:rsid w:val="5B4D68C3"/>
    <w:rsid w:val="5B637E94"/>
    <w:rsid w:val="5B6836FC"/>
    <w:rsid w:val="5B8878FB"/>
    <w:rsid w:val="5B927124"/>
    <w:rsid w:val="5B996126"/>
    <w:rsid w:val="5BA81D4B"/>
    <w:rsid w:val="5BA95099"/>
    <w:rsid w:val="5BE10DB9"/>
    <w:rsid w:val="5BE75A38"/>
    <w:rsid w:val="5C24126F"/>
    <w:rsid w:val="5C247187"/>
    <w:rsid w:val="5C2C0286"/>
    <w:rsid w:val="5C476CD9"/>
    <w:rsid w:val="5C4C6B7A"/>
    <w:rsid w:val="5C4D2854"/>
    <w:rsid w:val="5C9127DF"/>
    <w:rsid w:val="5C9F4EFC"/>
    <w:rsid w:val="5CB5471F"/>
    <w:rsid w:val="5CFD7E74"/>
    <w:rsid w:val="5D112B98"/>
    <w:rsid w:val="5D2E002E"/>
    <w:rsid w:val="5D3B1FFA"/>
    <w:rsid w:val="5D3D64C3"/>
    <w:rsid w:val="5D4D3138"/>
    <w:rsid w:val="5D535CE6"/>
    <w:rsid w:val="5D5F468B"/>
    <w:rsid w:val="5D681792"/>
    <w:rsid w:val="5D7F6ADB"/>
    <w:rsid w:val="5D810AA5"/>
    <w:rsid w:val="5D8A2EEE"/>
    <w:rsid w:val="5D9500AD"/>
    <w:rsid w:val="5D9C58DF"/>
    <w:rsid w:val="5DCF390D"/>
    <w:rsid w:val="5E062D59"/>
    <w:rsid w:val="5E1B1E70"/>
    <w:rsid w:val="5E1B24AC"/>
    <w:rsid w:val="5E40626B"/>
    <w:rsid w:val="5E421FE3"/>
    <w:rsid w:val="5E711293"/>
    <w:rsid w:val="5E930A90"/>
    <w:rsid w:val="5E97265D"/>
    <w:rsid w:val="5E9F0B36"/>
    <w:rsid w:val="5EEA636E"/>
    <w:rsid w:val="5EEC0743"/>
    <w:rsid w:val="5EEE5CC7"/>
    <w:rsid w:val="5F1119B5"/>
    <w:rsid w:val="5F1C7F91"/>
    <w:rsid w:val="5F2F29E7"/>
    <w:rsid w:val="5F474D58"/>
    <w:rsid w:val="5F6B37BB"/>
    <w:rsid w:val="5F941697"/>
    <w:rsid w:val="5FA010AD"/>
    <w:rsid w:val="5FAD3EA6"/>
    <w:rsid w:val="5FCE2AFF"/>
    <w:rsid w:val="5FDE1BD7"/>
    <w:rsid w:val="6007774F"/>
    <w:rsid w:val="600D2F67"/>
    <w:rsid w:val="6018085C"/>
    <w:rsid w:val="6026553D"/>
    <w:rsid w:val="602F2A3B"/>
    <w:rsid w:val="603B318E"/>
    <w:rsid w:val="604C7149"/>
    <w:rsid w:val="606049A2"/>
    <w:rsid w:val="606A0282"/>
    <w:rsid w:val="607C7302"/>
    <w:rsid w:val="60A725D1"/>
    <w:rsid w:val="60B44CEE"/>
    <w:rsid w:val="60BD0047"/>
    <w:rsid w:val="60D4713E"/>
    <w:rsid w:val="60E05AE3"/>
    <w:rsid w:val="60EC092C"/>
    <w:rsid w:val="61023899"/>
    <w:rsid w:val="610B7004"/>
    <w:rsid w:val="612E63B4"/>
    <w:rsid w:val="61916B0D"/>
    <w:rsid w:val="61931106"/>
    <w:rsid w:val="619F774C"/>
    <w:rsid w:val="61A44D62"/>
    <w:rsid w:val="61BA3A95"/>
    <w:rsid w:val="61BC672D"/>
    <w:rsid w:val="61C6184A"/>
    <w:rsid w:val="61C827FF"/>
    <w:rsid w:val="61E33ADD"/>
    <w:rsid w:val="62141EE8"/>
    <w:rsid w:val="625452C6"/>
    <w:rsid w:val="626F4EE8"/>
    <w:rsid w:val="628D57F7"/>
    <w:rsid w:val="6291178B"/>
    <w:rsid w:val="62943029"/>
    <w:rsid w:val="62A6588B"/>
    <w:rsid w:val="62B9483E"/>
    <w:rsid w:val="62C4557B"/>
    <w:rsid w:val="62C47BB7"/>
    <w:rsid w:val="62CF344C"/>
    <w:rsid w:val="62F6339C"/>
    <w:rsid w:val="634E6FF6"/>
    <w:rsid w:val="63576530"/>
    <w:rsid w:val="636447A9"/>
    <w:rsid w:val="636C0B67"/>
    <w:rsid w:val="63B2759E"/>
    <w:rsid w:val="63B82D47"/>
    <w:rsid w:val="64096AB8"/>
    <w:rsid w:val="64127E15"/>
    <w:rsid w:val="643D6B18"/>
    <w:rsid w:val="645C60CA"/>
    <w:rsid w:val="64872E45"/>
    <w:rsid w:val="64AB25A7"/>
    <w:rsid w:val="64C473E4"/>
    <w:rsid w:val="64DB4055"/>
    <w:rsid w:val="64F8639C"/>
    <w:rsid w:val="64FD353D"/>
    <w:rsid w:val="64FD6C64"/>
    <w:rsid w:val="65046244"/>
    <w:rsid w:val="65075D34"/>
    <w:rsid w:val="650E133C"/>
    <w:rsid w:val="6530590C"/>
    <w:rsid w:val="653819FD"/>
    <w:rsid w:val="65385EEE"/>
    <w:rsid w:val="65442AE4"/>
    <w:rsid w:val="65444892"/>
    <w:rsid w:val="6582360D"/>
    <w:rsid w:val="65A60E34"/>
    <w:rsid w:val="65BF6441"/>
    <w:rsid w:val="65E87914"/>
    <w:rsid w:val="660B63D5"/>
    <w:rsid w:val="661A3845"/>
    <w:rsid w:val="661F0C50"/>
    <w:rsid w:val="662E4F41"/>
    <w:rsid w:val="662E655A"/>
    <w:rsid w:val="66456B14"/>
    <w:rsid w:val="6660394E"/>
    <w:rsid w:val="66925AD1"/>
    <w:rsid w:val="6692787F"/>
    <w:rsid w:val="669E6224"/>
    <w:rsid w:val="66B07D06"/>
    <w:rsid w:val="66B23A7E"/>
    <w:rsid w:val="66C0263F"/>
    <w:rsid w:val="66DE317A"/>
    <w:rsid w:val="6703252B"/>
    <w:rsid w:val="67095EFE"/>
    <w:rsid w:val="67187025"/>
    <w:rsid w:val="672D1356"/>
    <w:rsid w:val="67325677"/>
    <w:rsid w:val="676228A5"/>
    <w:rsid w:val="67674868"/>
    <w:rsid w:val="6796109C"/>
    <w:rsid w:val="67AA3450"/>
    <w:rsid w:val="67B00EEE"/>
    <w:rsid w:val="67BF12CC"/>
    <w:rsid w:val="67C9107F"/>
    <w:rsid w:val="67DA14DE"/>
    <w:rsid w:val="68393729"/>
    <w:rsid w:val="68550B65"/>
    <w:rsid w:val="686D7CF2"/>
    <w:rsid w:val="689C0E96"/>
    <w:rsid w:val="68B03FED"/>
    <w:rsid w:val="68BE495C"/>
    <w:rsid w:val="68BE670A"/>
    <w:rsid w:val="68C06926"/>
    <w:rsid w:val="68CA3301"/>
    <w:rsid w:val="68DC5DC1"/>
    <w:rsid w:val="68F241F9"/>
    <w:rsid w:val="69164798"/>
    <w:rsid w:val="69236FA2"/>
    <w:rsid w:val="693E784B"/>
    <w:rsid w:val="695168BB"/>
    <w:rsid w:val="69561038"/>
    <w:rsid w:val="69660123"/>
    <w:rsid w:val="69935DE8"/>
    <w:rsid w:val="699B184D"/>
    <w:rsid w:val="699E52CA"/>
    <w:rsid w:val="69A33C31"/>
    <w:rsid w:val="69B72D0E"/>
    <w:rsid w:val="69DA12FC"/>
    <w:rsid w:val="69DD7064"/>
    <w:rsid w:val="69E314D4"/>
    <w:rsid w:val="69E43DC8"/>
    <w:rsid w:val="69F55AF1"/>
    <w:rsid w:val="6A025186"/>
    <w:rsid w:val="6A050368"/>
    <w:rsid w:val="6A132A85"/>
    <w:rsid w:val="6A2850E0"/>
    <w:rsid w:val="6A2D2F30"/>
    <w:rsid w:val="6A4D56EB"/>
    <w:rsid w:val="6A5A06B4"/>
    <w:rsid w:val="6AB04F29"/>
    <w:rsid w:val="6AB75F85"/>
    <w:rsid w:val="6ACD532A"/>
    <w:rsid w:val="6ACE4BFE"/>
    <w:rsid w:val="6AF04982"/>
    <w:rsid w:val="6AF83CC2"/>
    <w:rsid w:val="6B4A4B8E"/>
    <w:rsid w:val="6B587B11"/>
    <w:rsid w:val="6B737C7F"/>
    <w:rsid w:val="6B767655"/>
    <w:rsid w:val="6B7B2FD8"/>
    <w:rsid w:val="6B7B4D86"/>
    <w:rsid w:val="6B8A321B"/>
    <w:rsid w:val="6BC6418E"/>
    <w:rsid w:val="6BC95AF1"/>
    <w:rsid w:val="6BD118E0"/>
    <w:rsid w:val="6C034850"/>
    <w:rsid w:val="6C2925C5"/>
    <w:rsid w:val="6C2B67AC"/>
    <w:rsid w:val="6C2C6080"/>
    <w:rsid w:val="6C44786E"/>
    <w:rsid w:val="6C5A2BED"/>
    <w:rsid w:val="6C6B55C9"/>
    <w:rsid w:val="6C733CAF"/>
    <w:rsid w:val="6C783074"/>
    <w:rsid w:val="6C8D2FC3"/>
    <w:rsid w:val="6C8E0AE9"/>
    <w:rsid w:val="6C934639"/>
    <w:rsid w:val="6CA24CE0"/>
    <w:rsid w:val="6CAC3500"/>
    <w:rsid w:val="6CDC6DEC"/>
    <w:rsid w:val="6CE73CE4"/>
    <w:rsid w:val="6D0B1684"/>
    <w:rsid w:val="6D11399E"/>
    <w:rsid w:val="6D13444A"/>
    <w:rsid w:val="6D34781D"/>
    <w:rsid w:val="6D3E250F"/>
    <w:rsid w:val="6D512242"/>
    <w:rsid w:val="6D544AB7"/>
    <w:rsid w:val="6D6D06FE"/>
    <w:rsid w:val="6D9143ED"/>
    <w:rsid w:val="6D9F3ECB"/>
    <w:rsid w:val="6DA305C4"/>
    <w:rsid w:val="6DCD1AD1"/>
    <w:rsid w:val="6DD44130"/>
    <w:rsid w:val="6DE43259"/>
    <w:rsid w:val="6DF901E4"/>
    <w:rsid w:val="6E37248A"/>
    <w:rsid w:val="6E454A88"/>
    <w:rsid w:val="6E49116B"/>
    <w:rsid w:val="6E5D3C22"/>
    <w:rsid w:val="6E781A51"/>
    <w:rsid w:val="6E8201DA"/>
    <w:rsid w:val="6EBC7B8F"/>
    <w:rsid w:val="6ED722D3"/>
    <w:rsid w:val="6F081C56"/>
    <w:rsid w:val="6F0C6075"/>
    <w:rsid w:val="6F0D2199"/>
    <w:rsid w:val="6F202742"/>
    <w:rsid w:val="6F5539F4"/>
    <w:rsid w:val="6F7D5105"/>
    <w:rsid w:val="6FAA3E8C"/>
    <w:rsid w:val="6FB51D16"/>
    <w:rsid w:val="6FBA262B"/>
    <w:rsid w:val="6FFD078A"/>
    <w:rsid w:val="702C48A1"/>
    <w:rsid w:val="70371236"/>
    <w:rsid w:val="703E016E"/>
    <w:rsid w:val="70457711"/>
    <w:rsid w:val="7055204A"/>
    <w:rsid w:val="70716758"/>
    <w:rsid w:val="70802475"/>
    <w:rsid w:val="70967F6C"/>
    <w:rsid w:val="70972567"/>
    <w:rsid w:val="7099056B"/>
    <w:rsid w:val="70A5002E"/>
    <w:rsid w:val="70AB7EBB"/>
    <w:rsid w:val="70D50A94"/>
    <w:rsid w:val="70DB1A99"/>
    <w:rsid w:val="70E65DAA"/>
    <w:rsid w:val="718F50E7"/>
    <w:rsid w:val="71BE59CD"/>
    <w:rsid w:val="71C8684B"/>
    <w:rsid w:val="72113D4E"/>
    <w:rsid w:val="7232198D"/>
    <w:rsid w:val="723975B6"/>
    <w:rsid w:val="726522EC"/>
    <w:rsid w:val="72702362"/>
    <w:rsid w:val="72707F2B"/>
    <w:rsid w:val="727F0ABA"/>
    <w:rsid w:val="729660C5"/>
    <w:rsid w:val="72A45C71"/>
    <w:rsid w:val="72F22421"/>
    <w:rsid w:val="72FA6ED8"/>
    <w:rsid w:val="72FC4436"/>
    <w:rsid w:val="72FD0776"/>
    <w:rsid w:val="73010267"/>
    <w:rsid w:val="730B4C41"/>
    <w:rsid w:val="7315161C"/>
    <w:rsid w:val="73243F55"/>
    <w:rsid w:val="73372296"/>
    <w:rsid w:val="734B14E2"/>
    <w:rsid w:val="73532EFF"/>
    <w:rsid w:val="736A5E0C"/>
    <w:rsid w:val="73A36A45"/>
    <w:rsid w:val="73A429A0"/>
    <w:rsid w:val="73E55492"/>
    <w:rsid w:val="74365CEE"/>
    <w:rsid w:val="74381A66"/>
    <w:rsid w:val="74434C5D"/>
    <w:rsid w:val="746418F9"/>
    <w:rsid w:val="747B36E0"/>
    <w:rsid w:val="7480340D"/>
    <w:rsid w:val="74844CAB"/>
    <w:rsid w:val="749A44CF"/>
    <w:rsid w:val="749D4215"/>
    <w:rsid w:val="74EC5473"/>
    <w:rsid w:val="75491A51"/>
    <w:rsid w:val="754E52B9"/>
    <w:rsid w:val="755C02F8"/>
    <w:rsid w:val="755F3023"/>
    <w:rsid w:val="75671ED7"/>
    <w:rsid w:val="757D16FB"/>
    <w:rsid w:val="75D752AF"/>
    <w:rsid w:val="76111642"/>
    <w:rsid w:val="76700D5C"/>
    <w:rsid w:val="767D7C04"/>
    <w:rsid w:val="767F11F8"/>
    <w:rsid w:val="76B455F0"/>
    <w:rsid w:val="76B85D65"/>
    <w:rsid w:val="76E063E5"/>
    <w:rsid w:val="76EB7264"/>
    <w:rsid w:val="770A59BD"/>
    <w:rsid w:val="771340C5"/>
    <w:rsid w:val="77167B54"/>
    <w:rsid w:val="77242776"/>
    <w:rsid w:val="77446974"/>
    <w:rsid w:val="774C5829"/>
    <w:rsid w:val="777E5B62"/>
    <w:rsid w:val="77A964E9"/>
    <w:rsid w:val="77DC6BAC"/>
    <w:rsid w:val="77E45A61"/>
    <w:rsid w:val="77F83AFA"/>
    <w:rsid w:val="782D178F"/>
    <w:rsid w:val="784C0C88"/>
    <w:rsid w:val="78650756"/>
    <w:rsid w:val="78866B18"/>
    <w:rsid w:val="78917997"/>
    <w:rsid w:val="79002D6F"/>
    <w:rsid w:val="79540DA5"/>
    <w:rsid w:val="7956298E"/>
    <w:rsid w:val="79A67426"/>
    <w:rsid w:val="79A722B9"/>
    <w:rsid w:val="79D20267"/>
    <w:rsid w:val="79DD6C0C"/>
    <w:rsid w:val="79E927AD"/>
    <w:rsid w:val="79E95C63"/>
    <w:rsid w:val="7A291E51"/>
    <w:rsid w:val="7A293872"/>
    <w:rsid w:val="7A2D66DC"/>
    <w:rsid w:val="7A2E1215"/>
    <w:rsid w:val="7A573842"/>
    <w:rsid w:val="7A5A3706"/>
    <w:rsid w:val="7AB47FDB"/>
    <w:rsid w:val="7AC322A6"/>
    <w:rsid w:val="7AC72D12"/>
    <w:rsid w:val="7B054F71"/>
    <w:rsid w:val="7B18439F"/>
    <w:rsid w:val="7B1D7C08"/>
    <w:rsid w:val="7B346CFF"/>
    <w:rsid w:val="7B351610"/>
    <w:rsid w:val="7B560A24"/>
    <w:rsid w:val="7B6018A2"/>
    <w:rsid w:val="7B6F1AE6"/>
    <w:rsid w:val="7BA576F6"/>
    <w:rsid w:val="7BC03C6D"/>
    <w:rsid w:val="7C08626D"/>
    <w:rsid w:val="7C091F3A"/>
    <w:rsid w:val="7C0B0371"/>
    <w:rsid w:val="7C1C7EBF"/>
    <w:rsid w:val="7C1E59E5"/>
    <w:rsid w:val="7C37432E"/>
    <w:rsid w:val="7C5C650E"/>
    <w:rsid w:val="7C7F3FAA"/>
    <w:rsid w:val="7C923CDE"/>
    <w:rsid w:val="7C99155C"/>
    <w:rsid w:val="7C9C3600"/>
    <w:rsid w:val="7CA345C3"/>
    <w:rsid w:val="7CAA1027"/>
    <w:rsid w:val="7CAE70CB"/>
    <w:rsid w:val="7CB262EF"/>
    <w:rsid w:val="7CB773CF"/>
    <w:rsid w:val="7CD235A2"/>
    <w:rsid w:val="7CD67752"/>
    <w:rsid w:val="7CDB5685"/>
    <w:rsid w:val="7D20578D"/>
    <w:rsid w:val="7D364FB1"/>
    <w:rsid w:val="7D4F1BCF"/>
    <w:rsid w:val="7D8775BA"/>
    <w:rsid w:val="7D8B620F"/>
    <w:rsid w:val="7E120B23"/>
    <w:rsid w:val="7E5629DB"/>
    <w:rsid w:val="7E6B0C8A"/>
    <w:rsid w:val="7E7164B0"/>
    <w:rsid w:val="7E771B84"/>
    <w:rsid w:val="7EAF0B77"/>
    <w:rsid w:val="7EBC14E6"/>
    <w:rsid w:val="7EF23159"/>
    <w:rsid w:val="7F134E9A"/>
    <w:rsid w:val="7F141322"/>
    <w:rsid w:val="7F323CC5"/>
    <w:rsid w:val="7F3472CE"/>
    <w:rsid w:val="7F4A4D43"/>
    <w:rsid w:val="7F616104"/>
    <w:rsid w:val="7F9B559F"/>
    <w:rsid w:val="7F9E2999"/>
    <w:rsid w:val="7FB8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3">
    <w:name w:val="annotation text"/>
    <w:basedOn w:val="1"/>
    <w:link w:val="23"/>
    <w:semiHidden/>
    <w:unhideWhenUsed/>
    <w:qFormat/>
    <w:uiPriority w:val="99"/>
    <w:pPr>
      <w:jc w:val="left"/>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footnote text"/>
    <w:basedOn w:val="1"/>
    <w:semiHidden/>
    <w:unhideWhenUsed/>
    <w:qFormat/>
    <w:uiPriority w:val="99"/>
    <w:pPr>
      <w:snapToGrid w:val="0"/>
      <w:jc w:val="left"/>
    </w:pPr>
    <w:rPr>
      <w:sz w:val="18"/>
    </w:rPr>
  </w:style>
  <w:style w:type="paragraph" w:styleId="8">
    <w:name w:val="index 9"/>
    <w:basedOn w:val="1"/>
    <w:next w:val="1"/>
    <w:qFormat/>
    <w:uiPriority w:val="0"/>
    <w:pPr>
      <w:ind w:left="3360"/>
    </w:pPr>
  </w:style>
  <w:style w:type="paragraph" w:styleId="9">
    <w:name w:val="toc 2"/>
    <w:basedOn w:val="1"/>
    <w:next w:val="1"/>
    <w:semiHidden/>
    <w:unhideWhenUsed/>
    <w:qFormat/>
    <w:uiPriority w:val="39"/>
    <w:pPr>
      <w:ind w:left="420" w:leftChars="200"/>
    </w:pPr>
  </w:style>
  <w:style w:type="paragraph" w:styleId="1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annotation subject"/>
    <w:basedOn w:val="3"/>
    <w:next w:val="3"/>
    <w:link w:val="24"/>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styleId="15">
    <w:name w:val="footnote reference"/>
    <w:basedOn w:val="13"/>
    <w:semiHidden/>
    <w:unhideWhenUsed/>
    <w:qFormat/>
    <w:uiPriority w:val="99"/>
    <w:rPr>
      <w:vertAlign w:val="superscript"/>
    </w:rPr>
  </w:style>
  <w:style w:type="character" w:customStyle="1" w:styleId="16">
    <w:name w:val="页眉 字符"/>
    <w:basedOn w:val="13"/>
    <w:link w:val="5"/>
    <w:qFormat/>
    <w:uiPriority w:val="99"/>
    <w:rPr>
      <w:kern w:val="2"/>
      <w:sz w:val="18"/>
      <w:szCs w:val="18"/>
    </w:rPr>
  </w:style>
  <w:style w:type="character" w:customStyle="1" w:styleId="17">
    <w:name w:val="页脚 字符"/>
    <w:basedOn w:val="13"/>
    <w:link w:val="4"/>
    <w:qFormat/>
    <w:uiPriority w:val="99"/>
    <w:rPr>
      <w:kern w:val="2"/>
      <w:sz w:val="18"/>
      <w:szCs w:val="18"/>
    </w:rPr>
  </w:style>
  <w:style w:type="paragraph" w:customStyle="1" w:styleId="18">
    <w:name w:val="_Style 21"/>
    <w:basedOn w:val="1"/>
    <w:next w:val="1"/>
    <w:qFormat/>
    <w:uiPriority w:val="0"/>
    <w:pPr>
      <w:pBdr>
        <w:bottom w:val="single" w:color="auto" w:sz="6" w:space="1"/>
      </w:pBdr>
      <w:jc w:val="center"/>
    </w:pPr>
    <w:rPr>
      <w:rFonts w:ascii="Arial" w:eastAsia="宋体"/>
      <w:vanish/>
      <w:sz w:val="16"/>
    </w:rPr>
  </w:style>
  <w:style w:type="character" w:customStyle="1" w:styleId="19">
    <w:name w:val="UserStyle_1"/>
    <w:qFormat/>
    <w:uiPriority w:val="0"/>
    <w:rPr>
      <w:rFonts w:ascii="Calibri" w:hAnsi="Calibri" w:eastAsia="宋体" w:cs="宋体"/>
      <w:kern w:val="2"/>
      <w:sz w:val="21"/>
      <w:szCs w:val="24"/>
      <w:lang w:val="en-US" w:eastAsia="zh-CN" w:bidi="ar-SA"/>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字符"/>
    <w:basedOn w:val="13"/>
    <w:link w:val="3"/>
    <w:semiHidden/>
    <w:qFormat/>
    <w:uiPriority w:val="99"/>
    <w:rPr>
      <w:rFonts w:asciiTheme="minorHAnsi" w:hAnsiTheme="minorHAnsi" w:eastAsiaTheme="minorEastAsia" w:cstheme="minorBidi"/>
      <w:kern w:val="2"/>
      <w:sz w:val="21"/>
      <w:szCs w:val="22"/>
    </w:rPr>
  </w:style>
  <w:style w:type="character" w:customStyle="1" w:styleId="24">
    <w:name w:val="批注主题 字符"/>
    <w:basedOn w:val="23"/>
    <w:link w:val="11"/>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2695</Words>
  <Characters>2900</Characters>
  <Lines>130</Lines>
  <Paragraphs>36</Paragraphs>
  <TotalTime>31</TotalTime>
  <ScaleCrop>false</ScaleCrop>
  <LinksUpToDate>false</LinksUpToDate>
  <CharactersWithSpaces>2901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2023-01-07T06:14:00Z</dcterms:created>
  <dc:creator>机智</dc:creator>
  <cp:lastModifiedBy>杨勇</cp:lastModifiedBy>
  <dcterms:modified xsi:type="dcterms:W3CDTF">2023-01-23T00:56:51Z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695B6804AA574A2091BC8456AD124E5B</vt:lpwstr>
  </property>
</Properties>
</file>