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cs="楷体"/>
          <w:b/>
          <w:bCs/>
          <w:sz w:val="44"/>
          <w:szCs w:val="44"/>
        </w:rPr>
      </w:pPr>
    </w:p>
    <w:p>
      <w:pPr>
        <w:jc w:val="center"/>
        <w:rPr>
          <w:rFonts w:ascii="楷体" w:hAnsi="楷体" w:eastAsia="楷体" w:cs="楷体"/>
          <w:b/>
          <w:bCs/>
          <w:sz w:val="44"/>
          <w:szCs w:val="44"/>
        </w:rPr>
      </w:pPr>
    </w:p>
    <w:p>
      <w:pPr>
        <w:jc w:val="center"/>
        <w:rPr>
          <w:rFonts w:ascii="楷体" w:hAnsi="楷体" w:eastAsia="楷体" w:cs="楷体"/>
          <w:b/>
          <w:bCs/>
          <w:sz w:val="44"/>
          <w:szCs w:val="44"/>
        </w:rPr>
      </w:pPr>
    </w:p>
    <w:p>
      <w:pPr>
        <w:jc w:val="center"/>
        <w:rPr>
          <w:rFonts w:ascii="楷体" w:hAnsi="楷体" w:eastAsia="楷体" w:cs="楷体"/>
          <w:b/>
          <w:bCs/>
          <w:sz w:val="44"/>
          <w:szCs w:val="44"/>
        </w:rPr>
      </w:pPr>
    </w:p>
    <w:p>
      <w:pPr>
        <w:jc w:val="center"/>
        <w:rPr>
          <w:rFonts w:ascii="楷体" w:hAnsi="楷体" w:eastAsia="楷体" w:cs="楷体"/>
          <w:b/>
          <w:bCs/>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楷体" w:hAnsi="楷体" w:eastAsia="楷体" w:cs="楷体"/>
          <w:b/>
          <w:bCs/>
          <w:sz w:val="44"/>
          <w:szCs w:val="44"/>
        </w:rPr>
      </w:pPr>
      <w:bookmarkStart w:id="0" w:name="_Toc7770"/>
      <w:bookmarkStart w:id="1" w:name="_Toc4144"/>
      <w:bookmarkStart w:id="2" w:name="_Toc7987"/>
      <w:r>
        <w:rPr>
          <w:rFonts w:hint="eastAsia" w:ascii="楷体" w:hAnsi="楷体" w:eastAsia="楷体" w:cs="楷体"/>
          <w:b/>
          <w:bCs/>
          <w:sz w:val="44"/>
          <w:szCs w:val="44"/>
        </w:rPr>
        <w:t>伊金霍洛旗住房和城乡建设局</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楷体" w:hAnsi="楷体" w:eastAsia="楷体" w:cs="楷体"/>
          <w:b/>
          <w:bCs/>
          <w:sz w:val="44"/>
          <w:szCs w:val="44"/>
        </w:rPr>
      </w:pPr>
      <w:bookmarkStart w:id="3" w:name="_Toc6918"/>
      <w:bookmarkStart w:id="4" w:name="_Toc7615"/>
      <w:bookmarkStart w:id="5" w:name="_Toc11174"/>
      <w:r>
        <w:rPr>
          <w:rFonts w:hint="eastAsia" w:ascii="楷体" w:hAnsi="楷体" w:eastAsia="楷体" w:cs="楷体"/>
          <w:b/>
          <w:bCs/>
          <w:sz w:val="44"/>
          <w:szCs w:val="44"/>
        </w:rPr>
        <w:t>社区健身器材和</w:t>
      </w:r>
      <w:bookmarkStart w:id="76" w:name="_GoBack"/>
      <w:bookmarkEnd w:id="76"/>
      <w:r>
        <w:rPr>
          <w:rFonts w:hint="eastAsia" w:ascii="楷体" w:hAnsi="楷体" w:eastAsia="楷体" w:cs="楷体"/>
          <w:b/>
          <w:bCs/>
          <w:sz w:val="44"/>
          <w:szCs w:val="44"/>
        </w:rPr>
        <w:t>儿童游乐设施安装项目</w:t>
      </w:r>
      <w:bookmarkEnd w:id="3"/>
      <w:bookmarkEnd w:id="4"/>
      <w:bookmarkEnd w:id="5"/>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楷体" w:hAnsi="楷体" w:eastAsia="楷体" w:cs="楷体"/>
          <w:b/>
          <w:bCs/>
          <w:sz w:val="44"/>
          <w:szCs w:val="44"/>
          <w:lang w:val="zh-CN"/>
        </w:rPr>
      </w:pPr>
      <w:r>
        <w:rPr>
          <w:rFonts w:hint="eastAsia" w:ascii="楷体" w:hAnsi="楷体" w:eastAsia="楷体" w:cs="楷体"/>
          <w:b/>
          <w:bCs/>
          <w:sz w:val="44"/>
          <w:szCs w:val="44"/>
          <w:lang w:val="zh-CN"/>
        </w:rPr>
        <w:t>绩效评</w:t>
      </w:r>
      <w:r>
        <w:rPr>
          <w:rFonts w:hint="eastAsia" w:ascii="楷体" w:hAnsi="楷体" w:eastAsia="楷体" w:cs="楷体"/>
          <w:b/>
          <w:bCs/>
          <w:sz w:val="44"/>
          <w:szCs w:val="44"/>
        </w:rPr>
        <w:t>估</w:t>
      </w:r>
      <w:r>
        <w:rPr>
          <w:rFonts w:hint="eastAsia" w:ascii="楷体" w:hAnsi="楷体" w:eastAsia="楷体" w:cs="楷体"/>
          <w:b/>
          <w:bCs/>
          <w:sz w:val="44"/>
          <w:szCs w:val="44"/>
          <w:lang w:eastAsia="zh-CN"/>
        </w:rPr>
        <w:t>简要</w:t>
      </w:r>
      <w:r>
        <w:rPr>
          <w:rFonts w:hint="eastAsia" w:ascii="楷体" w:hAnsi="楷体" w:eastAsia="楷体" w:cs="楷体"/>
          <w:b/>
          <w:bCs/>
          <w:sz w:val="44"/>
          <w:szCs w:val="44"/>
          <w:lang w:val="zh-CN"/>
        </w:rPr>
        <w:t>报告</w:t>
      </w:r>
    </w:p>
    <w:p>
      <w:pPr>
        <w:jc w:val="center"/>
        <w:rPr>
          <w:rFonts w:ascii="楷体" w:hAnsi="楷体" w:eastAsia="楷体" w:cs="楷体"/>
          <w:b/>
          <w:bCs/>
          <w:sz w:val="44"/>
          <w:szCs w:val="44"/>
        </w:rPr>
      </w:pPr>
    </w:p>
    <w:p>
      <w:pPr>
        <w:jc w:val="center"/>
        <w:rPr>
          <w:rFonts w:ascii="楷体" w:hAnsi="楷体" w:eastAsia="楷体" w:cs="楷体"/>
          <w:b/>
          <w:bCs/>
          <w:sz w:val="44"/>
          <w:szCs w:val="44"/>
        </w:rPr>
      </w:pPr>
    </w:p>
    <w:p>
      <w:pPr>
        <w:jc w:val="center"/>
        <w:rPr>
          <w:rFonts w:ascii="楷体" w:hAnsi="楷体" w:eastAsia="楷体" w:cs="楷体"/>
          <w:b/>
          <w:bCs/>
          <w:sz w:val="44"/>
          <w:szCs w:val="44"/>
        </w:rPr>
      </w:pPr>
    </w:p>
    <w:p>
      <w:pPr>
        <w:jc w:val="center"/>
        <w:rPr>
          <w:rFonts w:ascii="楷体" w:hAnsi="楷体" w:eastAsia="楷体" w:cs="楷体"/>
          <w:b/>
          <w:bCs/>
          <w:sz w:val="44"/>
          <w:szCs w:val="44"/>
        </w:rPr>
      </w:pPr>
    </w:p>
    <w:p>
      <w:pPr>
        <w:jc w:val="center"/>
        <w:rPr>
          <w:rFonts w:ascii="楷体" w:hAnsi="楷体" w:eastAsia="楷体" w:cs="楷体"/>
          <w:b/>
          <w:bCs/>
          <w:sz w:val="44"/>
          <w:szCs w:val="44"/>
        </w:rPr>
      </w:pPr>
    </w:p>
    <w:p>
      <w:pPr>
        <w:jc w:val="both"/>
        <w:rPr>
          <w:rFonts w:ascii="楷体" w:hAnsi="楷体" w:eastAsia="楷体" w:cs="楷体"/>
          <w:b/>
          <w:bCs/>
          <w:sz w:val="44"/>
          <w:szCs w:val="44"/>
        </w:rPr>
      </w:pPr>
    </w:p>
    <w:p>
      <w:pPr>
        <w:spacing w:line="600" w:lineRule="exact"/>
        <w:jc w:val="center"/>
        <w:outlineLvl w:val="0"/>
        <w:rPr>
          <w:rFonts w:ascii="楷体" w:hAnsi="楷体" w:eastAsia="楷体" w:cs="Times New Roman"/>
          <w:b/>
          <w:sz w:val="44"/>
          <w:szCs w:val="44"/>
        </w:rPr>
      </w:pPr>
      <w:bookmarkStart w:id="6" w:name="_Toc5781"/>
      <w:bookmarkStart w:id="7" w:name="_Toc30570"/>
      <w:bookmarkStart w:id="8" w:name="_Toc16336"/>
      <w:r>
        <w:rPr>
          <w:rFonts w:hint="eastAsia" w:ascii="楷体" w:hAnsi="楷体" w:eastAsia="楷体" w:cs="Times New Roman"/>
          <w:b/>
          <w:sz w:val="44"/>
          <w:szCs w:val="44"/>
          <w:lang w:bidi="ar"/>
        </w:rPr>
        <w:t>内蒙古东衡政同咨询管理有限公司</w:t>
      </w:r>
      <w:bookmarkEnd w:id="6"/>
      <w:bookmarkEnd w:id="7"/>
      <w:bookmarkEnd w:id="8"/>
    </w:p>
    <w:p>
      <w:pPr>
        <w:widowControl/>
        <w:spacing w:before="156" w:beforeLines="50" w:after="156" w:afterLines="50" w:line="360" w:lineRule="auto"/>
        <w:rPr>
          <w:rFonts w:ascii="黑体" w:hAnsi="宋体" w:eastAsia="黑体" w:cs="仿宋"/>
          <w:b/>
          <w:sz w:val="32"/>
          <w:szCs w:val="32"/>
        </w:rPr>
      </w:pPr>
    </w:p>
    <w:p>
      <w:pPr>
        <w:spacing w:line="600" w:lineRule="exact"/>
        <w:jc w:val="center"/>
        <w:rPr>
          <w:rFonts w:ascii="黑体" w:hAnsi="黑体" w:eastAsia="黑体" w:cs="黑体"/>
          <w:sz w:val="36"/>
          <w:szCs w:val="36"/>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NumType w:start="1"/>
          <w:cols w:space="425" w:num="1"/>
          <w:titlePg/>
          <w:docGrid w:type="lines" w:linePitch="312" w:charSpace="0"/>
        </w:sectPr>
      </w:pPr>
      <w:r>
        <w:rPr>
          <w:rFonts w:hint="eastAsia" w:ascii="仿宋" w:hAnsi="仿宋" w:eastAsia="仿宋" w:cs="Times New Roman"/>
          <w:b/>
          <w:sz w:val="32"/>
          <w:szCs w:val="32"/>
          <w:lang w:val="zh-CN" w:bidi="ar"/>
        </w:rPr>
        <w:t>20</w:t>
      </w:r>
      <w:r>
        <w:rPr>
          <w:rFonts w:ascii="仿宋" w:hAnsi="仿宋" w:eastAsia="仿宋" w:cs="Times New Roman"/>
          <w:b/>
          <w:sz w:val="32"/>
          <w:szCs w:val="32"/>
          <w:lang w:val="zh-CN" w:bidi="ar"/>
        </w:rPr>
        <w:t>2</w:t>
      </w:r>
      <w:r>
        <w:rPr>
          <w:rFonts w:hint="eastAsia" w:ascii="仿宋" w:hAnsi="仿宋" w:eastAsia="仿宋" w:cs="Times New Roman"/>
          <w:b/>
          <w:sz w:val="32"/>
          <w:szCs w:val="32"/>
          <w:lang w:bidi="ar"/>
        </w:rPr>
        <w:t>3</w:t>
      </w:r>
      <w:r>
        <w:rPr>
          <w:rFonts w:hint="eastAsia" w:ascii="仿宋" w:hAnsi="仿宋" w:eastAsia="仿宋" w:cs="Times New Roman"/>
          <w:b/>
          <w:sz w:val="32"/>
          <w:szCs w:val="32"/>
          <w:lang w:val="zh-CN" w:bidi="ar"/>
        </w:rPr>
        <w:t>年</w:t>
      </w:r>
      <w:r>
        <w:rPr>
          <w:rFonts w:hint="eastAsia" w:ascii="仿宋" w:hAnsi="仿宋" w:eastAsia="仿宋" w:cs="Times New Roman"/>
          <w:b/>
          <w:sz w:val="32"/>
          <w:szCs w:val="32"/>
          <w:lang w:bidi="ar"/>
        </w:rPr>
        <w:t>1</w:t>
      </w:r>
      <w:bookmarkStart w:id="9" w:name="_Toc21265"/>
      <w:bookmarkStart w:id="10" w:name="_Toc28254"/>
      <w:r>
        <w:rPr>
          <w:rFonts w:hint="eastAsia" w:ascii="仿宋" w:hAnsi="仿宋" w:eastAsia="仿宋" w:cs="Times New Roman"/>
          <w:b/>
          <w:sz w:val="32"/>
          <w:szCs w:val="32"/>
          <w:lang w:bidi="ar"/>
        </w:rPr>
        <w:t>月</w:t>
      </w:r>
    </w:p>
    <w:bookmarkEnd w:id="9"/>
    <w:bookmarkEnd w:id="10"/>
    <w:p>
      <w:pPr>
        <w:jc w:val="center"/>
        <w:outlineLvl w:val="0"/>
        <w:rPr>
          <w:rFonts w:ascii="仿宋" w:hAnsi="仿宋" w:eastAsia="仿宋" w:cs="仿宋"/>
          <w:b/>
          <w:bCs/>
          <w:sz w:val="32"/>
          <w:szCs w:val="32"/>
        </w:rPr>
      </w:pPr>
      <w:bookmarkStart w:id="11" w:name="_Toc13674"/>
      <w:bookmarkStart w:id="12" w:name="_Toc1865"/>
      <w:bookmarkStart w:id="13" w:name="_Toc23135"/>
      <w:r>
        <w:rPr>
          <w:rFonts w:hint="eastAsia" w:ascii="仿宋" w:hAnsi="仿宋" w:eastAsia="仿宋" w:cs="仿宋"/>
          <w:b/>
          <w:bCs/>
          <w:sz w:val="32"/>
          <w:szCs w:val="32"/>
        </w:rPr>
        <w:t>社区健身器材和儿童游乐设施安装项目绩效评估</w:t>
      </w:r>
      <w:r>
        <w:rPr>
          <w:rFonts w:hint="eastAsia" w:ascii="仿宋" w:hAnsi="仿宋" w:eastAsia="仿宋" w:cs="仿宋"/>
          <w:b/>
          <w:bCs/>
          <w:sz w:val="32"/>
          <w:szCs w:val="32"/>
          <w:lang w:eastAsia="zh-CN"/>
        </w:rPr>
        <w:t>简要</w:t>
      </w:r>
      <w:r>
        <w:rPr>
          <w:rFonts w:hint="eastAsia" w:ascii="仿宋" w:hAnsi="仿宋" w:eastAsia="仿宋" w:cs="仿宋"/>
          <w:b/>
          <w:bCs/>
          <w:sz w:val="32"/>
          <w:szCs w:val="32"/>
        </w:rPr>
        <w:t>报告</w:t>
      </w:r>
      <w:bookmarkEnd w:id="11"/>
      <w:bookmarkEnd w:id="12"/>
      <w:bookmarkEnd w:id="13"/>
    </w:p>
    <w:p>
      <w:pPr>
        <w:jc w:val="center"/>
        <w:rPr>
          <w:rFonts w:ascii="仿宋" w:hAnsi="仿宋" w:eastAsia="仿宋" w:cs="仿宋"/>
          <w:b/>
          <w:bCs/>
          <w:sz w:val="32"/>
          <w:szCs w:val="32"/>
        </w:rPr>
      </w:pPr>
    </w:p>
    <w:p>
      <w:pPr>
        <w:adjustRightInd w:val="0"/>
        <w:snapToGrid w:val="0"/>
        <w:spacing w:line="360" w:lineRule="auto"/>
        <w:ind w:firstLine="643" w:firstLineChars="200"/>
        <w:outlineLvl w:val="0"/>
        <w:rPr>
          <w:rFonts w:ascii="黑体" w:hAnsi="黑体" w:eastAsia="黑体" w:cs="Times New Roman"/>
          <w:b/>
          <w:bCs/>
          <w:sz w:val="32"/>
          <w:szCs w:val="32"/>
        </w:rPr>
      </w:pPr>
      <w:bookmarkStart w:id="14" w:name="_Toc17266"/>
      <w:bookmarkStart w:id="15" w:name="_Toc30794"/>
      <w:bookmarkStart w:id="16" w:name="_Toc4783"/>
      <w:bookmarkStart w:id="17" w:name="_Toc14220"/>
      <w:bookmarkStart w:id="18" w:name="_Toc7949"/>
      <w:bookmarkStart w:id="19" w:name="_Toc29823"/>
      <w:r>
        <w:rPr>
          <w:rFonts w:hint="eastAsia" w:ascii="黑体" w:hAnsi="黑体" w:eastAsia="黑体" w:cs="Times New Roman"/>
          <w:b/>
          <w:bCs/>
          <w:sz w:val="32"/>
          <w:szCs w:val="32"/>
        </w:rPr>
        <w:t>一、基本情况</w:t>
      </w:r>
      <w:bookmarkEnd w:id="14"/>
      <w:bookmarkEnd w:id="15"/>
      <w:bookmarkEnd w:id="16"/>
      <w:bookmarkEnd w:id="17"/>
      <w:bookmarkEnd w:id="18"/>
      <w:bookmarkEnd w:id="19"/>
    </w:p>
    <w:p>
      <w:pPr>
        <w:adjustRightInd w:val="0"/>
        <w:snapToGrid w:val="0"/>
        <w:spacing w:line="360" w:lineRule="auto"/>
        <w:ind w:firstLine="643" w:firstLineChars="200"/>
        <w:outlineLvl w:val="2"/>
        <w:rPr>
          <w:rFonts w:ascii="仿宋" w:hAnsi="仿宋" w:eastAsia="仿宋" w:cs="Arial"/>
          <w:b/>
          <w:kern w:val="0"/>
          <w:sz w:val="32"/>
          <w:szCs w:val="32"/>
        </w:rPr>
      </w:pPr>
      <w:bookmarkStart w:id="20" w:name="_Toc8369"/>
      <w:bookmarkStart w:id="21" w:name="_Toc31368"/>
      <w:bookmarkStart w:id="22" w:name="_Toc36216435"/>
      <w:bookmarkStart w:id="23" w:name="_Toc1502"/>
      <w:bookmarkStart w:id="24" w:name="_Toc14527"/>
      <w:bookmarkStart w:id="25" w:name="_Toc30517"/>
      <w:bookmarkStart w:id="26" w:name="_Toc14811"/>
      <w:r>
        <w:rPr>
          <w:rFonts w:hint="eastAsia" w:ascii="楷体" w:hAnsi="楷体" w:eastAsia="楷体" w:cs="Arial"/>
          <w:b/>
          <w:kern w:val="0"/>
          <w:sz w:val="32"/>
          <w:szCs w:val="32"/>
        </w:rPr>
        <w:t>（一）</w:t>
      </w:r>
      <w:bookmarkEnd w:id="20"/>
      <w:bookmarkEnd w:id="21"/>
      <w:bookmarkEnd w:id="22"/>
      <w:bookmarkEnd w:id="23"/>
      <w:bookmarkEnd w:id="24"/>
      <w:bookmarkEnd w:id="25"/>
      <w:bookmarkEnd w:id="26"/>
      <w:bookmarkStart w:id="27" w:name="_Toc55497454"/>
      <w:bookmarkStart w:id="28" w:name="_Toc52144063"/>
      <w:bookmarkStart w:id="29" w:name="_Toc31398"/>
      <w:r>
        <w:rPr>
          <w:rFonts w:hint="eastAsia" w:ascii="仿宋" w:hAnsi="仿宋" w:eastAsia="仿宋" w:cs="Arial"/>
          <w:b/>
          <w:kern w:val="0"/>
          <w:sz w:val="32"/>
          <w:szCs w:val="32"/>
        </w:rPr>
        <w:t>项目背景</w:t>
      </w:r>
      <w:bookmarkEnd w:id="27"/>
      <w:bookmarkEnd w:id="28"/>
      <w:bookmarkEnd w:id="29"/>
    </w:p>
    <w:p>
      <w:pPr>
        <w:widowControl/>
        <w:adjustRightInd w:val="0"/>
        <w:snapToGrid w:val="0"/>
        <w:spacing w:line="360" w:lineRule="auto"/>
        <w:ind w:firstLine="640" w:firstLineChars="20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居住社区是城市居民生活和城市治理的基本单元，是党和政府联系、服务人民群众的“最后一公里”。随着生活水平的提高，当前社区存在的设施不完善、公共活动空间不足等问题和短板，与民众日益增长的美好生活需求还有较大差距。2020年8月18日，住建部、教育部、工信部等13部门联合印发《关于开展城市居住社区建设补短板行动的意见》（建科规</w:t>
      </w:r>
      <w:r>
        <w:rPr>
          <w:rFonts w:hint="eastAsia" w:ascii="仿宋" w:hAnsi="仿宋" w:eastAsia="仿宋" w:cs="Times New Roman"/>
          <w:sz w:val="32"/>
          <w:szCs w:val="32"/>
        </w:rPr>
        <w:t>〔</w:t>
      </w:r>
      <w:r>
        <w:rPr>
          <w:rFonts w:hint="eastAsia" w:ascii="仿宋" w:hAnsi="仿宋" w:eastAsia="仿宋" w:cs="仿宋"/>
          <w:color w:val="000000"/>
          <w:kern w:val="0"/>
          <w:sz w:val="32"/>
          <w:szCs w:val="32"/>
          <w:lang w:bidi="ar"/>
        </w:rPr>
        <w:t>2020</w:t>
      </w:r>
      <w:r>
        <w:rPr>
          <w:rFonts w:hint="eastAsia" w:ascii="仿宋" w:hAnsi="仿宋" w:eastAsia="仿宋" w:cs="Times New Roman"/>
          <w:sz w:val="32"/>
          <w:szCs w:val="32"/>
        </w:rPr>
        <w:t>〕</w:t>
      </w:r>
      <w:r>
        <w:rPr>
          <w:rFonts w:hint="eastAsia" w:ascii="仿宋" w:hAnsi="仿宋" w:eastAsia="仿宋" w:cs="仿宋"/>
          <w:color w:val="000000"/>
          <w:kern w:val="0"/>
          <w:sz w:val="32"/>
          <w:szCs w:val="32"/>
          <w:lang w:bidi="ar"/>
        </w:rPr>
        <w:t>7号），明确提出到2025年，基本补齐既有居住社区设施短板，新建居住社区同步配建各类设施，城市居住社区环境明显改善。</w:t>
      </w:r>
    </w:p>
    <w:p>
      <w:pPr>
        <w:widowControl/>
        <w:adjustRightInd w:val="0"/>
        <w:snapToGrid w:val="0"/>
        <w:spacing w:line="360" w:lineRule="auto"/>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为贯彻国家相关政策要求，2</w:t>
      </w:r>
      <w:r>
        <w:rPr>
          <w:rFonts w:ascii="仿宋" w:hAnsi="仿宋" w:eastAsia="仿宋" w:cs="仿宋"/>
          <w:color w:val="000000"/>
          <w:kern w:val="0"/>
          <w:sz w:val="32"/>
          <w:szCs w:val="32"/>
          <w:lang w:bidi="ar"/>
        </w:rPr>
        <w:t>021</w:t>
      </w:r>
      <w:r>
        <w:rPr>
          <w:rFonts w:hint="eastAsia" w:ascii="仿宋" w:hAnsi="仿宋" w:eastAsia="仿宋" w:cs="仿宋"/>
          <w:color w:val="000000"/>
          <w:kern w:val="0"/>
          <w:sz w:val="32"/>
          <w:szCs w:val="32"/>
          <w:lang w:bidi="ar"/>
        </w:rPr>
        <w:t>年内蒙古自治区住房和城乡建设厅印发</w:t>
      </w:r>
      <w:r>
        <w:rPr>
          <w:rFonts w:hint="eastAsia" w:ascii="仿宋" w:hAnsi="仿宋" w:eastAsia="仿宋" w:cs="仿宋"/>
          <w:b w:val="0"/>
          <w:bCs w:val="0"/>
          <w:color w:val="000000"/>
          <w:kern w:val="0"/>
          <w:sz w:val="32"/>
          <w:szCs w:val="32"/>
          <w:lang w:bidi="ar"/>
        </w:rPr>
        <w:t>《内蒙古自治区“十四五”住房城乡建设事业规划》</w:t>
      </w:r>
      <w:r>
        <w:rPr>
          <w:rFonts w:hint="eastAsia" w:ascii="仿宋" w:hAnsi="仿宋" w:eastAsia="仿宋" w:cs="仿宋"/>
          <w:color w:val="000000"/>
          <w:kern w:val="0"/>
          <w:sz w:val="32"/>
          <w:szCs w:val="32"/>
          <w:lang w:bidi="ar"/>
        </w:rPr>
        <w:t>，明确提出要加强居住社区建设，开展城市居住社区建设补短板行动。作为城市建设的主管部门，旗住建局积极落实国家及内蒙古自治区相关文件的要求，于2021年结合旗社区建设短板及全民健身发展的需求提出了社区健身器材和儿童游乐设施安装项目，解决伊金霍洛旗存在的主城区内健身设施和儿童游乐设施设置不足、部分片区适合老人儿童的娱乐健身器材和凉亭等设施配备不完善等问题，为伊金霍洛旗的居民和儿童提供健身和娱乐的场所，补齐社区综合服务功能短板，完善全民健身公共服务体系，满足人民群众日益增长的体育健身需求，增强城乡居民体质。</w:t>
      </w:r>
    </w:p>
    <w:p>
      <w:pPr>
        <w:widowControl/>
        <w:adjustRightInd w:val="0"/>
        <w:snapToGrid w:val="0"/>
        <w:spacing w:line="360" w:lineRule="auto"/>
        <w:ind w:firstLine="643" w:firstLineChars="200"/>
        <w:jc w:val="left"/>
        <w:outlineLvl w:val="2"/>
        <w:rPr>
          <w:rFonts w:ascii="仿宋" w:hAnsi="仿宋" w:eastAsia="仿宋" w:cs="仿宋"/>
          <w:b/>
          <w:bCs/>
          <w:color w:val="000000"/>
          <w:kern w:val="0"/>
          <w:sz w:val="32"/>
          <w:szCs w:val="32"/>
          <w:lang w:bidi="ar"/>
        </w:rPr>
      </w:pPr>
      <w:r>
        <w:rPr>
          <w:rFonts w:hint="eastAsia" w:ascii="仿宋" w:hAnsi="仿宋" w:eastAsia="仿宋" w:cs="仿宋"/>
          <w:b/>
          <w:bCs/>
          <w:color w:val="000000"/>
          <w:kern w:val="0"/>
          <w:sz w:val="32"/>
          <w:szCs w:val="32"/>
          <w:lang w:eastAsia="zh-CN" w:bidi="ar"/>
        </w:rPr>
        <w:t>（二）</w:t>
      </w:r>
      <w:r>
        <w:rPr>
          <w:rFonts w:hint="eastAsia" w:ascii="仿宋" w:hAnsi="仿宋" w:eastAsia="仿宋" w:cs="仿宋"/>
          <w:b/>
          <w:bCs/>
          <w:color w:val="000000"/>
          <w:kern w:val="0"/>
          <w:sz w:val="32"/>
          <w:szCs w:val="32"/>
          <w:lang w:bidi="ar"/>
        </w:rPr>
        <w:t>主要内容及实施情况</w:t>
      </w:r>
    </w:p>
    <w:p>
      <w:pPr>
        <w:pStyle w:val="15"/>
        <w:adjustRightInd w:val="0"/>
        <w:snapToGrid w:val="0"/>
        <w:spacing w:before="0" w:after="0" w:line="360" w:lineRule="auto"/>
        <w:ind w:firstLine="640" w:firstLineChars="200"/>
        <w:jc w:val="both"/>
        <w:outlineLvl w:val="9"/>
        <w:rPr>
          <w:rFonts w:ascii="仿宋" w:hAnsi="仿宋" w:eastAsia="仿宋" w:cs="Arial"/>
          <w:b w:val="0"/>
          <w:bCs w:val="0"/>
          <w:kern w:val="0"/>
        </w:rPr>
      </w:pPr>
      <w:bookmarkStart w:id="30" w:name="_Toc9148"/>
      <w:bookmarkStart w:id="31" w:name="_Toc25470"/>
      <w:bookmarkStart w:id="32" w:name="_Toc18783"/>
      <w:bookmarkStart w:id="33" w:name="_Toc29436"/>
      <w:bookmarkStart w:id="34" w:name="_Toc7235"/>
      <w:r>
        <w:rPr>
          <w:rFonts w:hint="eastAsia" w:ascii="仿宋" w:hAnsi="仿宋" w:eastAsia="仿宋" w:cs="Arial"/>
          <w:b w:val="0"/>
          <w:bCs w:val="0"/>
          <w:kern w:val="0"/>
        </w:rPr>
        <w:t>2022年，项目主要内容包括以下方面：</w:t>
      </w:r>
      <w:bookmarkEnd w:id="30"/>
      <w:bookmarkEnd w:id="31"/>
      <w:bookmarkEnd w:id="32"/>
      <w:bookmarkEnd w:id="33"/>
      <w:bookmarkEnd w:id="34"/>
      <w:bookmarkStart w:id="35" w:name="_Toc15939"/>
      <w:bookmarkStart w:id="36" w:name="_Toc6652"/>
    </w:p>
    <w:p>
      <w:pPr>
        <w:pStyle w:val="15"/>
        <w:adjustRightInd w:val="0"/>
        <w:snapToGrid w:val="0"/>
        <w:spacing w:before="0" w:after="0" w:line="360" w:lineRule="auto"/>
        <w:ind w:firstLine="643" w:firstLineChars="200"/>
        <w:jc w:val="both"/>
        <w:outlineLvl w:val="9"/>
        <w:rPr>
          <w:rFonts w:ascii="仿宋" w:hAnsi="仿宋" w:eastAsia="仿宋" w:cs="Arial"/>
          <w:b w:val="0"/>
          <w:bCs w:val="0"/>
          <w:kern w:val="0"/>
        </w:rPr>
      </w:pPr>
      <w:bookmarkStart w:id="37" w:name="_Toc25713"/>
      <w:bookmarkStart w:id="38" w:name="_Toc7217"/>
      <w:r>
        <w:rPr>
          <w:rFonts w:hint="eastAsia" w:ascii="仿宋" w:hAnsi="仿宋" w:eastAsia="仿宋" w:cs="Arial"/>
          <w:kern w:val="0"/>
        </w:rPr>
        <w:t>一是</w:t>
      </w:r>
      <w:r>
        <w:rPr>
          <w:rFonts w:hint="eastAsia" w:ascii="仿宋" w:hAnsi="仿宋" w:eastAsia="仿宋" w:cs="Arial"/>
          <w:b w:val="0"/>
          <w:bCs w:val="0"/>
          <w:kern w:val="0"/>
        </w:rPr>
        <w:t>为</w:t>
      </w:r>
      <w:r>
        <w:rPr>
          <w:rFonts w:hint="eastAsia" w:ascii="仿宋" w:hAnsi="仿宋" w:eastAsia="仿宋" w:cs="Arial"/>
          <w:b w:val="0"/>
          <w:bCs w:val="0"/>
          <w:kern w:val="0"/>
          <w:lang w:val="zh-CN"/>
        </w:rPr>
        <w:t>伊锦苑住宅小区、望景园小区、郡王现代城、亿城B区、民生B区、天骄1号院、蒙维小区、平房区广场</w:t>
      </w:r>
      <w:r>
        <w:rPr>
          <w:rFonts w:hint="eastAsia" w:ascii="仿宋" w:hAnsi="仿宋" w:eastAsia="仿宋" w:cs="Arial"/>
          <w:b w:val="0"/>
          <w:bCs w:val="0"/>
          <w:kern w:val="0"/>
        </w:rPr>
        <w:t>等4</w:t>
      </w:r>
      <w:r>
        <w:rPr>
          <w:rFonts w:ascii="仿宋" w:hAnsi="仿宋" w:eastAsia="仿宋" w:cs="Arial"/>
          <w:b w:val="0"/>
          <w:bCs w:val="0"/>
          <w:kern w:val="0"/>
        </w:rPr>
        <w:t>8</w:t>
      </w:r>
      <w:r>
        <w:rPr>
          <w:rFonts w:hint="eastAsia" w:ascii="仿宋" w:hAnsi="仿宋" w:eastAsia="仿宋" w:cs="Arial"/>
          <w:b w:val="0"/>
          <w:bCs w:val="0"/>
          <w:kern w:val="0"/>
        </w:rPr>
        <w:t>个小区安装室外设施，安装具体设施为：防腐木靠背椅、儿童滑梯、儿童滑梯地垫、双人地上漫步机、双人坐蹬器、肩关节训练器、腰背按摩器、三人转腰器(</w:t>
      </w:r>
      <w:r>
        <w:rPr>
          <w:rFonts w:hint="eastAsia" w:ascii="仿宋" w:hAnsi="仿宋" w:eastAsia="仿宋" w:cs="Arial"/>
          <w:b w:val="0"/>
          <w:bCs w:val="0"/>
          <w:kern w:val="0"/>
          <w:lang w:val="en-US" w:eastAsia="zh-CN"/>
        </w:rPr>
        <w:t>A</w:t>
      </w:r>
      <w:r>
        <w:rPr>
          <w:rFonts w:hint="eastAsia" w:ascii="仿宋" w:hAnsi="仿宋" w:eastAsia="仿宋" w:cs="Arial"/>
          <w:b w:val="0"/>
          <w:bCs w:val="0"/>
          <w:kern w:val="0"/>
        </w:rPr>
        <w:t>BS盘）、腿部按摩器、双人秋千、羽毛球柱、跷跷板、单杠、粗腿双杠、太极推揉器、室外乒乓球桌、棋盘桌、大箱体篮球架、腹肌板、三级压腿架、健身单车、上肢牵引器、秋千、四级压腿器、儿童篮球架等。</w:t>
      </w:r>
      <w:bookmarkEnd w:id="35"/>
      <w:bookmarkEnd w:id="36"/>
      <w:bookmarkEnd w:id="37"/>
      <w:bookmarkEnd w:id="38"/>
    </w:p>
    <w:p>
      <w:pPr>
        <w:adjustRightInd w:val="0"/>
        <w:snapToGrid w:val="0"/>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二是</w:t>
      </w:r>
      <w:r>
        <w:rPr>
          <w:rFonts w:hint="eastAsia" w:ascii="仿宋" w:hAnsi="仿宋" w:eastAsia="仿宋" w:cs="仿宋"/>
          <w:sz w:val="32"/>
          <w:szCs w:val="32"/>
        </w:rPr>
        <w:t>沙池改造及换填石英砂，涵盖16个小区，具体为：水岸新城涵园、望景园、西苑小区、平房区、锦尚苑B区外围、悦和城小区、博源柳河湾、水岸新城泓园、水岸新城灏园、水岸新城清园、郡王现代城、兴泰星园、蒙维小区、明珠花园A区、天隆佳苑南区、宏泰尚都等。</w:t>
      </w:r>
    </w:p>
    <w:p>
      <w:pPr>
        <w:adjustRightInd w:val="0"/>
        <w:snapToGrid w:val="0"/>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三是</w:t>
      </w:r>
      <w:r>
        <w:rPr>
          <w:rFonts w:hint="eastAsia" w:ascii="仿宋" w:hAnsi="仿宋" w:eastAsia="仿宋" w:cs="仿宋"/>
          <w:sz w:val="32"/>
          <w:szCs w:val="32"/>
        </w:rPr>
        <w:t>新建沙池，包括21个小区，具体为：水岸新城澳园、兴蒙时代广场、亿城B区、民生B区、辰元小区、天骄1号院、海达小区、兴生源小区、蓝天家园A区、御景嘉苑、永泰苑、文明小区、天隆佳苑北区、百合花园、馨雅园A区、民悦C区、阳光家园C区、西山佳苑B区、西山佳苑C区、馨雅苑C区、墨金苑西等。</w:t>
      </w:r>
    </w:p>
    <w:p>
      <w:pPr>
        <w:adjustRightInd w:val="0"/>
        <w:snapToGrid w:val="0"/>
        <w:spacing w:line="360" w:lineRule="auto"/>
        <w:ind w:firstLine="643" w:firstLineChars="200"/>
        <w:outlineLvl w:val="0"/>
        <w:rPr>
          <w:rFonts w:ascii="黑体" w:hAnsi="黑体" w:eastAsia="黑体" w:cs="Times New Roman"/>
          <w:b/>
          <w:bCs/>
          <w:sz w:val="32"/>
          <w:szCs w:val="32"/>
        </w:rPr>
      </w:pPr>
      <w:bookmarkStart w:id="39" w:name="_Toc43914270"/>
      <w:bookmarkStart w:id="40" w:name="_Toc31733"/>
      <w:bookmarkStart w:id="41" w:name="_Toc28768"/>
      <w:bookmarkStart w:id="42" w:name="_Toc12258"/>
      <w:bookmarkStart w:id="43" w:name="_Toc25217"/>
      <w:bookmarkStart w:id="44" w:name="_Toc10939"/>
      <w:bookmarkStart w:id="45" w:name="_Toc55486327"/>
      <w:r>
        <w:rPr>
          <w:rFonts w:hint="eastAsia" w:ascii="黑体" w:hAnsi="黑体" w:eastAsia="黑体" w:cs="Times New Roman"/>
          <w:b/>
          <w:bCs/>
          <w:sz w:val="32"/>
          <w:szCs w:val="32"/>
          <w:lang w:eastAsia="zh-CN"/>
        </w:rPr>
        <w:t>二</w:t>
      </w:r>
      <w:r>
        <w:rPr>
          <w:rFonts w:hint="eastAsia" w:ascii="黑体" w:hAnsi="黑体" w:eastAsia="黑体" w:cs="Times New Roman"/>
          <w:b/>
          <w:bCs/>
          <w:sz w:val="32"/>
          <w:szCs w:val="32"/>
        </w:rPr>
        <w:t>、综合评</w:t>
      </w:r>
      <w:bookmarkEnd w:id="39"/>
      <w:r>
        <w:rPr>
          <w:rFonts w:hint="eastAsia" w:ascii="黑体" w:hAnsi="黑体" w:eastAsia="黑体" w:cs="Times New Roman"/>
          <w:b/>
          <w:bCs/>
          <w:sz w:val="32"/>
          <w:szCs w:val="32"/>
        </w:rPr>
        <w:t>估情况及评估结论</w:t>
      </w:r>
      <w:bookmarkEnd w:id="40"/>
      <w:bookmarkEnd w:id="41"/>
      <w:bookmarkEnd w:id="42"/>
      <w:bookmarkEnd w:id="43"/>
      <w:bookmarkEnd w:id="44"/>
      <w:bookmarkEnd w:id="45"/>
    </w:p>
    <w:p>
      <w:pPr>
        <w:adjustRightInd w:val="0"/>
        <w:snapToGrid w:val="0"/>
        <w:spacing w:line="360" w:lineRule="auto"/>
        <w:ind w:firstLine="640" w:firstLineChars="200"/>
        <w:rPr>
          <w:rFonts w:ascii="仿宋" w:hAnsi="仿宋" w:eastAsia="仿宋"/>
          <w:bCs/>
          <w:sz w:val="32"/>
          <w:szCs w:val="32"/>
          <w:shd w:val="clear" w:color="auto" w:fill="CCE8CF" w:themeFill="background1"/>
        </w:rPr>
      </w:pPr>
      <w:r>
        <w:rPr>
          <w:rFonts w:hint="eastAsia" w:ascii="仿宋" w:hAnsi="仿宋" w:eastAsia="仿宋"/>
          <w:bCs/>
          <w:sz w:val="32"/>
          <w:szCs w:val="32"/>
          <w:shd w:val="clear" w:color="auto" w:fill="CCE8CF" w:themeFill="background1"/>
        </w:rPr>
        <w:t>2</w:t>
      </w:r>
      <w:r>
        <w:rPr>
          <w:rFonts w:ascii="仿宋" w:hAnsi="仿宋" w:eastAsia="仿宋"/>
          <w:bCs/>
          <w:sz w:val="32"/>
          <w:szCs w:val="32"/>
          <w:shd w:val="clear" w:color="auto" w:fill="CCE8CF" w:themeFill="background1"/>
        </w:rPr>
        <w:t>022</w:t>
      </w:r>
      <w:r>
        <w:rPr>
          <w:rFonts w:hint="eastAsia" w:ascii="仿宋" w:hAnsi="仿宋" w:eastAsia="仿宋"/>
          <w:bCs/>
          <w:sz w:val="32"/>
          <w:szCs w:val="32"/>
          <w:shd w:val="clear" w:color="auto" w:fill="CCE8CF" w:themeFill="background1"/>
        </w:rPr>
        <w:t>年，旗住建局完成了</w:t>
      </w:r>
      <w:r>
        <w:rPr>
          <w:rFonts w:hint="eastAsia" w:ascii="仿宋" w:hAnsi="仿宋" w:eastAsia="仿宋" w:cs="Times New Roman"/>
          <w:sz w:val="32"/>
          <w:szCs w:val="32"/>
        </w:rPr>
        <w:t>48个小区的健身器材、儿童滑梯、休闲长条凳等安装工作</w:t>
      </w:r>
      <w:r>
        <w:rPr>
          <w:rFonts w:hint="eastAsia" w:ascii="仿宋" w:hAnsi="仿宋" w:eastAsia="仿宋" w:cs="Times New Roman"/>
          <w:sz w:val="32"/>
          <w:szCs w:val="32"/>
          <w:lang w:eastAsia="zh-CN"/>
        </w:rPr>
        <w:t>，</w:t>
      </w:r>
      <w:r>
        <w:rPr>
          <w:rFonts w:hint="eastAsia" w:ascii="仿宋" w:hAnsi="仿宋" w:eastAsia="仿宋" w:cs="Times New Roman"/>
          <w:sz w:val="32"/>
          <w:szCs w:val="32"/>
        </w:rPr>
        <w:t>并在1</w:t>
      </w:r>
      <w:r>
        <w:rPr>
          <w:rFonts w:ascii="仿宋" w:hAnsi="仿宋" w:eastAsia="仿宋" w:cs="Times New Roman"/>
          <w:sz w:val="32"/>
          <w:szCs w:val="32"/>
        </w:rPr>
        <w:t>6</w:t>
      </w:r>
      <w:r>
        <w:rPr>
          <w:rFonts w:hint="eastAsia" w:ascii="仿宋" w:hAnsi="仿宋" w:eastAsia="仿宋" w:cs="Times New Roman"/>
          <w:sz w:val="32"/>
          <w:szCs w:val="32"/>
        </w:rPr>
        <w:t>个小区进行了</w:t>
      </w:r>
      <w:r>
        <w:rPr>
          <w:rFonts w:hint="eastAsia" w:ascii="仿宋" w:hAnsi="仿宋" w:eastAsia="仿宋" w:cs="仿宋"/>
          <w:sz w:val="32"/>
          <w:szCs w:val="32"/>
        </w:rPr>
        <w:t>沙池改造及换填石英砂，在</w:t>
      </w:r>
      <w:r>
        <w:rPr>
          <w:rFonts w:hint="eastAsia" w:ascii="仿宋" w:hAnsi="仿宋" w:eastAsia="仿宋" w:cs="Times New Roman"/>
          <w:sz w:val="32"/>
          <w:szCs w:val="32"/>
        </w:rPr>
        <w:t>2</w:t>
      </w:r>
      <w:r>
        <w:rPr>
          <w:rFonts w:ascii="仿宋" w:hAnsi="仿宋" w:eastAsia="仿宋" w:cs="Times New Roman"/>
          <w:sz w:val="32"/>
          <w:szCs w:val="32"/>
        </w:rPr>
        <w:t>1</w:t>
      </w:r>
      <w:r>
        <w:rPr>
          <w:rFonts w:hint="eastAsia" w:ascii="仿宋" w:hAnsi="仿宋" w:eastAsia="仿宋" w:cs="Times New Roman"/>
          <w:sz w:val="32"/>
          <w:szCs w:val="32"/>
        </w:rPr>
        <w:t>个小区新建或改造了沙池</w:t>
      </w:r>
      <w:r>
        <w:rPr>
          <w:rFonts w:hint="eastAsia" w:ascii="仿宋" w:hAnsi="仿宋" w:eastAsia="仿宋" w:cs="Times New Roman"/>
          <w:sz w:val="32"/>
          <w:szCs w:val="32"/>
          <w:lang w:eastAsia="zh-CN"/>
        </w:rPr>
        <w:t>，</w:t>
      </w:r>
      <w:r>
        <w:rPr>
          <w:rFonts w:hint="eastAsia" w:ascii="仿宋" w:hAnsi="仿宋" w:eastAsia="仿宋" w:cs="Times New Roman"/>
          <w:sz w:val="32"/>
          <w:szCs w:val="32"/>
        </w:rPr>
        <w:t>实现了小区健身娱乐设施全覆盖。上述健身器材及游乐设施已于2</w:t>
      </w:r>
      <w:r>
        <w:rPr>
          <w:rFonts w:ascii="仿宋" w:hAnsi="仿宋" w:eastAsia="仿宋" w:cs="Times New Roman"/>
          <w:sz w:val="32"/>
          <w:szCs w:val="32"/>
        </w:rPr>
        <w:t>022</w:t>
      </w:r>
      <w:r>
        <w:rPr>
          <w:rFonts w:hint="eastAsia" w:ascii="仿宋" w:hAnsi="仿宋" w:eastAsia="仿宋" w:cs="Times New Roman"/>
          <w:sz w:val="32"/>
          <w:szCs w:val="32"/>
        </w:rPr>
        <w:t>年6月底投入使用。项目</w:t>
      </w:r>
      <w:r>
        <w:rPr>
          <w:rFonts w:hint="eastAsia" w:ascii="仿宋" w:hAnsi="仿宋" w:eastAsia="仿宋" w:cs="Times New Roman"/>
          <w:sz w:val="32"/>
          <w:szCs w:val="32"/>
          <w:lang w:eastAsia="zh-CN"/>
        </w:rPr>
        <w:t>的</w:t>
      </w:r>
      <w:r>
        <w:rPr>
          <w:rFonts w:hint="eastAsia" w:ascii="仿宋" w:hAnsi="仿宋" w:eastAsia="仿宋" w:cs="Times New Roman"/>
          <w:sz w:val="32"/>
          <w:szCs w:val="32"/>
        </w:rPr>
        <w:t>实施</w:t>
      </w:r>
      <w:r>
        <w:rPr>
          <w:rFonts w:hint="eastAsia" w:ascii="仿宋" w:hAnsi="仿宋" w:eastAsia="仿宋" w:cs="Times New Roman"/>
          <w:sz w:val="32"/>
          <w:szCs w:val="32"/>
          <w:lang w:val="zh-CN"/>
        </w:rPr>
        <w:t>进一步完善了全旗住宅小区公共服务设施，有利于补齐社区综合服务功能短板</w:t>
      </w:r>
      <w:r>
        <w:rPr>
          <w:rFonts w:hint="eastAsia" w:ascii="仿宋" w:hAnsi="仿宋" w:eastAsia="仿宋"/>
          <w:bCs/>
          <w:sz w:val="32"/>
          <w:szCs w:val="32"/>
          <w:shd w:val="clear" w:color="auto" w:fill="CCE8CF" w:themeFill="background1"/>
        </w:rPr>
        <w:t>。</w:t>
      </w:r>
      <w:r>
        <w:rPr>
          <w:rFonts w:hint="eastAsia" w:ascii="仿宋" w:hAnsi="仿宋" w:eastAsia="仿宋"/>
          <w:bCs/>
          <w:sz w:val="32"/>
          <w:szCs w:val="32"/>
          <w:highlight w:val="none"/>
          <w:shd w:val="clear" w:color="auto" w:fill="CCE8CF" w:themeFill="background1"/>
        </w:rPr>
        <w:t>但评估发现，项目存在前期论证不够充分、绩效目标及指标设置不够合理、实施方案不够完善、</w:t>
      </w:r>
      <w:r>
        <w:rPr>
          <w:rFonts w:hint="eastAsia" w:ascii="仿宋" w:hAnsi="仿宋" w:eastAsia="仿宋"/>
          <w:bCs/>
          <w:kern w:val="0"/>
          <w:sz w:val="32"/>
          <w:szCs w:val="32"/>
          <w:highlight w:val="none"/>
        </w:rPr>
        <w:t>财务制度不够健全以及组织实施有效性有待加强</w:t>
      </w:r>
      <w:r>
        <w:rPr>
          <w:rFonts w:hint="eastAsia" w:ascii="仿宋" w:hAnsi="仿宋" w:eastAsia="仿宋"/>
          <w:bCs/>
          <w:sz w:val="32"/>
          <w:szCs w:val="32"/>
          <w:highlight w:val="none"/>
          <w:shd w:val="clear" w:color="auto" w:fill="CCE8CF" w:themeFill="background1"/>
        </w:rPr>
        <w:t>等问题。</w:t>
      </w:r>
      <w:r>
        <w:rPr>
          <w:rFonts w:hint="eastAsia" w:ascii="仿宋" w:hAnsi="仿宋" w:eastAsia="仿宋"/>
          <w:b/>
          <w:bCs/>
          <w:sz w:val="32"/>
          <w:szCs w:val="32"/>
          <w:shd w:val="clear" w:color="auto" w:fill="CCE8CF" w:themeFill="background1"/>
        </w:rPr>
        <w:t>项目绩效评估得分为8</w:t>
      </w:r>
      <w:r>
        <w:rPr>
          <w:rFonts w:hint="eastAsia" w:ascii="仿宋" w:hAnsi="仿宋" w:eastAsia="仿宋"/>
          <w:b/>
          <w:bCs/>
          <w:sz w:val="32"/>
          <w:szCs w:val="32"/>
          <w:shd w:val="clear" w:color="auto" w:fill="CCE8CF" w:themeFill="background1"/>
          <w:lang w:val="en-US" w:eastAsia="zh-CN"/>
        </w:rPr>
        <w:t>8</w:t>
      </w:r>
      <w:r>
        <w:rPr>
          <w:rFonts w:hint="eastAsia" w:ascii="仿宋" w:hAnsi="仿宋" w:eastAsia="仿宋"/>
          <w:b/>
          <w:bCs/>
          <w:sz w:val="32"/>
          <w:szCs w:val="32"/>
          <w:shd w:val="clear" w:color="auto" w:fill="CCE8CF" w:themeFill="background1"/>
        </w:rPr>
        <w:t>分，评估级别为“良”</w:t>
      </w:r>
      <w:r>
        <w:rPr>
          <w:rFonts w:hint="eastAsia" w:ascii="仿宋" w:hAnsi="仿宋" w:eastAsia="仿宋"/>
          <w:bCs/>
          <w:sz w:val="32"/>
          <w:szCs w:val="32"/>
          <w:shd w:val="clear" w:color="auto" w:fill="CCE8CF" w:themeFill="background1"/>
        </w:rPr>
        <w:t>。</w:t>
      </w:r>
    </w:p>
    <w:p>
      <w:pPr>
        <w:adjustRightInd w:val="0"/>
        <w:snapToGrid w:val="0"/>
        <w:spacing w:line="360" w:lineRule="auto"/>
        <w:jc w:val="center"/>
        <w:rPr>
          <w:rFonts w:ascii="仿宋" w:hAnsi="仿宋" w:eastAsia="仿宋"/>
          <w:bCs/>
          <w:sz w:val="32"/>
          <w:szCs w:val="32"/>
          <w:shd w:val="clear" w:color="auto" w:fill="CCE8CF" w:themeFill="background1"/>
        </w:rPr>
      </w:pPr>
      <w:r>
        <w:rPr>
          <w:rFonts w:hint="eastAsia" w:ascii="黑体" w:hAnsi="黑体" w:eastAsia="黑体"/>
          <w:sz w:val="24"/>
        </w:rPr>
        <w:t>绩效评估得分总体情况表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6"/>
        <w:gridCol w:w="1507"/>
        <w:gridCol w:w="1509"/>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3496" w:type="dxa"/>
            <w:shd w:val="clear" w:color="auto" w:fill="auto"/>
            <w:vAlign w:val="center"/>
          </w:tcPr>
          <w:p>
            <w:pPr>
              <w:widowControl/>
              <w:adjustRightInd w:val="0"/>
              <w:snapToGrid w:val="0"/>
              <w:jc w:val="center"/>
              <w:rPr>
                <w:rFonts w:ascii="宋体" w:hAnsi="宋体" w:eastAsia="宋体" w:cs="宋体"/>
                <w:b/>
                <w:bCs/>
                <w:kern w:val="0"/>
                <w:sz w:val="22"/>
                <w:szCs w:val="22"/>
              </w:rPr>
            </w:pPr>
            <w:bookmarkStart w:id="46" w:name="_Toc43914272"/>
            <w:r>
              <w:rPr>
                <w:rFonts w:hint="eastAsia" w:ascii="宋体" w:hAnsi="宋体" w:eastAsia="宋体" w:cs="宋体"/>
                <w:b/>
                <w:bCs/>
                <w:kern w:val="0"/>
                <w:sz w:val="22"/>
                <w:szCs w:val="22"/>
              </w:rPr>
              <w:t>一级指标</w:t>
            </w:r>
          </w:p>
        </w:tc>
        <w:tc>
          <w:tcPr>
            <w:tcW w:w="1507" w:type="dxa"/>
            <w:shd w:val="clear" w:color="auto" w:fill="auto"/>
            <w:vAlign w:val="center"/>
          </w:tcPr>
          <w:p>
            <w:pPr>
              <w:widowControl/>
              <w:adjustRightInd w:val="0"/>
              <w:snapToGrid w:val="0"/>
              <w:jc w:val="center"/>
              <w:rPr>
                <w:rFonts w:ascii="宋体" w:hAnsi="宋体" w:eastAsia="宋体" w:cs="宋体"/>
                <w:b/>
                <w:bCs/>
                <w:kern w:val="0"/>
                <w:sz w:val="22"/>
                <w:szCs w:val="22"/>
              </w:rPr>
            </w:pPr>
            <w:r>
              <w:rPr>
                <w:rFonts w:hint="eastAsia" w:ascii="宋体" w:hAnsi="宋体" w:eastAsia="宋体" w:cs="宋体"/>
                <w:b/>
                <w:bCs/>
                <w:kern w:val="0"/>
                <w:sz w:val="22"/>
                <w:szCs w:val="22"/>
              </w:rPr>
              <w:t>分值</w:t>
            </w:r>
          </w:p>
        </w:tc>
        <w:tc>
          <w:tcPr>
            <w:tcW w:w="1509" w:type="dxa"/>
            <w:shd w:val="clear" w:color="auto" w:fill="auto"/>
            <w:vAlign w:val="center"/>
          </w:tcPr>
          <w:p>
            <w:pPr>
              <w:widowControl/>
              <w:adjustRightInd w:val="0"/>
              <w:snapToGrid w:val="0"/>
              <w:jc w:val="center"/>
              <w:rPr>
                <w:rFonts w:ascii="宋体" w:hAnsi="宋体" w:eastAsia="宋体" w:cs="宋体"/>
                <w:b/>
                <w:bCs/>
                <w:kern w:val="0"/>
                <w:sz w:val="22"/>
                <w:szCs w:val="22"/>
              </w:rPr>
            </w:pPr>
            <w:r>
              <w:rPr>
                <w:rFonts w:hint="eastAsia" w:ascii="宋体" w:hAnsi="宋体" w:eastAsia="宋体" w:cs="宋体"/>
                <w:b/>
                <w:bCs/>
                <w:kern w:val="0"/>
                <w:sz w:val="22"/>
                <w:szCs w:val="22"/>
              </w:rPr>
              <w:t>得分</w:t>
            </w:r>
          </w:p>
        </w:tc>
        <w:tc>
          <w:tcPr>
            <w:tcW w:w="2010" w:type="dxa"/>
            <w:shd w:val="clear" w:color="auto" w:fill="auto"/>
            <w:vAlign w:val="center"/>
          </w:tcPr>
          <w:p>
            <w:pPr>
              <w:widowControl/>
              <w:adjustRightInd w:val="0"/>
              <w:snapToGrid w:val="0"/>
              <w:jc w:val="center"/>
              <w:rPr>
                <w:rFonts w:ascii="宋体" w:hAnsi="宋体" w:eastAsia="宋体" w:cs="宋体"/>
                <w:b/>
                <w:bCs/>
                <w:kern w:val="0"/>
                <w:sz w:val="22"/>
                <w:szCs w:val="22"/>
              </w:rPr>
            </w:pPr>
            <w:r>
              <w:rPr>
                <w:rFonts w:hint="eastAsia" w:ascii="宋体" w:hAnsi="宋体" w:eastAsia="宋体" w:cs="宋体"/>
                <w:b/>
                <w:bCs/>
                <w:kern w:val="0"/>
                <w:sz w:val="22"/>
                <w:szCs w:val="22"/>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496" w:type="dxa"/>
            <w:shd w:val="clear" w:color="auto" w:fill="auto"/>
            <w:vAlign w:val="center"/>
          </w:tcPr>
          <w:p>
            <w:pPr>
              <w:widowControl/>
              <w:adjustRightInd w:val="0"/>
              <w:snapToGrid w:val="0"/>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决策</w:t>
            </w:r>
          </w:p>
        </w:tc>
        <w:tc>
          <w:tcPr>
            <w:tcW w:w="1507" w:type="dxa"/>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15</w:t>
            </w:r>
          </w:p>
        </w:tc>
        <w:tc>
          <w:tcPr>
            <w:tcW w:w="1509" w:type="dxa"/>
            <w:shd w:val="clear" w:color="auto" w:fill="auto"/>
            <w:vAlign w:val="center"/>
          </w:tcPr>
          <w:p>
            <w:pPr>
              <w:widowControl/>
              <w:adjustRightInd w:val="0"/>
              <w:snapToGrid w:val="0"/>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10.80</w:t>
            </w:r>
          </w:p>
        </w:tc>
        <w:tc>
          <w:tcPr>
            <w:tcW w:w="2010" w:type="dxa"/>
            <w:shd w:val="clear" w:color="auto" w:fill="auto"/>
            <w:vAlign w:val="center"/>
          </w:tcPr>
          <w:p>
            <w:pPr>
              <w:widowControl/>
              <w:adjustRightInd w:val="0"/>
              <w:snapToGrid w:val="0"/>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496" w:type="dxa"/>
            <w:shd w:val="clear" w:color="auto" w:fill="auto"/>
            <w:vAlign w:val="center"/>
          </w:tcPr>
          <w:p>
            <w:pPr>
              <w:widowControl/>
              <w:adjustRightInd w:val="0"/>
              <w:snapToGrid w:val="0"/>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过程</w:t>
            </w:r>
          </w:p>
        </w:tc>
        <w:tc>
          <w:tcPr>
            <w:tcW w:w="1507" w:type="dxa"/>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20</w:t>
            </w:r>
          </w:p>
        </w:tc>
        <w:tc>
          <w:tcPr>
            <w:tcW w:w="1509" w:type="dxa"/>
            <w:shd w:val="clear" w:color="auto" w:fill="auto"/>
            <w:vAlign w:val="center"/>
          </w:tcPr>
          <w:p>
            <w:pPr>
              <w:widowControl/>
              <w:adjustRightInd w:val="0"/>
              <w:snapToGrid w:val="0"/>
              <w:jc w:val="center"/>
              <w:textAlignment w:val="center"/>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bidi="ar"/>
              </w:rPr>
              <w:t>1</w:t>
            </w:r>
            <w:r>
              <w:rPr>
                <w:rFonts w:hint="eastAsia" w:ascii="宋体" w:hAnsi="宋体" w:eastAsia="宋体" w:cs="宋体"/>
                <w:kern w:val="0"/>
                <w:sz w:val="22"/>
                <w:szCs w:val="22"/>
                <w:lang w:val="en-US" w:eastAsia="zh-CN" w:bidi="ar"/>
              </w:rPr>
              <w:t>7.63</w:t>
            </w:r>
          </w:p>
        </w:tc>
        <w:tc>
          <w:tcPr>
            <w:tcW w:w="2010" w:type="dxa"/>
            <w:shd w:val="clear" w:color="auto" w:fill="auto"/>
            <w:vAlign w:val="center"/>
          </w:tcPr>
          <w:p>
            <w:pPr>
              <w:widowControl/>
              <w:adjustRightInd w:val="0"/>
              <w:snapToGrid w:val="0"/>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val="en-US" w:eastAsia="zh-CN" w:bidi="ar"/>
              </w:rPr>
              <w:t>88.15</w:t>
            </w:r>
            <w:r>
              <w:rPr>
                <w:rFonts w:hint="eastAsia" w:ascii="宋体" w:hAnsi="宋体" w:eastAsia="宋体" w:cs="宋体"/>
                <w:kern w:val="0"/>
                <w:sz w:val="22"/>
                <w:szCs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496" w:type="dxa"/>
            <w:shd w:val="clear" w:color="auto" w:fill="auto"/>
            <w:vAlign w:val="center"/>
          </w:tcPr>
          <w:p>
            <w:pPr>
              <w:widowControl/>
              <w:adjustRightInd w:val="0"/>
              <w:snapToGrid w:val="0"/>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产出</w:t>
            </w:r>
          </w:p>
        </w:tc>
        <w:tc>
          <w:tcPr>
            <w:tcW w:w="1507" w:type="dxa"/>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30</w:t>
            </w:r>
          </w:p>
        </w:tc>
        <w:tc>
          <w:tcPr>
            <w:tcW w:w="1509" w:type="dxa"/>
            <w:shd w:val="clear" w:color="auto" w:fill="auto"/>
            <w:vAlign w:val="center"/>
          </w:tcPr>
          <w:p>
            <w:pPr>
              <w:widowControl/>
              <w:adjustRightInd w:val="0"/>
              <w:snapToGrid w:val="0"/>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30.00</w:t>
            </w:r>
          </w:p>
        </w:tc>
        <w:tc>
          <w:tcPr>
            <w:tcW w:w="2010" w:type="dxa"/>
            <w:shd w:val="clear" w:color="auto" w:fill="auto"/>
            <w:vAlign w:val="center"/>
          </w:tcPr>
          <w:p>
            <w:pPr>
              <w:widowControl/>
              <w:adjustRightInd w:val="0"/>
              <w:snapToGrid w:val="0"/>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496" w:type="dxa"/>
            <w:shd w:val="clear" w:color="auto" w:fill="auto"/>
            <w:vAlign w:val="center"/>
          </w:tcPr>
          <w:p>
            <w:pPr>
              <w:widowControl/>
              <w:adjustRightInd w:val="0"/>
              <w:snapToGrid w:val="0"/>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效益</w:t>
            </w:r>
          </w:p>
        </w:tc>
        <w:tc>
          <w:tcPr>
            <w:tcW w:w="1507" w:type="dxa"/>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35</w:t>
            </w:r>
          </w:p>
        </w:tc>
        <w:tc>
          <w:tcPr>
            <w:tcW w:w="1509" w:type="dxa"/>
            <w:shd w:val="clear" w:color="auto" w:fill="auto"/>
            <w:vAlign w:val="center"/>
          </w:tcPr>
          <w:p>
            <w:pPr>
              <w:widowControl/>
              <w:adjustRightInd w:val="0"/>
              <w:snapToGrid w:val="0"/>
              <w:jc w:val="center"/>
              <w:textAlignment w:val="center"/>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29.14</w:t>
            </w:r>
          </w:p>
        </w:tc>
        <w:tc>
          <w:tcPr>
            <w:tcW w:w="2010" w:type="dxa"/>
            <w:shd w:val="clear" w:color="auto" w:fill="auto"/>
            <w:vAlign w:val="center"/>
          </w:tcPr>
          <w:p>
            <w:pPr>
              <w:widowControl/>
              <w:adjustRightInd w:val="0"/>
              <w:snapToGrid w:val="0"/>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8</w:t>
            </w:r>
            <w:r>
              <w:rPr>
                <w:rFonts w:hint="eastAsia" w:ascii="宋体" w:hAnsi="宋体" w:eastAsia="宋体" w:cs="宋体"/>
                <w:kern w:val="0"/>
                <w:sz w:val="22"/>
                <w:szCs w:val="22"/>
                <w:lang w:val="en-US" w:eastAsia="zh-CN" w:bidi="ar"/>
              </w:rPr>
              <w:t>3</w:t>
            </w:r>
            <w:r>
              <w:rPr>
                <w:rFonts w:hint="eastAsia" w:ascii="宋体" w:hAnsi="宋体" w:eastAsia="宋体" w:cs="宋体"/>
                <w:kern w:val="0"/>
                <w:sz w:val="22"/>
                <w:szCs w:val="22"/>
                <w:lang w:bidi="ar"/>
              </w:rPr>
              <w:t>.</w:t>
            </w:r>
            <w:r>
              <w:rPr>
                <w:rFonts w:hint="eastAsia" w:ascii="宋体" w:hAnsi="宋体" w:eastAsia="宋体" w:cs="宋体"/>
                <w:kern w:val="0"/>
                <w:sz w:val="22"/>
                <w:szCs w:val="22"/>
                <w:lang w:val="en-US" w:eastAsia="zh-CN" w:bidi="ar"/>
              </w:rPr>
              <w:t>26</w:t>
            </w:r>
            <w:r>
              <w:rPr>
                <w:rFonts w:hint="eastAsia" w:ascii="宋体" w:hAnsi="宋体" w:eastAsia="宋体" w:cs="宋体"/>
                <w:kern w:val="0"/>
                <w:sz w:val="22"/>
                <w:szCs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496" w:type="dxa"/>
            <w:shd w:val="clear" w:color="auto" w:fill="auto"/>
            <w:vAlign w:val="center"/>
          </w:tcPr>
          <w:p>
            <w:pPr>
              <w:widowControl/>
              <w:adjustRightInd w:val="0"/>
              <w:snapToGrid w:val="0"/>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总分</w:t>
            </w:r>
          </w:p>
        </w:tc>
        <w:tc>
          <w:tcPr>
            <w:tcW w:w="1507" w:type="dxa"/>
            <w:shd w:val="clear" w:color="auto" w:fill="auto"/>
            <w:vAlign w:val="center"/>
          </w:tcPr>
          <w:p>
            <w:pPr>
              <w:widowControl/>
              <w:adjustRightInd w:val="0"/>
              <w:snapToGrid w:val="0"/>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100</w:t>
            </w:r>
          </w:p>
        </w:tc>
        <w:tc>
          <w:tcPr>
            <w:tcW w:w="1509" w:type="dxa"/>
            <w:shd w:val="clear" w:color="auto" w:fill="auto"/>
            <w:vAlign w:val="center"/>
          </w:tcPr>
          <w:p>
            <w:pPr>
              <w:widowControl/>
              <w:adjustRightInd w:val="0"/>
              <w:snapToGrid w:val="0"/>
              <w:jc w:val="center"/>
              <w:textAlignment w:val="center"/>
              <w:rPr>
                <w:rFonts w:hint="default" w:ascii="宋体" w:hAnsi="宋体" w:eastAsia="宋体" w:cs="宋体"/>
                <w:b/>
                <w:bCs/>
                <w:kern w:val="0"/>
                <w:sz w:val="22"/>
                <w:szCs w:val="22"/>
                <w:lang w:val="en-US" w:eastAsia="zh-CN" w:bidi="ar"/>
              </w:rPr>
            </w:pPr>
            <w:r>
              <w:rPr>
                <w:rFonts w:hint="eastAsia" w:ascii="宋体" w:hAnsi="宋体" w:eastAsia="宋体" w:cs="宋体"/>
                <w:b/>
                <w:bCs/>
                <w:kern w:val="0"/>
                <w:sz w:val="22"/>
                <w:szCs w:val="22"/>
                <w:lang w:bidi="ar"/>
              </w:rPr>
              <w:t>8</w:t>
            </w:r>
            <w:r>
              <w:rPr>
                <w:rFonts w:hint="eastAsia" w:ascii="宋体" w:hAnsi="宋体" w:eastAsia="宋体" w:cs="宋体"/>
                <w:b/>
                <w:bCs/>
                <w:kern w:val="0"/>
                <w:sz w:val="22"/>
                <w:szCs w:val="22"/>
                <w:lang w:val="en-US" w:eastAsia="zh-CN" w:bidi="ar"/>
              </w:rPr>
              <w:t>7.57</w:t>
            </w:r>
          </w:p>
        </w:tc>
        <w:tc>
          <w:tcPr>
            <w:tcW w:w="2010" w:type="dxa"/>
            <w:shd w:val="clear" w:color="auto" w:fill="auto"/>
            <w:vAlign w:val="center"/>
          </w:tcPr>
          <w:p>
            <w:pPr>
              <w:widowControl/>
              <w:adjustRightInd w:val="0"/>
              <w:snapToGrid w:val="0"/>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8</w:t>
            </w:r>
            <w:r>
              <w:rPr>
                <w:rFonts w:hint="eastAsia" w:ascii="宋体" w:hAnsi="宋体" w:eastAsia="宋体" w:cs="宋体"/>
                <w:b/>
                <w:bCs/>
                <w:kern w:val="0"/>
                <w:sz w:val="22"/>
                <w:szCs w:val="22"/>
                <w:lang w:val="en-US" w:eastAsia="zh-CN" w:bidi="ar"/>
              </w:rPr>
              <w:t>7.57</w:t>
            </w:r>
            <w:r>
              <w:rPr>
                <w:rFonts w:hint="eastAsia" w:ascii="宋体" w:hAnsi="宋体" w:eastAsia="宋体" w:cs="宋体"/>
                <w:b/>
                <w:bCs/>
                <w:kern w:val="0"/>
                <w:sz w:val="22"/>
                <w:szCs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496" w:type="dxa"/>
            <w:shd w:val="clear" w:color="auto" w:fill="auto"/>
            <w:vAlign w:val="center"/>
          </w:tcPr>
          <w:p>
            <w:pPr>
              <w:widowControl/>
              <w:adjustRightInd w:val="0"/>
              <w:snapToGrid w:val="0"/>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总分（取整）</w:t>
            </w:r>
          </w:p>
        </w:tc>
        <w:tc>
          <w:tcPr>
            <w:tcW w:w="1507" w:type="dxa"/>
            <w:shd w:val="clear" w:color="auto" w:fill="auto"/>
            <w:vAlign w:val="center"/>
          </w:tcPr>
          <w:p>
            <w:pPr>
              <w:widowControl/>
              <w:adjustRightInd w:val="0"/>
              <w:snapToGrid w:val="0"/>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100</w:t>
            </w:r>
          </w:p>
        </w:tc>
        <w:tc>
          <w:tcPr>
            <w:tcW w:w="1509" w:type="dxa"/>
            <w:shd w:val="clear" w:color="auto" w:fill="auto"/>
            <w:vAlign w:val="center"/>
          </w:tcPr>
          <w:p>
            <w:pPr>
              <w:widowControl/>
              <w:adjustRightInd w:val="0"/>
              <w:snapToGrid w:val="0"/>
              <w:jc w:val="center"/>
              <w:textAlignment w:val="center"/>
              <w:rPr>
                <w:rFonts w:hint="default" w:ascii="宋体" w:hAnsi="宋体" w:eastAsia="宋体" w:cs="宋体"/>
                <w:b/>
                <w:bCs/>
                <w:kern w:val="0"/>
                <w:sz w:val="22"/>
                <w:szCs w:val="22"/>
                <w:lang w:val="en-US" w:eastAsia="zh-CN" w:bidi="ar"/>
              </w:rPr>
            </w:pPr>
            <w:r>
              <w:rPr>
                <w:rFonts w:hint="eastAsia" w:ascii="宋体" w:hAnsi="宋体" w:eastAsia="宋体" w:cs="宋体"/>
                <w:b/>
                <w:bCs/>
                <w:kern w:val="0"/>
                <w:sz w:val="22"/>
                <w:szCs w:val="22"/>
                <w:lang w:val="en-US" w:eastAsia="zh-CN" w:bidi="ar"/>
              </w:rPr>
              <w:t>88</w:t>
            </w:r>
          </w:p>
        </w:tc>
        <w:tc>
          <w:tcPr>
            <w:tcW w:w="2010" w:type="dxa"/>
            <w:shd w:val="clear" w:color="auto" w:fill="auto"/>
            <w:vAlign w:val="center"/>
          </w:tcPr>
          <w:p>
            <w:pPr>
              <w:widowControl/>
              <w:adjustRightInd w:val="0"/>
              <w:snapToGrid w:val="0"/>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val="en-US" w:eastAsia="zh-CN" w:bidi="ar"/>
              </w:rPr>
              <w:t>88</w:t>
            </w:r>
            <w:r>
              <w:rPr>
                <w:rFonts w:hint="eastAsia" w:ascii="宋体" w:hAnsi="宋体" w:eastAsia="宋体" w:cs="宋体"/>
                <w:b/>
                <w:bCs/>
                <w:kern w:val="0"/>
                <w:sz w:val="22"/>
                <w:szCs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03" w:type="dxa"/>
            <w:gridSpan w:val="2"/>
            <w:shd w:val="clear" w:color="auto" w:fill="auto"/>
            <w:vAlign w:val="center"/>
          </w:tcPr>
          <w:p>
            <w:pPr>
              <w:widowControl/>
              <w:adjustRightInd w:val="0"/>
              <w:snapToGrid w:val="0"/>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综合评估等级</w:t>
            </w:r>
          </w:p>
        </w:tc>
        <w:tc>
          <w:tcPr>
            <w:tcW w:w="3519" w:type="dxa"/>
            <w:gridSpan w:val="2"/>
            <w:shd w:val="clear" w:color="auto" w:fill="auto"/>
            <w:vAlign w:val="center"/>
          </w:tcPr>
          <w:p>
            <w:pPr>
              <w:widowControl/>
              <w:adjustRightInd w:val="0"/>
              <w:snapToGrid w:val="0"/>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良</w:t>
            </w:r>
          </w:p>
        </w:tc>
      </w:tr>
      <w:bookmarkEnd w:id="46"/>
    </w:tbl>
    <w:p>
      <w:pPr>
        <w:adjustRightInd w:val="0"/>
        <w:snapToGrid w:val="0"/>
        <w:spacing w:line="360" w:lineRule="auto"/>
        <w:ind w:firstLine="643" w:firstLineChars="200"/>
        <w:outlineLvl w:val="0"/>
        <w:rPr>
          <w:rFonts w:ascii="仿宋" w:hAnsi="仿宋" w:eastAsia="仿宋"/>
          <w:b/>
          <w:bCs/>
          <w:kern w:val="0"/>
          <w:sz w:val="32"/>
          <w:szCs w:val="32"/>
        </w:rPr>
      </w:pPr>
      <w:bookmarkStart w:id="47" w:name="_Toc11748"/>
      <w:bookmarkStart w:id="48" w:name="_Toc4942"/>
      <w:bookmarkStart w:id="49" w:name="_Toc11353"/>
      <w:r>
        <w:rPr>
          <w:rFonts w:hint="eastAsia" w:ascii="黑体" w:hAnsi="黑体" w:eastAsia="黑体" w:cs="Times New Roman"/>
          <w:b/>
          <w:bCs/>
          <w:sz w:val="32"/>
          <w:szCs w:val="32"/>
          <w:lang w:eastAsia="zh-CN"/>
        </w:rPr>
        <w:t>三</w:t>
      </w:r>
      <w:r>
        <w:rPr>
          <w:rFonts w:hint="eastAsia" w:ascii="黑体" w:hAnsi="黑体" w:eastAsia="黑体" w:cs="Times New Roman"/>
          <w:b/>
          <w:bCs/>
          <w:sz w:val="32"/>
          <w:szCs w:val="32"/>
        </w:rPr>
        <w:t>、存在问题和建议</w:t>
      </w:r>
      <w:bookmarkEnd w:id="47"/>
      <w:bookmarkEnd w:id="48"/>
      <w:bookmarkEnd w:id="49"/>
    </w:p>
    <w:p>
      <w:pPr>
        <w:adjustRightInd w:val="0"/>
        <w:snapToGrid w:val="0"/>
        <w:spacing w:line="360" w:lineRule="auto"/>
        <w:ind w:firstLine="643" w:firstLineChars="200"/>
        <w:outlineLvl w:val="1"/>
        <w:rPr>
          <w:rFonts w:ascii="楷体" w:hAnsi="楷体" w:eastAsia="楷体" w:cs="Arial"/>
          <w:b/>
          <w:kern w:val="0"/>
          <w:sz w:val="32"/>
          <w:szCs w:val="32"/>
        </w:rPr>
      </w:pPr>
      <w:bookmarkStart w:id="50" w:name="_Toc26555"/>
      <w:bookmarkStart w:id="51" w:name="_Toc16025"/>
      <w:bookmarkStart w:id="52" w:name="_Toc5369"/>
      <w:bookmarkStart w:id="53" w:name="_Toc23281"/>
      <w:bookmarkStart w:id="54" w:name="_Toc21769"/>
      <w:bookmarkStart w:id="55" w:name="_Toc55486357"/>
      <w:bookmarkStart w:id="56" w:name="_Toc52144080"/>
      <w:bookmarkStart w:id="57" w:name="_Toc32695"/>
      <w:r>
        <w:rPr>
          <w:rFonts w:hint="eastAsia" w:ascii="楷体" w:hAnsi="楷体" w:eastAsia="楷体" w:cs="Arial"/>
          <w:b/>
          <w:kern w:val="0"/>
          <w:sz w:val="32"/>
          <w:szCs w:val="32"/>
        </w:rPr>
        <w:t>（一）存在问题</w:t>
      </w:r>
      <w:bookmarkEnd w:id="50"/>
      <w:bookmarkEnd w:id="51"/>
      <w:bookmarkEnd w:id="52"/>
      <w:bookmarkEnd w:id="53"/>
      <w:bookmarkEnd w:id="54"/>
      <w:bookmarkEnd w:id="55"/>
      <w:bookmarkEnd w:id="56"/>
      <w:bookmarkEnd w:id="57"/>
    </w:p>
    <w:p>
      <w:pPr>
        <w:adjustRightInd w:val="0"/>
        <w:snapToGrid w:val="0"/>
        <w:spacing w:line="360" w:lineRule="auto"/>
        <w:ind w:firstLine="643" w:firstLineChars="200"/>
        <w:outlineLvl w:val="2"/>
        <w:rPr>
          <w:rFonts w:hint="eastAsia" w:ascii="仿宋" w:hAnsi="仿宋" w:eastAsia="仿宋" w:cs="Arial"/>
          <w:b/>
          <w:kern w:val="0"/>
          <w:sz w:val="32"/>
          <w:szCs w:val="32"/>
          <w:lang w:val="en-US" w:eastAsia="zh-CN"/>
        </w:rPr>
      </w:pPr>
      <w:bookmarkStart w:id="58" w:name="_Toc25345"/>
      <w:r>
        <w:rPr>
          <w:rFonts w:hint="eastAsia" w:ascii="仿宋" w:hAnsi="仿宋" w:eastAsia="仿宋" w:cs="Arial"/>
          <w:b/>
          <w:kern w:val="0"/>
          <w:sz w:val="32"/>
          <w:szCs w:val="32"/>
        </w:rPr>
        <w:t>1.项</w:t>
      </w:r>
      <w:r>
        <w:rPr>
          <w:rFonts w:hint="eastAsia" w:ascii="仿宋" w:hAnsi="仿宋" w:eastAsia="仿宋" w:cs="Arial"/>
          <w:b/>
          <w:kern w:val="0"/>
          <w:sz w:val="32"/>
          <w:szCs w:val="32"/>
          <w:highlight w:val="none"/>
        </w:rPr>
        <w:t>目前期论证不够充分，</w:t>
      </w:r>
      <w:bookmarkEnd w:id="58"/>
      <w:r>
        <w:rPr>
          <w:rFonts w:hint="eastAsia" w:ascii="仿宋" w:hAnsi="仿宋" w:eastAsia="仿宋" w:cs="Arial"/>
          <w:b/>
          <w:kern w:val="0"/>
          <w:sz w:val="32"/>
          <w:szCs w:val="32"/>
          <w:highlight w:val="none"/>
          <w:lang w:val="en-US" w:eastAsia="zh-CN"/>
        </w:rPr>
        <w:t>代建方</w:t>
      </w:r>
      <w:r>
        <w:rPr>
          <w:rFonts w:hint="eastAsia" w:ascii="仿宋" w:hAnsi="仿宋" w:eastAsia="仿宋" w:cs="Arial"/>
          <w:b/>
          <w:kern w:val="0"/>
          <w:sz w:val="32"/>
          <w:szCs w:val="32"/>
        </w:rPr>
        <w:t>未制定项目统筹实施方案</w:t>
      </w:r>
      <w:r>
        <w:rPr>
          <w:rFonts w:hint="eastAsia" w:ascii="仿宋" w:hAnsi="仿宋" w:eastAsia="仿宋" w:cs="Arial"/>
          <w:b/>
          <w:kern w:val="0"/>
          <w:sz w:val="32"/>
          <w:szCs w:val="32"/>
          <w:lang w:eastAsia="zh-CN"/>
        </w:rPr>
        <w:t>。</w:t>
      </w:r>
    </w:p>
    <w:p>
      <w:pPr>
        <w:adjustRightInd w:val="0"/>
        <w:snapToGrid w:val="0"/>
        <w:spacing w:line="360" w:lineRule="auto"/>
        <w:ind w:firstLine="640" w:firstLineChars="200"/>
        <w:rPr>
          <w:rFonts w:hint="default" w:ascii="仿宋" w:hAnsi="仿宋" w:eastAsia="仿宋"/>
          <w:bCs/>
          <w:kern w:val="0"/>
          <w:sz w:val="32"/>
          <w:szCs w:val="32"/>
          <w:lang w:val="en-US" w:eastAsia="zh-CN"/>
        </w:rPr>
      </w:pPr>
      <w:r>
        <w:rPr>
          <w:rFonts w:hint="eastAsia" w:ascii="仿宋" w:hAnsi="仿宋" w:eastAsia="仿宋"/>
          <w:bCs/>
          <w:color w:val="000000" w:themeColor="text1"/>
          <w:kern w:val="0"/>
          <w:sz w:val="32"/>
          <w:szCs w:val="32"/>
          <w14:textFill>
            <w14:solidFill>
              <w14:schemeClr w14:val="tx1"/>
            </w14:solidFill>
          </w14:textFill>
        </w:rPr>
        <w:t>旗住建局未对48个小区健身器材和儿童游乐设施的需求开展充分的前期调研、论证，项目选择此4</w:t>
      </w:r>
      <w:r>
        <w:rPr>
          <w:rFonts w:ascii="仿宋" w:hAnsi="仿宋" w:eastAsia="仿宋"/>
          <w:bCs/>
          <w:color w:val="000000" w:themeColor="text1"/>
          <w:kern w:val="0"/>
          <w:sz w:val="32"/>
          <w:szCs w:val="32"/>
          <w14:textFill>
            <w14:solidFill>
              <w14:schemeClr w14:val="tx1"/>
            </w14:solidFill>
          </w14:textFill>
        </w:rPr>
        <w:t>8</w:t>
      </w:r>
      <w:r>
        <w:rPr>
          <w:rFonts w:hint="eastAsia" w:ascii="仿宋" w:hAnsi="仿宋" w:eastAsia="仿宋"/>
          <w:bCs/>
          <w:color w:val="000000" w:themeColor="text1"/>
          <w:kern w:val="0"/>
          <w:sz w:val="32"/>
          <w:szCs w:val="32"/>
          <w14:textFill>
            <w14:solidFill>
              <w14:schemeClr w14:val="tx1"/>
            </w14:solidFill>
          </w14:textFill>
        </w:rPr>
        <w:t>个小区的依据、原则等不清晰。且项目缺少对可行性研究报告的论证，可行性研究报告</w:t>
      </w:r>
      <w:r>
        <w:rPr>
          <w:rFonts w:hint="eastAsia" w:ascii="仿宋" w:hAnsi="仿宋" w:eastAsia="仿宋"/>
          <w:bCs/>
          <w:color w:val="000000" w:themeColor="text1"/>
          <w:kern w:val="0"/>
          <w:sz w:val="32"/>
          <w:szCs w:val="32"/>
          <w:lang w:val="en-US" w:eastAsia="zh-CN"/>
          <w14:textFill>
            <w14:solidFill>
              <w14:schemeClr w14:val="tx1"/>
            </w14:solidFill>
          </w14:textFill>
        </w:rPr>
        <w:t>投资金额（3000.00万元）</w:t>
      </w:r>
      <w:r>
        <w:rPr>
          <w:rFonts w:hint="eastAsia" w:ascii="仿宋" w:hAnsi="仿宋" w:eastAsia="仿宋"/>
          <w:bCs/>
          <w:color w:val="000000" w:themeColor="text1"/>
          <w:kern w:val="0"/>
          <w:sz w:val="32"/>
          <w:szCs w:val="32"/>
          <w14:textFill>
            <w14:solidFill>
              <w14:schemeClr w14:val="tx1"/>
            </w14:solidFill>
          </w14:textFill>
        </w:rPr>
        <w:t>与民生实施方案项目投资资金</w:t>
      </w:r>
      <w:r>
        <w:rPr>
          <w:rFonts w:hint="eastAsia" w:ascii="仿宋" w:hAnsi="仿宋" w:eastAsia="仿宋"/>
          <w:bCs/>
          <w:color w:val="000000" w:themeColor="text1"/>
          <w:kern w:val="0"/>
          <w:sz w:val="32"/>
          <w:szCs w:val="32"/>
          <w:lang w:eastAsia="zh-CN"/>
          <w14:textFill>
            <w14:solidFill>
              <w14:schemeClr w14:val="tx1"/>
            </w14:solidFill>
          </w14:textFill>
        </w:rPr>
        <w:t>（</w:t>
      </w:r>
      <w:r>
        <w:rPr>
          <w:rFonts w:hint="eastAsia" w:ascii="仿宋" w:hAnsi="仿宋" w:eastAsia="仿宋"/>
          <w:bCs/>
          <w:color w:val="000000" w:themeColor="text1"/>
          <w:kern w:val="0"/>
          <w:sz w:val="32"/>
          <w:szCs w:val="32"/>
          <w:lang w:val="en-US" w:eastAsia="zh-CN"/>
          <w14:textFill>
            <w14:solidFill>
              <w14:schemeClr w14:val="tx1"/>
            </w14:solidFill>
          </w14:textFill>
        </w:rPr>
        <w:t>700.00万元</w:t>
      </w:r>
      <w:r>
        <w:rPr>
          <w:rFonts w:hint="eastAsia" w:ascii="仿宋" w:hAnsi="仿宋" w:eastAsia="仿宋"/>
          <w:bCs/>
          <w:color w:val="000000" w:themeColor="text1"/>
          <w:kern w:val="0"/>
          <w:sz w:val="32"/>
          <w:szCs w:val="32"/>
          <w:lang w:eastAsia="zh-CN"/>
          <w14:textFill>
            <w14:solidFill>
              <w14:schemeClr w14:val="tx1"/>
            </w14:solidFill>
          </w14:textFill>
        </w:rPr>
        <w:t>）</w:t>
      </w:r>
      <w:r>
        <w:rPr>
          <w:rFonts w:hint="eastAsia" w:ascii="仿宋" w:hAnsi="仿宋" w:eastAsia="仿宋"/>
          <w:bCs/>
          <w:color w:val="000000" w:themeColor="text1"/>
          <w:kern w:val="0"/>
          <w:sz w:val="32"/>
          <w:szCs w:val="32"/>
          <w14:textFill>
            <w14:solidFill>
              <w14:schemeClr w14:val="tx1"/>
            </w14:solidFill>
          </w14:textFill>
        </w:rPr>
        <w:t>差距较大</w:t>
      </w:r>
      <w:r>
        <w:rPr>
          <w:rFonts w:hint="eastAsia" w:ascii="仿宋" w:hAnsi="仿宋" w:eastAsia="仿宋"/>
          <w:bCs/>
          <w:kern w:val="0"/>
          <w:sz w:val="32"/>
          <w:szCs w:val="32"/>
        </w:rPr>
        <w:t>。</w:t>
      </w:r>
      <w:r>
        <w:rPr>
          <w:rFonts w:hint="eastAsia" w:ascii="仿宋" w:hAnsi="仿宋" w:eastAsia="仿宋"/>
          <w:bCs/>
          <w:color w:val="000000" w:themeColor="text1"/>
          <w:kern w:val="0"/>
          <w:sz w:val="32"/>
          <w:szCs w:val="32"/>
          <w:lang w:val="en-US" w:eastAsia="zh-CN"/>
          <w14:textFill>
            <w14:solidFill>
              <w14:schemeClr w14:val="tx1"/>
            </w14:solidFill>
          </w14:textFill>
        </w:rPr>
        <w:t>代建方</w:t>
      </w:r>
      <w:r>
        <w:rPr>
          <w:rFonts w:hint="eastAsia" w:ascii="仿宋" w:hAnsi="仿宋" w:eastAsia="仿宋"/>
          <w:bCs/>
          <w:color w:val="000000" w:themeColor="text1"/>
          <w:kern w:val="0"/>
          <w:sz w:val="32"/>
          <w:szCs w:val="32"/>
          <w14:textFill>
            <w14:solidFill>
              <w14:schemeClr w14:val="tx1"/>
            </w14:solidFill>
          </w14:textFill>
        </w:rPr>
        <w:t>未编制项目整体实施方案，</w:t>
      </w:r>
      <w:r>
        <w:rPr>
          <w:rFonts w:hint="eastAsia" w:ascii="仿宋" w:hAnsi="仿宋" w:eastAsia="仿宋" w:cs="Times New Roman"/>
          <w:sz w:val="32"/>
          <w:szCs w:val="32"/>
        </w:rPr>
        <w:t>不利于对项目整体推进进行全面、有效的管控</w:t>
      </w:r>
      <w:r>
        <w:rPr>
          <w:rFonts w:hint="eastAsia" w:ascii="仿宋" w:hAnsi="仿宋" w:eastAsia="仿宋"/>
          <w:bCs/>
          <w:color w:val="000000" w:themeColor="text1"/>
          <w:kern w:val="0"/>
          <w:sz w:val="32"/>
          <w:szCs w:val="32"/>
          <w:lang w:val="en-US" w:eastAsia="zh-CN"/>
          <w14:textFill>
            <w14:solidFill>
              <w14:schemeClr w14:val="tx1"/>
            </w14:solidFill>
          </w14:textFill>
        </w:rPr>
        <w:t>。</w:t>
      </w:r>
    </w:p>
    <w:p>
      <w:pPr>
        <w:adjustRightInd w:val="0"/>
        <w:snapToGrid w:val="0"/>
        <w:spacing w:line="360" w:lineRule="auto"/>
        <w:ind w:firstLine="643" w:firstLineChars="200"/>
        <w:outlineLvl w:val="2"/>
        <w:rPr>
          <w:rFonts w:hint="eastAsia" w:ascii="仿宋" w:hAnsi="仿宋" w:eastAsia="仿宋" w:cs="Arial"/>
          <w:b/>
          <w:kern w:val="0"/>
          <w:sz w:val="32"/>
          <w:szCs w:val="32"/>
          <w:lang w:eastAsia="zh-CN"/>
        </w:rPr>
      </w:pPr>
      <w:bookmarkStart w:id="59" w:name="_Toc18341"/>
      <w:r>
        <w:rPr>
          <w:rFonts w:hint="eastAsia" w:ascii="仿宋" w:hAnsi="仿宋" w:eastAsia="仿宋" w:cs="Arial"/>
          <w:b/>
          <w:kern w:val="0"/>
          <w:sz w:val="32"/>
          <w:szCs w:val="32"/>
          <w:lang w:val="en-US" w:eastAsia="zh-CN"/>
        </w:rPr>
        <w:t>2</w:t>
      </w:r>
      <w:r>
        <w:rPr>
          <w:rFonts w:hint="eastAsia" w:ascii="仿宋" w:hAnsi="仿宋" w:eastAsia="仿宋" w:cs="Arial"/>
          <w:b/>
          <w:kern w:val="0"/>
          <w:sz w:val="32"/>
          <w:szCs w:val="32"/>
        </w:rPr>
        <w:t>.缺乏预算绩效管理系统学习，目标表编制质量不高</w:t>
      </w:r>
      <w:r>
        <w:rPr>
          <w:rFonts w:hint="eastAsia" w:ascii="仿宋" w:hAnsi="仿宋" w:eastAsia="仿宋" w:cs="Arial"/>
          <w:b/>
          <w:kern w:val="0"/>
          <w:sz w:val="32"/>
          <w:szCs w:val="32"/>
          <w:lang w:eastAsia="zh-CN"/>
        </w:rPr>
        <w:t>。</w:t>
      </w:r>
    </w:p>
    <w:p>
      <w:pPr>
        <w:adjustRightInd w:val="0"/>
        <w:snapToGrid w:val="0"/>
        <w:spacing w:line="360" w:lineRule="auto"/>
        <w:ind w:firstLine="643" w:firstLineChars="200"/>
        <w:outlineLvl w:val="9"/>
        <w:rPr>
          <w:rFonts w:ascii="仿宋" w:hAnsi="仿宋" w:eastAsia="仿宋" w:cs="Arial"/>
          <w:b w:val="0"/>
          <w:bCs/>
          <w:kern w:val="0"/>
          <w:sz w:val="32"/>
          <w:szCs w:val="32"/>
        </w:rPr>
      </w:pPr>
      <w:r>
        <w:rPr>
          <w:rFonts w:hint="eastAsia" w:ascii="仿宋" w:hAnsi="仿宋" w:eastAsia="仿宋" w:cs="Arial"/>
          <w:b/>
          <w:bCs w:val="0"/>
          <w:kern w:val="0"/>
          <w:sz w:val="32"/>
          <w:szCs w:val="32"/>
        </w:rPr>
        <w:t>一是</w:t>
      </w:r>
      <w:r>
        <w:rPr>
          <w:rFonts w:hint="eastAsia" w:ascii="仿宋" w:hAnsi="仿宋" w:eastAsia="仿宋" w:cs="Arial"/>
          <w:b w:val="0"/>
          <w:bCs/>
          <w:kern w:val="0"/>
          <w:sz w:val="32"/>
          <w:szCs w:val="32"/>
        </w:rPr>
        <w:t>由于项目总体目标包含场馆建设，</w:t>
      </w:r>
      <w:r>
        <w:rPr>
          <w:rFonts w:hint="eastAsia" w:ascii="仿宋" w:hAnsi="仿宋" w:eastAsia="仿宋" w:cs="Arial"/>
          <w:b w:val="0"/>
          <w:bCs/>
          <w:kern w:val="0"/>
          <w:sz w:val="32"/>
          <w:szCs w:val="32"/>
          <w:lang w:val="en-US" w:eastAsia="zh-CN"/>
        </w:rPr>
        <w:t>不属于本项目建设内容</w:t>
      </w:r>
      <w:r>
        <w:rPr>
          <w:rFonts w:hint="eastAsia" w:ascii="仿宋" w:hAnsi="仿宋" w:eastAsia="仿宋" w:cs="Arial"/>
          <w:b w:val="0"/>
          <w:bCs/>
          <w:kern w:val="0"/>
          <w:sz w:val="32"/>
          <w:szCs w:val="32"/>
        </w:rPr>
        <w:t>，项目投资额</w:t>
      </w:r>
      <w:r>
        <w:rPr>
          <w:rFonts w:hint="eastAsia" w:ascii="仿宋" w:hAnsi="仿宋" w:eastAsia="仿宋" w:cs="Arial"/>
          <w:b w:val="0"/>
          <w:bCs/>
          <w:kern w:val="0"/>
          <w:sz w:val="32"/>
          <w:szCs w:val="32"/>
          <w:lang w:eastAsia="zh-CN"/>
        </w:rPr>
        <w:t>（</w:t>
      </w:r>
      <w:r>
        <w:rPr>
          <w:rFonts w:hint="eastAsia" w:ascii="仿宋" w:hAnsi="仿宋" w:eastAsia="仿宋" w:cs="Arial"/>
          <w:b w:val="0"/>
          <w:bCs/>
          <w:kern w:val="0"/>
          <w:sz w:val="32"/>
          <w:szCs w:val="32"/>
          <w:lang w:val="en-US" w:eastAsia="zh-CN"/>
        </w:rPr>
        <w:t>3630万元</w:t>
      </w:r>
      <w:r>
        <w:rPr>
          <w:rFonts w:hint="eastAsia" w:ascii="仿宋" w:hAnsi="仿宋" w:eastAsia="仿宋" w:cs="Arial"/>
          <w:b w:val="0"/>
          <w:bCs/>
          <w:kern w:val="0"/>
          <w:sz w:val="32"/>
          <w:szCs w:val="32"/>
          <w:lang w:eastAsia="zh-CN"/>
        </w:rPr>
        <w:t>）</w:t>
      </w:r>
      <w:r>
        <w:rPr>
          <w:rFonts w:hint="eastAsia" w:ascii="仿宋" w:hAnsi="仿宋" w:eastAsia="仿宋" w:cs="Arial"/>
          <w:b w:val="0"/>
          <w:bCs/>
          <w:kern w:val="0"/>
          <w:sz w:val="32"/>
          <w:szCs w:val="32"/>
        </w:rPr>
        <w:t>与本项目预算确定的项目投资额</w:t>
      </w:r>
      <w:r>
        <w:rPr>
          <w:rFonts w:hint="eastAsia" w:ascii="仿宋" w:hAnsi="仿宋" w:eastAsia="仿宋" w:cs="Arial"/>
          <w:b w:val="0"/>
          <w:bCs/>
          <w:kern w:val="0"/>
          <w:sz w:val="32"/>
          <w:szCs w:val="32"/>
          <w:lang w:eastAsia="zh-CN"/>
        </w:rPr>
        <w:t>（</w:t>
      </w:r>
      <w:r>
        <w:rPr>
          <w:rFonts w:hint="eastAsia" w:ascii="仿宋" w:hAnsi="仿宋" w:eastAsia="仿宋" w:cs="Arial"/>
          <w:b w:val="0"/>
          <w:bCs/>
          <w:kern w:val="0"/>
          <w:sz w:val="32"/>
          <w:szCs w:val="32"/>
          <w:lang w:val="en-US" w:eastAsia="zh-CN"/>
        </w:rPr>
        <w:t>700万元</w:t>
      </w:r>
      <w:r>
        <w:rPr>
          <w:rFonts w:hint="eastAsia" w:ascii="仿宋" w:hAnsi="仿宋" w:eastAsia="仿宋" w:cs="Arial"/>
          <w:b w:val="0"/>
          <w:bCs/>
          <w:kern w:val="0"/>
          <w:sz w:val="32"/>
          <w:szCs w:val="32"/>
          <w:lang w:eastAsia="zh-CN"/>
        </w:rPr>
        <w:t>）</w:t>
      </w:r>
      <w:r>
        <w:rPr>
          <w:rFonts w:hint="eastAsia" w:ascii="仿宋" w:hAnsi="仿宋" w:eastAsia="仿宋" w:cs="Arial"/>
          <w:b w:val="0"/>
          <w:bCs/>
          <w:kern w:val="0"/>
          <w:sz w:val="32"/>
          <w:szCs w:val="32"/>
        </w:rPr>
        <w:t>不匹配。</w:t>
      </w:r>
    </w:p>
    <w:p>
      <w:pPr>
        <w:adjustRightInd w:val="0"/>
        <w:snapToGrid w:val="0"/>
        <w:spacing w:line="360" w:lineRule="auto"/>
        <w:ind w:firstLine="643" w:firstLineChars="200"/>
        <w:outlineLvl w:val="9"/>
        <w:rPr>
          <w:rFonts w:ascii="仿宋" w:hAnsi="仿宋" w:eastAsia="仿宋" w:cs="Arial"/>
          <w:b w:val="0"/>
          <w:bCs/>
          <w:kern w:val="0"/>
          <w:sz w:val="32"/>
          <w:szCs w:val="32"/>
        </w:rPr>
      </w:pPr>
      <w:r>
        <w:rPr>
          <w:rFonts w:hint="eastAsia" w:ascii="仿宋" w:hAnsi="仿宋" w:eastAsia="仿宋" w:cs="Arial"/>
          <w:b/>
          <w:bCs w:val="0"/>
          <w:kern w:val="0"/>
          <w:sz w:val="32"/>
          <w:szCs w:val="32"/>
        </w:rPr>
        <w:t>二是</w:t>
      </w:r>
      <w:r>
        <w:rPr>
          <w:rFonts w:hint="eastAsia" w:ascii="仿宋" w:hAnsi="仿宋" w:eastAsia="仿宋" w:cs="Arial"/>
          <w:b w:val="0"/>
          <w:bCs/>
          <w:kern w:val="0"/>
          <w:sz w:val="32"/>
          <w:szCs w:val="32"/>
        </w:rPr>
        <w:t>产出数量指标内容不全面；总体目标中数量指标值数据填写不准确；年度产出质量指标未结合项目实际完整设置，不利于对年度目标完成任务进行有效确认。</w:t>
      </w:r>
    </w:p>
    <w:p>
      <w:pPr>
        <w:adjustRightInd w:val="0"/>
        <w:snapToGrid w:val="0"/>
        <w:spacing w:line="360" w:lineRule="auto"/>
        <w:ind w:firstLine="643" w:firstLineChars="200"/>
        <w:outlineLvl w:val="2"/>
        <w:rPr>
          <w:rFonts w:hint="eastAsia" w:ascii="仿宋" w:hAnsi="仿宋" w:eastAsia="仿宋" w:cs="Arial"/>
          <w:b/>
          <w:kern w:val="0"/>
          <w:sz w:val="32"/>
          <w:szCs w:val="32"/>
          <w:lang w:eastAsia="zh-CN"/>
        </w:rPr>
      </w:pPr>
      <w:r>
        <w:rPr>
          <w:rFonts w:ascii="仿宋" w:hAnsi="仿宋" w:eastAsia="仿宋" w:cs="Arial"/>
          <w:b/>
          <w:kern w:val="0"/>
          <w:sz w:val="32"/>
          <w:szCs w:val="32"/>
        </w:rPr>
        <w:t>3</w:t>
      </w:r>
      <w:r>
        <w:rPr>
          <w:rFonts w:hint="eastAsia" w:ascii="仿宋" w:hAnsi="仿宋" w:eastAsia="仿宋" w:cs="Arial"/>
          <w:b/>
          <w:kern w:val="0"/>
          <w:sz w:val="32"/>
          <w:szCs w:val="32"/>
        </w:rPr>
        <w:t>.财务制度不够健全，</w:t>
      </w:r>
      <w:bookmarkEnd w:id="59"/>
      <w:r>
        <w:rPr>
          <w:rFonts w:hint="eastAsia" w:ascii="仿宋" w:hAnsi="仿宋" w:eastAsia="仿宋" w:cs="Arial"/>
          <w:b/>
          <w:kern w:val="0"/>
          <w:sz w:val="32"/>
          <w:szCs w:val="32"/>
        </w:rPr>
        <w:t>组织实施有效性不足</w:t>
      </w:r>
      <w:r>
        <w:rPr>
          <w:rFonts w:hint="eastAsia" w:ascii="仿宋" w:hAnsi="仿宋" w:eastAsia="仿宋" w:cs="Arial"/>
          <w:b/>
          <w:kern w:val="0"/>
          <w:sz w:val="32"/>
          <w:szCs w:val="32"/>
          <w:lang w:eastAsia="zh-CN"/>
        </w:rPr>
        <w:t>。</w:t>
      </w:r>
    </w:p>
    <w:p>
      <w:pPr>
        <w:widowControl/>
        <w:adjustRightInd w:val="0"/>
        <w:snapToGrid w:val="0"/>
        <w:spacing w:line="360" w:lineRule="auto"/>
        <w:ind w:firstLine="640" w:firstLineChars="200"/>
        <w:rPr>
          <w:rFonts w:ascii="仿宋" w:hAnsi="仿宋" w:eastAsia="仿宋"/>
          <w:bCs/>
          <w:kern w:val="0"/>
          <w:sz w:val="32"/>
          <w:szCs w:val="32"/>
        </w:rPr>
      </w:pPr>
      <w:bookmarkStart w:id="60" w:name="_Toc30754"/>
      <w:bookmarkStart w:id="61" w:name="_Toc17156"/>
      <w:bookmarkStart w:id="62" w:name="_Toc10746"/>
      <w:bookmarkStart w:id="63" w:name="_Toc17359"/>
      <w:r>
        <w:rPr>
          <w:rFonts w:hint="eastAsia" w:ascii="仿宋" w:hAnsi="仿宋" w:eastAsia="仿宋"/>
          <w:bCs/>
          <w:kern w:val="0"/>
          <w:sz w:val="32"/>
          <w:szCs w:val="32"/>
        </w:rPr>
        <w:t>财务制度不够完善。现有的财务管理制度中缺乏针对代建单位的财务约束管理，同时，项目可行性研究报告项目资金</w:t>
      </w:r>
      <w:r>
        <w:rPr>
          <w:rFonts w:hint="eastAsia" w:ascii="仿宋" w:hAnsi="仿宋" w:eastAsia="仿宋"/>
          <w:bCs/>
          <w:kern w:val="0"/>
          <w:sz w:val="32"/>
          <w:szCs w:val="32"/>
          <w:lang w:eastAsia="zh-CN"/>
        </w:rPr>
        <w:t>（</w:t>
      </w:r>
      <w:r>
        <w:rPr>
          <w:rFonts w:hint="eastAsia" w:ascii="仿宋" w:hAnsi="仿宋" w:eastAsia="仿宋"/>
          <w:bCs/>
          <w:kern w:val="0"/>
          <w:sz w:val="32"/>
          <w:szCs w:val="32"/>
          <w:lang w:val="en-US" w:eastAsia="zh-CN"/>
        </w:rPr>
        <w:t>3000万元</w:t>
      </w:r>
      <w:r>
        <w:rPr>
          <w:rFonts w:hint="eastAsia" w:ascii="仿宋" w:hAnsi="仿宋" w:eastAsia="仿宋"/>
          <w:bCs/>
          <w:kern w:val="0"/>
          <w:sz w:val="32"/>
          <w:szCs w:val="32"/>
          <w:lang w:eastAsia="zh-CN"/>
        </w:rPr>
        <w:t>）</w:t>
      </w:r>
      <w:r>
        <w:rPr>
          <w:rFonts w:hint="eastAsia" w:ascii="仿宋" w:hAnsi="仿宋" w:eastAsia="仿宋"/>
          <w:bCs/>
          <w:kern w:val="0"/>
          <w:sz w:val="32"/>
          <w:szCs w:val="32"/>
        </w:rPr>
        <w:t>与民生实事项目分解方案中的投资金额</w:t>
      </w:r>
      <w:r>
        <w:rPr>
          <w:rFonts w:hint="eastAsia" w:ascii="仿宋" w:hAnsi="仿宋" w:eastAsia="仿宋"/>
          <w:bCs/>
          <w:kern w:val="0"/>
          <w:sz w:val="32"/>
          <w:szCs w:val="32"/>
          <w:lang w:eastAsia="zh-CN"/>
        </w:rPr>
        <w:t>（</w:t>
      </w:r>
      <w:r>
        <w:rPr>
          <w:rFonts w:hint="eastAsia" w:ascii="仿宋" w:hAnsi="仿宋" w:eastAsia="仿宋"/>
          <w:bCs/>
          <w:kern w:val="0"/>
          <w:sz w:val="32"/>
          <w:szCs w:val="32"/>
          <w:lang w:val="en-US" w:eastAsia="zh-CN"/>
        </w:rPr>
        <w:t>700万元</w:t>
      </w:r>
      <w:r>
        <w:rPr>
          <w:rFonts w:hint="eastAsia" w:ascii="仿宋" w:hAnsi="仿宋" w:eastAsia="仿宋"/>
          <w:bCs/>
          <w:kern w:val="0"/>
          <w:sz w:val="32"/>
          <w:szCs w:val="32"/>
          <w:lang w:eastAsia="zh-CN"/>
        </w:rPr>
        <w:t>）</w:t>
      </w:r>
      <w:r>
        <w:rPr>
          <w:rFonts w:hint="eastAsia" w:ascii="仿宋" w:hAnsi="仿宋" w:eastAsia="仿宋"/>
          <w:bCs/>
          <w:kern w:val="0"/>
          <w:sz w:val="32"/>
          <w:szCs w:val="32"/>
        </w:rPr>
        <w:t>差异较大，项目资金由3000万元调整为700万</w:t>
      </w:r>
      <w:r>
        <w:rPr>
          <w:rFonts w:hint="eastAsia" w:ascii="仿宋" w:hAnsi="仿宋" w:eastAsia="仿宋"/>
          <w:bCs/>
          <w:kern w:val="0"/>
          <w:sz w:val="32"/>
          <w:szCs w:val="32"/>
          <w:lang w:eastAsia="zh-CN"/>
        </w:rPr>
        <w:t>元</w:t>
      </w:r>
      <w:r>
        <w:rPr>
          <w:rFonts w:hint="eastAsia" w:ascii="仿宋" w:hAnsi="仿宋" w:eastAsia="仿宋"/>
          <w:bCs/>
          <w:kern w:val="0"/>
          <w:sz w:val="32"/>
          <w:szCs w:val="32"/>
        </w:rPr>
        <w:t>无资金变更手续；且建设工程竣工验收报告无具体竣工验收时间及验收内容，组织实施有效性不足。</w:t>
      </w:r>
    </w:p>
    <w:bookmarkEnd w:id="60"/>
    <w:bookmarkEnd w:id="61"/>
    <w:bookmarkEnd w:id="62"/>
    <w:bookmarkEnd w:id="63"/>
    <w:p>
      <w:pPr>
        <w:adjustRightInd w:val="0"/>
        <w:snapToGrid w:val="0"/>
        <w:spacing w:line="360" w:lineRule="auto"/>
        <w:ind w:firstLine="643" w:firstLineChars="200"/>
        <w:outlineLvl w:val="1"/>
        <w:rPr>
          <w:rFonts w:ascii="楷体" w:hAnsi="楷体" w:eastAsia="楷体" w:cs="Arial"/>
          <w:b/>
          <w:kern w:val="0"/>
          <w:sz w:val="32"/>
          <w:szCs w:val="32"/>
        </w:rPr>
      </w:pPr>
      <w:bookmarkStart w:id="64" w:name="_Toc6905"/>
      <w:bookmarkStart w:id="65" w:name="_Toc1659"/>
      <w:bookmarkStart w:id="66" w:name="_Toc19007"/>
      <w:bookmarkStart w:id="67" w:name="_Toc580"/>
      <w:bookmarkStart w:id="68" w:name="_Toc16421"/>
      <w:bookmarkStart w:id="69" w:name="_Toc19795"/>
      <w:r>
        <w:rPr>
          <w:rFonts w:hint="eastAsia" w:ascii="楷体" w:hAnsi="楷体" w:eastAsia="楷体" w:cs="Arial"/>
          <w:b/>
          <w:kern w:val="0"/>
          <w:sz w:val="32"/>
          <w:szCs w:val="32"/>
        </w:rPr>
        <w:t>（二）有关建议</w:t>
      </w:r>
      <w:bookmarkEnd w:id="64"/>
      <w:bookmarkEnd w:id="65"/>
      <w:bookmarkEnd w:id="66"/>
      <w:bookmarkEnd w:id="67"/>
      <w:bookmarkEnd w:id="68"/>
      <w:bookmarkEnd w:id="69"/>
    </w:p>
    <w:p>
      <w:pPr>
        <w:adjustRightInd w:val="0"/>
        <w:snapToGrid w:val="0"/>
        <w:spacing w:line="360" w:lineRule="auto"/>
        <w:ind w:firstLine="643" w:firstLineChars="200"/>
        <w:outlineLvl w:val="2"/>
        <w:rPr>
          <w:rFonts w:hint="eastAsia" w:ascii="仿宋" w:hAnsi="仿宋" w:eastAsia="仿宋" w:cs="Arial"/>
          <w:b/>
          <w:kern w:val="0"/>
          <w:sz w:val="32"/>
          <w:szCs w:val="32"/>
          <w:lang w:val="en-US" w:eastAsia="zh-CN"/>
        </w:rPr>
      </w:pPr>
      <w:bookmarkStart w:id="70" w:name="_Toc55486363"/>
      <w:bookmarkStart w:id="71" w:name="_Toc55520104"/>
      <w:bookmarkStart w:id="72" w:name="_Toc16763"/>
      <w:r>
        <w:rPr>
          <w:rFonts w:hint="eastAsia" w:ascii="仿宋" w:hAnsi="仿宋" w:eastAsia="仿宋" w:cs="Arial"/>
          <w:b/>
          <w:kern w:val="0"/>
          <w:sz w:val="32"/>
          <w:szCs w:val="32"/>
        </w:rPr>
        <w:t>1.</w:t>
      </w:r>
      <w:bookmarkEnd w:id="70"/>
      <w:bookmarkEnd w:id="71"/>
      <w:r>
        <w:rPr>
          <w:rFonts w:hint="eastAsia" w:ascii="仿宋" w:hAnsi="仿宋" w:eastAsia="仿宋" w:cs="Arial"/>
          <w:b/>
          <w:kern w:val="0"/>
          <w:sz w:val="32"/>
          <w:szCs w:val="32"/>
        </w:rPr>
        <w:t>强化项目前</w:t>
      </w:r>
      <w:r>
        <w:rPr>
          <w:rFonts w:hint="eastAsia" w:ascii="仿宋" w:hAnsi="仿宋" w:eastAsia="仿宋" w:cs="Arial"/>
          <w:b/>
          <w:kern w:val="0"/>
          <w:sz w:val="32"/>
          <w:szCs w:val="32"/>
          <w:highlight w:val="none"/>
        </w:rPr>
        <w:t>期调研论证，</w:t>
      </w:r>
      <w:bookmarkEnd w:id="72"/>
      <w:r>
        <w:rPr>
          <w:rFonts w:hint="eastAsia" w:ascii="仿宋" w:hAnsi="仿宋" w:eastAsia="仿宋" w:cs="Arial"/>
          <w:b/>
          <w:kern w:val="0"/>
          <w:sz w:val="32"/>
          <w:szCs w:val="32"/>
        </w:rPr>
        <w:t>科学制定项目统筹实施方案</w:t>
      </w:r>
      <w:r>
        <w:rPr>
          <w:rFonts w:hint="eastAsia" w:ascii="仿宋" w:hAnsi="仿宋" w:eastAsia="仿宋" w:cs="Arial"/>
          <w:b/>
          <w:kern w:val="0"/>
          <w:sz w:val="32"/>
          <w:szCs w:val="32"/>
          <w:lang w:eastAsia="zh-CN"/>
        </w:rPr>
        <w:t>。</w:t>
      </w:r>
    </w:p>
    <w:p>
      <w:pPr>
        <w:widowControl/>
        <w:adjustRightInd w:val="0"/>
        <w:snapToGrid w:val="0"/>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建议旗住建局在前期对项目实施的规模、标准等进行充分调研，对48个小区健身器材和儿童游乐设施的需求数量进行有效确认，摸清全旗需安装的健身器材和游乐设施</w:t>
      </w:r>
      <w:r>
        <w:rPr>
          <w:rFonts w:hint="eastAsia" w:ascii="仿宋" w:hAnsi="仿宋" w:eastAsia="仿宋" w:cs="仿宋"/>
          <w:sz w:val="32"/>
          <w:szCs w:val="32"/>
          <w:lang w:val="en-US" w:eastAsia="zh-CN"/>
        </w:rPr>
        <w:t>并形成调研报告等支撑性文件，</w:t>
      </w:r>
      <w:r>
        <w:rPr>
          <w:rFonts w:hint="eastAsia" w:ascii="仿宋" w:hAnsi="仿宋" w:eastAsia="仿宋" w:cs="仿宋"/>
          <w:sz w:val="32"/>
          <w:szCs w:val="32"/>
        </w:rPr>
        <w:t>从而为项目顺利实施及完成提供支撑</w:t>
      </w:r>
      <w:r>
        <w:rPr>
          <w:rFonts w:hint="eastAsia" w:ascii="仿宋" w:hAnsi="仿宋" w:eastAsia="仿宋" w:cs="仿宋"/>
          <w:sz w:val="32"/>
          <w:szCs w:val="32"/>
          <w:lang w:eastAsia="zh-CN"/>
        </w:rPr>
        <w:t>。</w:t>
      </w:r>
    </w:p>
    <w:p>
      <w:pPr>
        <w:widowControl/>
        <w:adjustRightInd w:val="0"/>
        <w:snapToGrid w:val="0"/>
        <w:spacing w:line="360" w:lineRule="auto"/>
        <w:ind w:firstLine="640" w:firstLineChars="200"/>
        <w:rPr>
          <w:rFonts w:ascii="仿宋" w:hAnsi="仿宋" w:eastAsia="仿宋" w:cs="Arial"/>
          <w:b/>
          <w:kern w:val="0"/>
          <w:sz w:val="32"/>
          <w:szCs w:val="32"/>
        </w:rPr>
      </w:pPr>
      <w:r>
        <w:rPr>
          <w:rFonts w:hint="eastAsia" w:ascii="仿宋" w:hAnsi="仿宋" w:eastAsia="仿宋" w:cs="仿宋"/>
          <w:sz w:val="32"/>
          <w:szCs w:val="32"/>
        </w:rPr>
        <w:t>建议</w:t>
      </w:r>
      <w:r>
        <w:rPr>
          <w:rFonts w:hint="eastAsia" w:ascii="仿宋" w:hAnsi="仿宋" w:eastAsia="仿宋" w:cs="仿宋"/>
          <w:sz w:val="32"/>
          <w:szCs w:val="32"/>
          <w:lang w:val="en-US" w:eastAsia="zh-CN"/>
        </w:rPr>
        <w:t>代建方</w:t>
      </w:r>
      <w:r>
        <w:rPr>
          <w:rFonts w:hint="eastAsia" w:ascii="仿宋" w:hAnsi="仿宋" w:eastAsia="仿宋" w:cs="Arial"/>
          <w:bCs/>
          <w:kern w:val="0"/>
          <w:sz w:val="32"/>
          <w:szCs w:val="32"/>
        </w:rPr>
        <w:t>强化项目管理全局意识，统筹规划项目从头至尾、从上到下的管理，结合项目实际情况，制定包含总体和分年度</w:t>
      </w:r>
      <w:r>
        <w:rPr>
          <w:rFonts w:hint="eastAsia" w:ascii="仿宋" w:hAnsi="仿宋" w:eastAsia="仿宋" w:cs="仿宋"/>
          <w:sz w:val="32"/>
          <w:szCs w:val="32"/>
        </w:rPr>
        <w:t>工作内容、项目管理组成员职责划分、项目工作进度安排、资金管理计划、项目定期或不定期监督检查管理制度、验收方案、风险控制措施等具体要求的项目实施方案，用于全面指导项目组织实施。</w:t>
      </w:r>
    </w:p>
    <w:p>
      <w:pPr>
        <w:adjustRightInd w:val="0"/>
        <w:snapToGrid w:val="0"/>
        <w:spacing w:line="360" w:lineRule="auto"/>
        <w:ind w:firstLine="643" w:firstLineChars="200"/>
        <w:outlineLvl w:val="2"/>
        <w:rPr>
          <w:rFonts w:hint="eastAsia" w:ascii="仿宋" w:hAnsi="仿宋" w:eastAsia="仿宋" w:cs="Arial"/>
          <w:b/>
          <w:kern w:val="0"/>
          <w:sz w:val="32"/>
          <w:szCs w:val="32"/>
          <w:lang w:eastAsia="zh-CN"/>
        </w:rPr>
      </w:pPr>
      <w:bookmarkStart w:id="73" w:name="_Toc23810"/>
      <w:r>
        <w:rPr>
          <w:rFonts w:hint="eastAsia" w:ascii="仿宋" w:hAnsi="仿宋" w:eastAsia="仿宋" w:cs="Arial"/>
          <w:b/>
          <w:kern w:val="0"/>
          <w:sz w:val="32"/>
          <w:szCs w:val="32"/>
          <w:lang w:val="en-US" w:eastAsia="zh-CN"/>
        </w:rPr>
        <w:t>2</w:t>
      </w:r>
      <w:r>
        <w:rPr>
          <w:rFonts w:hint="eastAsia" w:ascii="仿宋" w:hAnsi="仿宋" w:eastAsia="仿宋" w:cs="Arial"/>
          <w:b/>
          <w:kern w:val="0"/>
          <w:sz w:val="32"/>
          <w:szCs w:val="32"/>
        </w:rPr>
        <w:t>.加强预算绩效管理学习，完善项目目标编写</w:t>
      </w:r>
      <w:r>
        <w:rPr>
          <w:rFonts w:hint="eastAsia" w:ascii="仿宋" w:hAnsi="仿宋" w:eastAsia="仿宋" w:cs="Arial"/>
          <w:b/>
          <w:kern w:val="0"/>
          <w:sz w:val="32"/>
          <w:szCs w:val="32"/>
          <w:lang w:eastAsia="zh-CN"/>
        </w:rPr>
        <w:t>。</w:t>
      </w:r>
    </w:p>
    <w:p>
      <w:pPr>
        <w:adjustRightInd w:val="0"/>
        <w:snapToGrid w:val="0"/>
        <w:spacing w:line="360" w:lineRule="auto"/>
        <w:ind w:firstLine="640" w:firstLineChars="200"/>
        <w:outlineLvl w:val="9"/>
        <w:rPr>
          <w:rFonts w:ascii="仿宋" w:hAnsi="仿宋" w:eastAsia="仿宋" w:cs="Arial"/>
          <w:b w:val="0"/>
          <w:bCs/>
          <w:kern w:val="0"/>
          <w:sz w:val="32"/>
          <w:szCs w:val="32"/>
        </w:rPr>
      </w:pPr>
      <w:r>
        <w:rPr>
          <w:rFonts w:hint="eastAsia" w:ascii="仿宋" w:hAnsi="仿宋" w:eastAsia="仿宋" w:cs="Arial"/>
          <w:b w:val="0"/>
          <w:bCs/>
          <w:kern w:val="0"/>
          <w:sz w:val="32"/>
          <w:szCs w:val="32"/>
        </w:rPr>
        <w:t>建议旗住建局加强预算绩效管理学习，针对跨年度项目计划实施内容、筹资计划及管理要求等，在制定总体目标基础上，对总体目标进行有效的年度分解，确保总体目标、年度目标和对应指标设置与对应周期项目计划实施内容、预算相匹配。同时，将目标细化分解为全面、具体的绩效指标，充分论证指标的可考核性，全面体现项目预期产出及效益，为后续项目实施管理及过程把控提供依据。</w:t>
      </w:r>
    </w:p>
    <w:p>
      <w:pPr>
        <w:adjustRightInd w:val="0"/>
        <w:snapToGrid w:val="0"/>
        <w:spacing w:line="360" w:lineRule="auto"/>
        <w:ind w:firstLine="643" w:firstLineChars="200"/>
        <w:outlineLvl w:val="2"/>
        <w:rPr>
          <w:rFonts w:hint="eastAsia" w:ascii="仿宋" w:hAnsi="仿宋" w:eastAsia="仿宋" w:cs="Arial"/>
          <w:b/>
          <w:kern w:val="0"/>
          <w:sz w:val="32"/>
          <w:szCs w:val="32"/>
          <w:lang w:eastAsia="zh-CN"/>
        </w:rPr>
      </w:pPr>
      <w:r>
        <w:rPr>
          <w:rFonts w:ascii="仿宋" w:hAnsi="仿宋" w:eastAsia="仿宋" w:cs="Arial"/>
          <w:b/>
          <w:kern w:val="0"/>
          <w:sz w:val="32"/>
          <w:szCs w:val="32"/>
        </w:rPr>
        <w:t>3</w:t>
      </w:r>
      <w:r>
        <w:rPr>
          <w:rFonts w:hint="eastAsia" w:ascii="仿宋" w:hAnsi="仿宋" w:eastAsia="仿宋" w:cs="Arial"/>
          <w:b/>
          <w:kern w:val="0"/>
          <w:sz w:val="32"/>
          <w:szCs w:val="32"/>
        </w:rPr>
        <w:t>.强化项目制度建设</w:t>
      </w:r>
      <w:bookmarkEnd w:id="73"/>
      <w:r>
        <w:rPr>
          <w:rFonts w:hint="eastAsia" w:ascii="仿宋" w:hAnsi="仿宋" w:eastAsia="仿宋" w:cs="Arial"/>
          <w:b/>
          <w:kern w:val="0"/>
          <w:sz w:val="32"/>
          <w:szCs w:val="32"/>
        </w:rPr>
        <w:t>，提升组织实施有效性</w:t>
      </w:r>
      <w:r>
        <w:rPr>
          <w:rFonts w:hint="eastAsia" w:ascii="仿宋" w:hAnsi="仿宋" w:eastAsia="仿宋" w:cs="Arial"/>
          <w:b/>
          <w:kern w:val="0"/>
          <w:sz w:val="32"/>
          <w:szCs w:val="32"/>
          <w:lang w:eastAsia="zh-CN"/>
        </w:rPr>
        <w:t>。</w:t>
      </w:r>
    </w:p>
    <w:p>
      <w:pPr>
        <w:widowControl/>
        <w:adjustRightInd w:val="0"/>
        <w:snapToGrid w:val="0"/>
        <w:spacing w:line="360" w:lineRule="auto"/>
        <w:ind w:firstLine="640" w:firstLineChars="200"/>
        <w:rPr>
          <w:rFonts w:ascii="仿宋" w:hAnsi="仿宋" w:eastAsia="仿宋" w:cs="Arial"/>
          <w:b/>
          <w:kern w:val="0"/>
          <w:sz w:val="32"/>
          <w:szCs w:val="32"/>
        </w:rPr>
      </w:pPr>
      <w:r>
        <w:rPr>
          <w:rFonts w:hint="eastAsia" w:ascii="仿宋" w:hAnsi="仿宋" w:eastAsia="仿宋" w:cs="Times New Roman"/>
          <w:bCs/>
          <w:sz w:val="32"/>
          <w:szCs w:val="32"/>
        </w:rPr>
        <w:t>建议旗住建局结合项目特点，制定针对代建单位资金管理的相关制度或控制措施，对代建单位</w:t>
      </w:r>
      <w:r>
        <w:rPr>
          <w:rFonts w:hint="eastAsia" w:ascii="仿宋" w:hAnsi="仿宋" w:eastAsia="仿宋"/>
          <w:bCs/>
          <w:kern w:val="0"/>
          <w:sz w:val="32"/>
          <w:szCs w:val="32"/>
        </w:rPr>
        <w:t>工程进度、安全、质量的监管做</w:t>
      </w:r>
      <w:r>
        <w:rPr>
          <w:rFonts w:hint="eastAsia" w:ascii="仿宋" w:hAnsi="仿宋" w:eastAsia="仿宋"/>
          <w:bCs/>
          <w:kern w:val="0"/>
          <w:sz w:val="32"/>
          <w:szCs w:val="32"/>
          <w:lang w:eastAsia="zh-CN"/>
        </w:rPr>
        <w:t>出</w:t>
      </w:r>
      <w:r>
        <w:rPr>
          <w:rFonts w:hint="eastAsia" w:ascii="仿宋" w:hAnsi="仿宋" w:eastAsia="仿宋"/>
          <w:bCs/>
          <w:kern w:val="0"/>
          <w:sz w:val="32"/>
          <w:szCs w:val="32"/>
        </w:rPr>
        <w:t>进一步的细化落实；</w:t>
      </w:r>
      <w:r>
        <w:rPr>
          <w:rFonts w:hint="eastAsia" w:ascii="仿宋" w:hAnsi="仿宋" w:eastAsia="仿宋" w:cs="Times New Roman"/>
          <w:bCs/>
          <w:sz w:val="32"/>
          <w:szCs w:val="32"/>
        </w:rPr>
        <w:t>同时，加强工程验收管理，针对有资金变更的事项，履行相应的调整程序和手续，进一步提高项目精细化管理水平。</w:t>
      </w:r>
    </w:p>
    <w:p>
      <w:pPr>
        <w:widowControl/>
        <w:adjustRightInd w:val="0"/>
        <w:snapToGrid w:val="0"/>
        <w:spacing w:line="360" w:lineRule="auto"/>
        <w:ind w:firstLine="643" w:firstLineChars="200"/>
        <w:outlineLvl w:val="2"/>
        <w:rPr>
          <w:rFonts w:hint="eastAsia" w:ascii="仿宋" w:hAnsi="仿宋" w:eastAsia="仿宋" w:cs="Arial"/>
          <w:b/>
          <w:kern w:val="0"/>
          <w:sz w:val="32"/>
          <w:szCs w:val="32"/>
          <w:lang w:eastAsia="zh-CN"/>
        </w:rPr>
      </w:pPr>
      <w:bookmarkStart w:id="74" w:name="_Toc9008"/>
      <w:r>
        <w:rPr>
          <w:rFonts w:hint="eastAsia" w:ascii="仿宋" w:hAnsi="仿宋" w:eastAsia="仿宋" w:cs="Arial"/>
          <w:b/>
          <w:kern w:val="0"/>
          <w:sz w:val="32"/>
          <w:szCs w:val="32"/>
        </w:rPr>
        <w:t>4.完善满意度调查机制，为项目提供决策依据</w:t>
      </w:r>
      <w:bookmarkEnd w:id="74"/>
      <w:r>
        <w:rPr>
          <w:rFonts w:hint="eastAsia" w:ascii="仿宋" w:hAnsi="仿宋" w:eastAsia="仿宋" w:cs="Arial"/>
          <w:b/>
          <w:kern w:val="0"/>
          <w:sz w:val="32"/>
          <w:szCs w:val="32"/>
          <w:lang w:eastAsia="zh-CN"/>
        </w:rPr>
        <w:t>。</w:t>
      </w:r>
    </w:p>
    <w:p>
      <w:pPr>
        <w:widowControl/>
        <w:adjustRightInd w:val="0"/>
        <w:snapToGrid w:val="0"/>
        <w:spacing w:line="360" w:lineRule="auto"/>
        <w:ind w:firstLine="640" w:firstLineChars="200"/>
        <w:outlineLvl w:val="9"/>
        <w:rPr>
          <w:rFonts w:hint="eastAsia" w:ascii="仿宋" w:hAnsi="仿宋" w:eastAsia="仿宋" w:cs="Times New Roman"/>
          <w:bCs/>
          <w:sz w:val="32"/>
          <w:szCs w:val="32"/>
        </w:rPr>
      </w:pPr>
      <w:bookmarkStart w:id="75" w:name="_Toc474"/>
      <w:r>
        <w:rPr>
          <w:rFonts w:hint="eastAsia" w:ascii="仿宋" w:hAnsi="仿宋" w:eastAsia="仿宋" w:cs="Times New Roman"/>
          <w:bCs/>
          <w:sz w:val="32"/>
          <w:szCs w:val="32"/>
        </w:rPr>
        <w:t>建议旗住建局在项目实施完成后，结合项目内容，设计满意度调查问卷，及时对受益社区居民开展满意度调查，深入了解居民对项目实施的满意度以及项目存在的问题，摸清社区居民需求及满意度情况，从而为项目后续工作开展及改进提供决策依据。</w:t>
      </w:r>
      <w:bookmarkEnd w:id="75"/>
    </w:p>
    <w:sectPr>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523B602-EA31-4EA9-97B0-512DB76A0346}"/>
  </w:font>
  <w:font w:name="黑体">
    <w:panose1 w:val="02010609060101010101"/>
    <w:charset w:val="86"/>
    <w:family w:val="auto"/>
    <w:pitch w:val="default"/>
    <w:sig w:usb0="800002BF" w:usb1="38CF7CFA" w:usb2="00000016" w:usb3="00000000" w:csb0="00040001" w:csb1="00000000"/>
    <w:embedRegular r:id="rId2" w:fontKey="{2C50B0C5-271D-4E31-A80A-171281560E4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embedRegular r:id="rId3" w:fontKey="{FDE55C89-089A-40A2-A4E1-B6C1CE95C21D}"/>
  </w:font>
  <w:font w:name="楷体">
    <w:panose1 w:val="02010609060101010101"/>
    <w:charset w:val="86"/>
    <w:family w:val="modern"/>
    <w:pitch w:val="default"/>
    <w:sig w:usb0="800002BF" w:usb1="38CF7CFA" w:usb2="00000016" w:usb3="00000000" w:csb0="00040001" w:csb1="00000000"/>
    <w:embedRegular r:id="rId4" w:fontKey="{7F5DFE7E-C8B5-4179-A802-ECD73D07E7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36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0"/>
                      <w:ind w:firstLine="36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zZTdjZDgyMWJmMjRlNTU5OGMxYjdmNjdmZmRlMWMifQ=="/>
  </w:docVars>
  <w:rsids>
    <w:rsidRoot w:val="00000000"/>
    <w:rsid w:val="0F334EAC"/>
    <w:rsid w:val="0FBD234E"/>
    <w:rsid w:val="11B00A36"/>
    <w:rsid w:val="15267261"/>
    <w:rsid w:val="16EE2C1E"/>
    <w:rsid w:val="17742506"/>
    <w:rsid w:val="1BF07BBC"/>
    <w:rsid w:val="206E27EF"/>
    <w:rsid w:val="23496F3C"/>
    <w:rsid w:val="23812232"/>
    <w:rsid w:val="24C61A2F"/>
    <w:rsid w:val="2D06485F"/>
    <w:rsid w:val="2D483DC1"/>
    <w:rsid w:val="36CF0C17"/>
    <w:rsid w:val="397B72CC"/>
    <w:rsid w:val="39D30EB6"/>
    <w:rsid w:val="3DE9514C"/>
    <w:rsid w:val="3EA33ABE"/>
    <w:rsid w:val="422A57C3"/>
    <w:rsid w:val="47573E46"/>
    <w:rsid w:val="49D767A1"/>
    <w:rsid w:val="508B19E5"/>
    <w:rsid w:val="57A852D8"/>
    <w:rsid w:val="5D2E242D"/>
    <w:rsid w:val="5D49149F"/>
    <w:rsid w:val="69855479"/>
    <w:rsid w:val="6EA33DE2"/>
    <w:rsid w:val="738F42CB"/>
    <w:rsid w:val="78EE6B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6"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5">
    <w:name w:val="annotation text"/>
    <w:basedOn w:val="1"/>
    <w:link w:val="31"/>
    <w:qFormat/>
    <w:uiPriority w:val="0"/>
    <w:pPr>
      <w:jc w:val="left"/>
    </w:pPr>
  </w:style>
  <w:style w:type="paragraph" w:styleId="6">
    <w:name w:val="Body Text"/>
    <w:basedOn w:val="1"/>
    <w:next w:val="7"/>
    <w:qFormat/>
    <w:uiPriority w:val="0"/>
    <w:rPr>
      <w:sz w:val="28"/>
    </w:rPr>
  </w:style>
  <w:style w:type="paragraph" w:styleId="7">
    <w:name w:val="index 9"/>
    <w:basedOn w:val="1"/>
    <w:next w:val="1"/>
    <w:qFormat/>
    <w:uiPriority w:val="0"/>
    <w:pPr>
      <w:ind w:left="3360"/>
    </w:pPr>
  </w:style>
  <w:style w:type="paragraph" w:styleId="8">
    <w:name w:val="Body Text Indent"/>
    <w:basedOn w:val="1"/>
    <w:unhideWhenUsed/>
    <w:qFormat/>
    <w:uiPriority w:val="99"/>
    <w:pPr>
      <w:spacing w:after="120"/>
      <w:ind w:left="420" w:leftChars="200"/>
    </w:pPr>
    <w:rPr>
      <w:rFonts w:ascii="Times New Roman" w:hAnsi="Times New Roman"/>
    </w:rPr>
  </w:style>
  <w:style w:type="paragraph" w:styleId="9">
    <w:name w:val="toc 3"/>
    <w:basedOn w:val="1"/>
    <w:next w:val="1"/>
    <w:qFormat/>
    <w:uiPriority w:val="0"/>
    <w:pPr>
      <w:ind w:left="840" w:leftChars="400"/>
    </w:pPr>
  </w:style>
  <w:style w:type="paragraph" w:styleId="10">
    <w:name w:val="footer"/>
    <w:basedOn w:val="1"/>
    <w:unhideWhenUsed/>
    <w:qFormat/>
    <w:uiPriority w:val="99"/>
    <w:pPr>
      <w:tabs>
        <w:tab w:val="center" w:pos="4153"/>
        <w:tab w:val="right" w:pos="8306"/>
      </w:tabs>
      <w:snapToGrid w:val="0"/>
      <w:ind w:firstLine="200" w:firstLineChars="200"/>
      <w:jc w:val="left"/>
    </w:pPr>
    <w:rPr>
      <w:rFonts w:ascii="Calibri" w:hAnsi="Calibri" w:eastAsia="仿宋" w:cs="Times New Roman"/>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right" w:leader="dot" w:pos="8302"/>
      </w:tabs>
    </w:pPr>
    <w:rPr>
      <w:rFonts w:ascii="仿宋" w:hAnsi="仿宋" w:eastAsia="仿宋" w:cs="Times New Roman"/>
      <w:b/>
      <w:sz w:val="28"/>
      <w:szCs w:val="28"/>
    </w:rPr>
  </w:style>
  <w:style w:type="paragraph" w:styleId="13">
    <w:name w:val="footnote text"/>
    <w:basedOn w:val="1"/>
    <w:qFormat/>
    <w:uiPriority w:val="99"/>
    <w:pPr>
      <w:snapToGrid w:val="0"/>
      <w:jc w:val="left"/>
    </w:pPr>
    <w:rPr>
      <w:sz w:val="18"/>
    </w:rPr>
  </w:style>
  <w:style w:type="paragraph" w:styleId="14">
    <w:name w:val="toc 2"/>
    <w:basedOn w:val="1"/>
    <w:next w:val="1"/>
    <w:unhideWhenUsed/>
    <w:qFormat/>
    <w:uiPriority w:val="39"/>
    <w:pPr>
      <w:ind w:left="420" w:leftChars="200"/>
    </w:pPr>
  </w:style>
  <w:style w:type="paragraph" w:styleId="15">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16">
    <w:name w:val="annotation subject"/>
    <w:basedOn w:val="5"/>
    <w:next w:val="5"/>
    <w:link w:val="32"/>
    <w:qFormat/>
    <w:uiPriority w:val="0"/>
    <w:rPr>
      <w:b/>
      <w:bCs/>
    </w:rPr>
  </w:style>
  <w:style w:type="paragraph" w:styleId="17">
    <w:name w:val="Body Text First Indent 2"/>
    <w:basedOn w:val="8"/>
    <w:qFormat/>
    <w:uiPriority w:val="6"/>
    <w:pPr>
      <w:ind w:firstLine="420"/>
    </w:pPr>
    <w:rPr>
      <w:rFonts w:cs="Times New Roman"/>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qFormat/>
    <w:uiPriority w:val="0"/>
    <w:rPr>
      <w:sz w:val="21"/>
      <w:szCs w:val="21"/>
    </w:rPr>
  </w:style>
  <w:style w:type="character" w:styleId="22">
    <w:name w:val="footnote reference"/>
    <w:basedOn w:val="20"/>
    <w:qFormat/>
    <w:uiPriority w:val="0"/>
    <w:rPr>
      <w:vertAlign w:val="superscript"/>
    </w:rPr>
  </w:style>
  <w:style w:type="character" w:customStyle="1" w:styleId="23">
    <w:name w:val="标题 1 字符"/>
    <w:link w:val="2"/>
    <w:qFormat/>
    <w:uiPriority w:val="9"/>
    <w:rPr>
      <w:rFonts w:ascii="Times New Roman" w:hAnsi="Times New Roman" w:eastAsia="宋体" w:cs="Times New Roman"/>
      <w:b/>
      <w:bCs/>
      <w:kern w:val="44"/>
      <w:sz w:val="44"/>
      <w:szCs w:val="44"/>
    </w:rPr>
  </w:style>
  <w:style w:type="character" w:customStyle="1" w:styleId="24">
    <w:name w:val="font31"/>
    <w:basedOn w:val="20"/>
    <w:qFormat/>
    <w:uiPriority w:val="0"/>
    <w:rPr>
      <w:rFonts w:hint="eastAsia" w:ascii="宋体" w:hAnsi="宋体" w:eastAsia="宋体" w:cs="宋体"/>
      <w:color w:val="FF0000"/>
      <w:sz w:val="20"/>
      <w:szCs w:val="20"/>
      <w:u w:val="none"/>
    </w:rPr>
  </w:style>
  <w:style w:type="character" w:customStyle="1" w:styleId="25">
    <w:name w:val="font21"/>
    <w:basedOn w:val="20"/>
    <w:qFormat/>
    <w:uiPriority w:val="0"/>
    <w:rPr>
      <w:rFonts w:hint="eastAsia" w:ascii="宋体" w:hAnsi="宋体" w:eastAsia="宋体" w:cs="宋体"/>
      <w:color w:val="000000"/>
      <w:sz w:val="20"/>
      <w:szCs w:val="20"/>
      <w:u w:val="none"/>
    </w:rPr>
  </w:style>
  <w:style w:type="character" w:customStyle="1" w:styleId="26">
    <w:name w:val="font61"/>
    <w:basedOn w:val="20"/>
    <w:qFormat/>
    <w:uiPriority w:val="0"/>
    <w:rPr>
      <w:rFonts w:hint="eastAsia" w:ascii="宋体" w:hAnsi="宋体" w:eastAsia="宋体" w:cs="宋体"/>
      <w:color w:val="FF6600"/>
      <w:sz w:val="20"/>
      <w:szCs w:val="20"/>
      <w:u w:val="none"/>
    </w:rPr>
  </w:style>
  <w:style w:type="character" w:customStyle="1" w:styleId="27">
    <w:name w:val="UserStyle_1"/>
    <w:qFormat/>
    <w:uiPriority w:val="0"/>
    <w:rPr>
      <w:rFonts w:ascii="Calibri" w:hAnsi="Calibri" w:eastAsia="宋体" w:cs="宋体"/>
      <w:kern w:val="2"/>
      <w:sz w:val="21"/>
      <w:szCs w:val="24"/>
      <w:lang w:val="en-US" w:eastAsia="zh-CN" w:bidi="ar-SA"/>
    </w:rPr>
  </w:style>
  <w:style w:type="paragraph" w:customStyle="1" w:styleId="28">
    <w:name w:val="WPSOffice手动目录 1"/>
    <w:qFormat/>
    <w:uiPriority w:val="0"/>
    <w:rPr>
      <w:rFonts w:ascii="Times New Roman" w:hAnsi="Times New Roman" w:eastAsia="宋体" w:cs="Times New Roman"/>
      <w:lang w:val="en-US" w:eastAsia="zh-CN" w:bidi="ar-SA"/>
    </w:rPr>
  </w:style>
  <w:style w:type="paragraph" w:customStyle="1" w:styleId="2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0">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31">
    <w:name w:val="批注文字 字符"/>
    <w:basedOn w:val="20"/>
    <w:link w:val="5"/>
    <w:qFormat/>
    <w:uiPriority w:val="0"/>
    <w:rPr>
      <w:rFonts w:asciiTheme="minorHAnsi" w:hAnsiTheme="minorHAnsi" w:eastAsiaTheme="minorEastAsia" w:cstheme="minorBidi"/>
      <w:kern w:val="2"/>
      <w:sz w:val="21"/>
      <w:szCs w:val="24"/>
    </w:rPr>
  </w:style>
  <w:style w:type="character" w:customStyle="1" w:styleId="32">
    <w:name w:val="批注主题 字符"/>
    <w:basedOn w:val="31"/>
    <w:link w:val="16"/>
    <w:qFormat/>
    <w:uiPriority w:val="0"/>
    <w:rPr>
      <w:rFonts w:asciiTheme="minorHAnsi" w:hAnsiTheme="minorHAnsi" w:eastAsiaTheme="minorEastAsia" w:cstheme="minorBidi"/>
      <w:b/>
      <w:bCs/>
      <w:kern w:val="2"/>
      <w:sz w:val="21"/>
      <w:szCs w:val="24"/>
    </w:rPr>
  </w:style>
  <w:style w:type="paragraph" w:customStyle="1" w:styleId="33">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2668</Words>
  <Characters>2800</Characters>
  <Lines>40</Lines>
  <Paragraphs>35</Paragraphs>
  <TotalTime>57</TotalTime>
  <ScaleCrop>false</ScaleCrop>
  <LinksUpToDate>false</LinksUpToDate>
  <CharactersWithSpaces>2800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2023-01-12T18:07:00Z</dcterms:created>
  <dc:creator>start</dc:creator>
  <cp:lastModifiedBy>杨勇</cp:lastModifiedBy>
  <cp:lastPrinted>2023-01-14T09:41:00Z</cp:lastPrinted>
  <dcterms:modified xsi:type="dcterms:W3CDTF">2023-01-23T01:41:21Z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1C94EB6DCC954D47A8408D44D28BC88E</vt:lpwstr>
  </property>
</Properties>
</file>