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44"/>
          <w:szCs w:val="44"/>
        </w:rPr>
      </w:pPr>
      <w:r>
        <w:rPr>
          <w:rFonts w:hint="eastAsia" w:ascii="宋体" w:hAnsi="宋体" w:eastAsia="宋体" w:cs="宋体"/>
          <w:b w:val="0"/>
          <w:bCs/>
          <w:kern w:val="2"/>
          <w:sz w:val="44"/>
          <w:szCs w:val="44"/>
          <w:lang w:val="en-US" w:eastAsia="zh-CN"/>
        </w:rPr>
        <w:t>阿格图村污水处理站建设</w:t>
      </w:r>
      <w:r>
        <w:rPr>
          <w:rFonts w:hint="eastAsia" w:ascii="宋体" w:hAnsi="宋体" w:eastAsia="宋体" w:cs="宋体"/>
          <w:b w:val="0"/>
          <w:bCs/>
          <w:kern w:val="2"/>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44"/>
          <w:szCs w:val="44"/>
        </w:rPr>
      </w:pPr>
      <w:r>
        <w:rPr>
          <w:rFonts w:hint="eastAsia" w:ascii="宋体" w:hAnsi="宋体" w:eastAsia="宋体" w:cs="宋体"/>
          <w:b w:val="0"/>
          <w:bCs/>
          <w:kern w:val="2"/>
          <w:sz w:val="44"/>
          <w:szCs w:val="44"/>
        </w:rPr>
        <w:t>绩效评价</w:t>
      </w:r>
      <w:r>
        <w:rPr>
          <w:rFonts w:hint="eastAsia" w:ascii="宋体" w:hAnsi="宋体" w:eastAsia="宋体" w:cs="宋体"/>
          <w:b w:val="0"/>
          <w:bCs/>
          <w:kern w:val="2"/>
          <w:sz w:val="44"/>
          <w:szCs w:val="44"/>
          <w:lang w:eastAsia="zh-CN"/>
        </w:rPr>
        <w:t>简要</w:t>
      </w:r>
      <w:r>
        <w:rPr>
          <w:rFonts w:hint="eastAsia" w:ascii="宋体" w:hAnsi="宋体" w:eastAsia="宋体" w:cs="宋体"/>
          <w:b w:val="0"/>
          <w:bCs/>
          <w:kern w:val="2"/>
          <w:sz w:val="44"/>
          <w:szCs w:val="44"/>
        </w:rPr>
        <w:t>报告</w:t>
      </w:r>
      <w:bookmarkStart w:id="6" w:name="_GoBack"/>
      <w:bookmarkEnd w:id="6"/>
    </w:p>
    <w:p>
      <w:pPr>
        <w:bidi w:val="0"/>
        <w:rPr>
          <w:rFonts w:hint="eastAsia"/>
          <w:b w:val="0"/>
          <w:bCs/>
        </w:rPr>
      </w:pPr>
    </w:p>
    <w:p>
      <w:pPr>
        <w:bidi w:val="0"/>
        <w:rPr>
          <w:rFonts w:hint="eastAsia"/>
          <w:b w:val="0"/>
          <w:bCs/>
        </w:rPr>
      </w:pPr>
    </w:p>
    <w:p>
      <w:pPr>
        <w:bidi w:val="0"/>
        <w:rPr>
          <w:rFonts w:hint="eastAsia"/>
          <w:b w:val="0"/>
          <w:bCs/>
        </w:rPr>
      </w:pPr>
    </w:p>
    <w:p>
      <w:pPr>
        <w:bidi w:val="0"/>
        <w:rPr>
          <w:rFonts w:hint="eastAsia"/>
          <w:b w:val="0"/>
          <w:bCs/>
        </w:rPr>
      </w:pPr>
    </w:p>
    <w:p>
      <w:pPr>
        <w:bidi w:val="0"/>
        <w:rPr>
          <w:rFonts w:hint="eastAsia"/>
          <w:b w:val="0"/>
          <w:bCs/>
        </w:rPr>
      </w:pPr>
    </w:p>
    <w:p>
      <w:pPr>
        <w:bidi w:val="0"/>
        <w:rPr>
          <w:rFonts w:hint="eastAsia"/>
          <w:b w:val="0"/>
          <w:bCs/>
        </w:rPr>
      </w:pPr>
    </w:p>
    <w:p>
      <w:pPr>
        <w:pStyle w:val="3"/>
        <w:rPr>
          <w:rFonts w:hint="eastAsia"/>
          <w:b w:val="0"/>
          <w:bCs/>
        </w:rPr>
      </w:pPr>
    </w:p>
    <w:p>
      <w:pPr>
        <w:bidi w:val="0"/>
        <w:rPr>
          <w:rFonts w:hint="default"/>
          <w:b w:val="0"/>
          <w:bCs/>
          <w:u w:val="none"/>
          <w:lang w:val="en-US" w:eastAsia="zh-CN"/>
        </w:rPr>
      </w:pPr>
      <w:r>
        <w:rPr>
          <w:rFonts w:hint="eastAsia"/>
          <w:b w:val="0"/>
          <w:bCs/>
          <w:u w:val="none"/>
          <w:lang w:val="en-US" w:eastAsia="zh-CN"/>
        </w:rPr>
        <w:t xml:space="preserve">实施单位：苏布尔嘎镇人民政府                          </w:t>
      </w:r>
    </w:p>
    <w:p>
      <w:pPr>
        <w:bidi w:val="0"/>
        <w:rPr>
          <w:rFonts w:hint="eastAsia"/>
          <w:b w:val="0"/>
          <w:bCs/>
          <w:u w:val="none"/>
          <w:lang w:val="en-US" w:eastAsia="zh-CN"/>
        </w:rPr>
      </w:pPr>
      <w:r>
        <w:rPr>
          <w:rFonts w:hint="eastAsia"/>
          <w:b w:val="0"/>
          <w:bCs/>
          <w:u w:val="none"/>
          <w:lang w:val="en-US" w:eastAsia="zh-CN"/>
        </w:rPr>
        <w:t>委托单位：</w:t>
      </w:r>
      <w:r>
        <w:rPr>
          <w:rFonts w:hint="eastAsia"/>
          <w:b w:val="0"/>
          <w:bCs/>
          <w:color w:val="auto"/>
          <w:u w:val="none"/>
          <w:lang w:val="en-US" w:eastAsia="zh-CN"/>
        </w:rPr>
        <w:t>伊金霍洛旗绩效评价税收服务中心</w:t>
      </w:r>
      <w:r>
        <w:rPr>
          <w:rFonts w:hint="eastAsia"/>
          <w:b w:val="0"/>
          <w:bCs/>
          <w:u w:val="none"/>
          <w:lang w:val="en-US" w:eastAsia="zh-CN"/>
        </w:rPr>
        <w:t xml:space="preserve">                    </w:t>
      </w:r>
    </w:p>
    <w:p>
      <w:pPr>
        <w:bidi w:val="0"/>
        <w:rPr>
          <w:rFonts w:hint="eastAsia"/>
          <w:b w:val="0"/>
          <w:bCs/>
          <w:u w:val="none"/>
          <w:lang w:val="en-US" w:eastAsia="zh-CN"/>
        </w:rPr>
      </w:pPr>
      <w:r>
        <w:rPr>
          <w:rFonts w:hint="eastAsia"/>
          <w:b w:val="0"/>
          <w:bCs/>
          <w:u w:val="none"/>
          <w:lang w:val="en-US" w:eastAsia="zh-CN"/>
        </w:rPr>
        <w:t xml:space="preserve">评价机构：内蒙古伟睿咨询有限公司                           </w:t>
      </w:r>
    </w:p>
    <w:p>
      <w:pPr>
        <w:bidi w:val="0"/>
        <w:ind w:left="0" w:leftChars="0" w:firstLine="0" w:firstLineChars="0"/>
        <w:jc w:val="center"/>
        <w:rPr>
          <w:rFonts w:hint="eastAsia"/>
          <w:b w:val="0"/>
          <w:bCs/>
          <w:u w:val="none"/>
          <w:lang w:val="en-US" w:eastAsia="zh-CN"/>
        </w:rPr>
      </w:pPr>
    </w:p>
    <w:p>
      <w:pPr>
        <w:bidi w:val="0"/>
        <w:ind w:left="0" w:leftChars="0" w:firstLine="0" w:firstLineChars="0"/>
        <w:jc w:val="center"/>
        <w:rPr>
          <w:rFonts w:hint="eastAsia"/>
          <w:b w:val="0"/>
          <w:bCs/>
          <w:lang w:val="en-US" w:eastAsia="zh-CN"/>
        </w:rPr>
      </w:pPr>
    </w:p>
    <w:p>
      <w:pPr>
        <w:bidi w:val="0"/>
        <w:ind w:left="0" w:leftChars="0" w:firstLine="0" w:firstLineChars="0"/>
        <w:jc w:val="center"/>
        <w:rPr>
          <w:rFonts w:hint="eastAsia"/>
          <w:b w:val="0"/>
          <w:bCs/>
          <w:lang w:val="en-US" w:eastAsia="zh-CN"/>
        </w:rPr>
      </w:pPr>
    </w:p>
    <w:p>
      <w:pPr>
        <w:bidi w:val="0"/>
        <w:ind w:left="0" w:leftChars="0" w:firstLine="0" w:firstLineChars="0"/>
        <w:jc w:val="center"/>
        <w:rPr>
          <w:rFonts w:hint="eastAsia"/>
          <w:b w:val="0"/>
          <w:bCs/>
          <w:lang w:val="en-US" w:eastAsia="zh-CN"/>
        </w:rPr>
      </w:pPr>
    </w:p>
    <w:p>
      <w:pPr>
        <w:bidi w:val="0"/>
        <w:ind w:left="0" w:leftChars="0" w:firstLine="0" w:firstLineChars="0"/>
        <w:jc w:val="center"/>
        <w:rPr>
          <w:rFonts w:hint="eastAsia"/>
          <w:b w:val="0"/>
          <w:bCs/>
          <w:lang w:val="en-US" w:eastAsia="zh-CN"/>
        </w:rPr>
      </w:pPr>
    </w:p>
    <w:p>
      <w:pPr>
        <w:bidi w:val="0"/>
        <w:ind w:left="0" w:leftChars="0" w:firstLine="0" w:firstLineChars="0"/>
        <w:jc w:val="center"/>
        <w:rPr>
          <w:rFonts w:hint="eastAsia"/>
          <w:b w:val="0"/>
          <w:bCs/>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rPr>
        <w:t>阿格图村污水处理站建设</w:t>
      </w:r>
      <w:r>
        <w:rPr>
          <w:rFonts w:hint="eastAsia" w:ascii="仿宋_GB2312" w:hAnsi="仿宋_GB2312" w:eastAsia="仿宋_GB2312" w:cs="仿宋_GB2312"/>
          <w:b w:val="0"/>
          <w:bCs/>
          <w:kern w:val="2"/>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绩效评价</w:t>
      </w:r>
      <w:r>
        <w:rPr>
          <w:rFonts w:hint="eastAsia" w:ascii="仿宋_GB2312" w:hAnsi="仿宋_GB2312" w:eastAsia="仿宋_GB2312" w:cs="仿宋_GB2312"/>
          <w:b w:val="0"/>
          <w:bCs/>
          <w:kern w:val="2"/>
          <w:sz w:val="32"/>
          <w:szCs w:val="32"/>
          <w:lang w:eastAsia="zh-CN"/>
        </w:rPr>
        <w:t>简要</w:t>
      </w:r>
      <w:r>
        <w:rPr>
          <w:rFonts w:hint="eastAsia" w:ascii="仿宋_GB2312" w:hAnsi="仿宋_GB2312" w:eastAsia="仿宋_GB2312" w:cs="仿宋_GB2312"/>
          <w:b w:val="0"/>
          <w:bCs/>
          <w:kern w:val="2"/>
          <w:sz w:val="32"/>
          <w:szCs w:val="32"/>
        </w:rPr>
        <w:t>报告</w:t>
      </w:r>
    </w:p>
    <w:p>
      <w:pPr>
        <w:pageBreakBefore w:val="0"/>
        <w:widowControl w:val="0"/>
        <w:kinsoku/>
        <w:wordWrap/>
        <w:overflowPunct/>
        <w:topLinePunct w:val="0"/>
        <w:autoSpaceDE/>
        <w:autoSpaceDN/>
        <w:bidi w:val="0"/>
        <w:spacing w:line="560" w:lineRule="exact"/>
        <w:textAlignment w:val="auto"/>
        <w:rPr>
          <w:b w:val="0"/>
          <w:bCs/>
          <w:lang w:val="en-US" w:eastAsia="zh-CN"/>
        </w:rPr>
      </w:pPr>
    </w:p>
    <w:p>
      <w:pPr>
        <w:pStyle w:val="4"/>
        <w:pageBreakBefore w:val="0"/>
        <w:widowControl w:val="0"/>
        <w:kinsoku/>
        <w:wordWrap/>
        <w:overflowPunct/>
        <w:topLinePunct w:val="0"/>
        <w:autoSpaceDE/>
        <w:autoSpaceDN/>
        <w:bidi w:val="0"/>
        <w:spacing w:line="560" w:lineRule="exact"/>
        <w:textAlignment w:val="auto"/>
        <w:rPr>
          <w:rFonts w:hint="eastAsia"/>
          <w:b w:val="0"/>
          <w:bCs/>
        </w:rPr>
      </w:pPr>
      <w:bookmarkStart w:id="0" w:name="_Toc4958"/>
      <w:r>
        <w:rPr>
          <w:rFonts w:hint="eastAsia"/>
          <w:b w:val="0"/>
          <w:bCs/>
        </w:rPr>
        <w:t>一、基本情况</w:t>
      </w:r>
      <w:bookmarkEnd w:id="0"/>
    </w:p>
    <w:p>
      <w:pPr>
        <w:pStyle w:val="6"/>
        <w:pageBreakBefore w:val="0"/>
        <w:widowControl w:val="0"/>
        <w:kinsoku/>
        <w:wordWrap/>
        <w:overflowPunct/>
        <w:topLinePunct w:val="0"/>
        <w:autoSpaceDE/>
        <w:autoSpaceDN/>
        <w:bidi w:val="0"/>
        <w:spacing w:line="560" w:lineRule="exact"/>
        <w:textAlignment w:val="auto"/>
        <w:rPr>
          <w:rFonts w:hint="eastAsia"/>
          <w:b w:val="0"/>
          <w:bCs/>
          <w:lang w:val="en-US" w:eastAsia="zh-CN"/>
        </w:rPr>
      </w:pPr>
      <w:bookmarkStart w:id="1" w:name="_Toc32272"/>
      <w:r>
        <w:rPr>
          <w:rFonts w:hint="eastAsia"/>
          <w:b w:val="0"/>
          <w:bCs/>
        </w:rPr>
        <w:t>（一）</w:t>
      </w:r>
      <w:bookmarkEnd w:id="1"/>
      <w:r>
        <w:rPr>
          <w:rFonts w:hint="eastAsia"/>
          <w:b w:val="0"/>
          <w:bCs/>
          <w:lang w:val="en-US" w:eastAsia="zh-CN"/>
        </w:rPr>
        <w:t>项目背景</w:t>
      </w:r>
    </w:p>
    <w:p>
      <w:pPr>
        <w:pageBreakBefore w:val="0"/>
        <w:widowControl w:val="0"/>
        <w:kinsoku/>
        <w:wordWrap/>
        <w:overflowPunct/>
        <w:topLinePunct w:val="0"/>
        <w:autoSpaceDE/>
        <w:autoSpaceDN/>
        <w:bidi w:val="0"/>
        <w:spacing w:line="560" w:lineRule="exact"/>
        <w:textAlignment w:val="auto"/>
        <w:rPr>
          <w:rFonts w:hint="eastAsia"/>
          <w:b w:val="0"/>
          <w:bCs/>
          <w:lang w:val="en-US" w:eastAsia="zh-CN"/>
        </w:rPr>
      </w:pPr>
      <w:r>
        <w:rPr>
          <w:b w:val="0"/>
          <w:bCs/>
          <w:lang w:val="en-US" w:eastAsia="zh-CN"/>
        </w:rPr>
        <w:t>随着</w:t>
      </w:r>
      <w:r>
        <w:rPr>
          <w:rFonts w:hint="eastAsia"/>
          <w:b w:val="0"/>
          <w:bCs/>
          <w:lang w:val="en-US" w:eastAsia="zh-CN"/>
        </w:rPr>
        <w:t>苏布尔嘎镇工业建设的高速发展</w:t>
      </w:r>
      <w:r>
        <w:rPr>
          <w:b w:val="0"/>
          <w:bCs/>
          <w:lang w:val="en-US" w:eastAsia="zh-CN"/>
        </w:rPr>
        <w:t>，</w:t>
      </w:r>
      <w:r>
        <w:rPr>
          <w:rFonts w:hint="eastAsia"/>
          <w:b w:val="0"/>
          <w:bCs/>
          <w:lang w:val="en-US" w:eastAsia="zh-CN"/>
        </w:rPr>
        <w:t>居民及企业生产</w:t>
      </w:r>
      <w:r>
        <w:rPr>
          <w:b w:val="0"/>
          <w:bCs/>
          <w:lang w:val="en-US" w:eastAsia="zh-CN"/>
        </w:rPr>
        <w:t>用水量、</w:t>
      </w:r>
      <w:r>
        <w:rPr>
          <w:rFonts w:hint="eastAsia"/>
          <w:b w:val="0"/>
          <w:bCs/>
          <w:lang w:val="en-US" w:eastAsia="zh-CN"/>
        </w:rPr>
        <w:t>污水排放</w:t>
      </w:r>
      <w:r>
        <w:rPr>
          <w:b w:val="0"/>
          <w:bCs/>
          <w:lang w:val="en-US" w:eastAsia="zh-CN"/>
        </w:rPr>
        <w:t>量也随之</w:t>
      </w:r>
      <w:r>
        <w:rPr>
          <w:rFonts w:hint="eastAsia"/>
          <w:b w:val="0"/>
          <w:bCs/>
          <w:lang w:val="en-US" w:eastAsia="zh-CN"/>
        </w:rPr>
        <w:t>增大，生活污水和工业废水等的排放处理尤为重要，提高污水处理能力，努力促进水的健康循环，已成为当前城镇可持续发展战略的重要内容之一。城镇污水处理是城镇发展不可或缺的基础，是经济发展、居民安全健康生活的重要保障。同时为深入践行习近平总书记“绿水青山就是金山银山”的发展理念，更好的服务入驻企业，切实解决工业园区及阿格图村污水处理问题。苏布尔嘎镇人民政府通过会议，决议在苏布尔嘎镇阿格图村三社新建污水处理站一处。</w:t>
      </w:r>
    </w:p>
    <w:p>
      <w:pPr>
        <w:pStyle w:val="6"/>
        <w:pageBreakBefore w:val="0"/>
        <w:widowControl w:val="0"/>
        <w:kinsoku/>
        <w:wordWrap/>
        <w:overflowPunct/>
        <w:topLinePunct w:val="0"/>
        <w:autoSpaceDE/>
        <w:autoSpaceDN/>
        <w:bidi w:val="0"/>
        <w:spacing w:line="560" w:lineRule="exact"/>
        <w:textAlignment w:val="auto"/>
        <w:rPr>
          <w:rFonts w:hint="eastAsia"/>
          <w:b w:val="0"/>
          <w:bCs/>
          <w:lang w:val="en-US" w:eastAsia="zh-CN"/>
        </w:rPr>
      </w:pPr>
      <w:r>
        <w:rPr>
          <w:rFonts w:hint="eastAsia"/>
          <w:b w:val="0"/>
          <w:bCs/>
          <w:lang w:val="en-US" w:eastAsia="zh-CN"/>
        </w:rPr>
        <w:t>（二）主要实施内容及实施情况</w:t>
      </w:r>
    </w:p>
    <w:p>
      <w:pPr>
        <w:pageBreakBefore w:val="0"/>
        <w:widowControl w:val="0"/>
        <w:kinsoku/>
        <w:wordWrap/>
        <w:overflowPunct/>
        <w:topLinePunct w:val="0"/>
        <w:autoSpaceDE/>
        <w:autoSpaceDN/>
        <w:bidi w:val="0"/>
        <w:spacing w:line="560" w:lineRule="exact"/>
        <w:textAlignment w:val="auto"/>
        <w:rPr>
          <w:rFonts w:hint="eastAsia"/>
          <w:b w:val="0"/>
          <w:bCs/>
          <w:lang w:val="en-US" w:eastAsia="zh-CN"/>
        </w:rPr>
      </w:pPr>
      <w:r>
        <w:rPr>
          <w:rFonts w:hint="eastAsia"/>
          <w:b w:val="0"/>
          <w:bCs/>
          <w:lang w:val="en-US" w:eastAsia="zh-CN"/>
        </w:rPr>
        <w:t>该项目主要实施内容是在苏布尔嘎镇阿格图村三社新建污水处理站一座，预计项目分两期实施，一期工程主要建设规模占地33333㎡，污水处理能力300吨/日，一期建设工程主要包括土石方工程、土建装饰装修工程、设备安装工程及附属设施等。</w:t>
      </w:r>
    </w:p>
    <w:p>
      <w:pPr>
        <w:pageBreakBefore w:val="0"/>
        <w:widowControl w:val="0"/>
        <w:kinsoku/>
        <w:wordWrap/>
        <w:overflowPunct/>
        <w:topLinePunct w:val="0"/>
        <w:autoSpaceDE/>
        <w:autoSpaceDN/>
        <w:bidi w:val="0"/>
        <w:spacing w:line="560" w:lineRule="exact"/>
        <w:textAlignment w:val="auto"/>
        <w:rPr>
          <w:rFonts w:hint="default"/>
          <w:b w:val="0"/>
          <w:bCs/>
          <w:lang w:val="en-US" w:eastAsia="zh-CN"/>
        </w:rPr>
      </w:pPr>
      <w:r>
        <w:rPr>
          <w:rFonts w:hint="eastAsia"/>
          <w:b w:val="0"/>
          <w:bCs/>
          <w:lang w:val="en-US" w:eastAsia="zh-CN"/>
        </w:rPr>
        <w:t>该项目由苏布尔嘎镇人民政府负责实施，具体业务由镇城市管理办公室负责。项目可行性研究报告委托内蒙古中政国环工程顾问有限公司编制，招标控制价委托内蒙古鸿顺鼎项目管理有限公司编制，招标委托鄂尔多斯市远瑞工程项目管理有限公司负责，委托鄂尔多斯市锐兴建设监理有限公司负责该项目的质量监督，通过招投标确认由鄂尔多斯市万源市政工程有限公司中标该项目，并负责项目的建设施工。</w:t>
      </w:r>
    </w:p>
    <w:p>
      <w:pPr>
        <w:pStyle w:val="4"/>
        <w:pageBreakBefore w:val="0"/>
        <w:widowControl w:val="0"/>
        <w:kinsoku/>
        <w:wordWrap/>
        <w:overflowPunct/>
        <w:topLinePunct w:val="0"/>
        <w:autoSpaceDE/>
        <w:autoSpaceDN/>
        <w:bidi w:val="0"/>
        <w:spacing w:line="560" w:lineRule="exact"/>
        <w:textAlignment w:val="auto"/>
        <w:rPr>
          <w:rFonts w:hint="eastAsia"/>
          <w:b w:val="0"/>
          <w:bCs/>
        </w:rPr>
      </w:pPr>
      <w:bookmarkStart w:id="2" w:name="_Toc10617"/>
      <w:r>
        <w:rPr>
          <w:rFonts w:hint="eastAsia"/>
          <w:b w:val="0"/>
          <w:bCs/>
          <w:lang w:val="en-US" w:eastAsia="zh-CN"/>
        </w:rPr>
        <w:t>二</w:t>
      </w:r>
      <w:r>
        <w:rPr>
          <w:rFonts w:hint="eastAsia"/>
          <w:b w:val="0"/>
          <w:bCs/>
        </w:rPr>
        <w:t>、综合评价分析情况及评价结论</w:t>
      </w:r>
      <w:bookmarkEnd w:id="2"/>
    </w:p>
    <w:p>
      <w:pPr>
        <w:pageBreakBefore w:val="0"/>
        <w:widowControl w:val="0"/>
        <w:kinsoku/>
        <w:wordWrap/>
        <w:overflowPunct/>
        <w:topLinePunct w:val="0"/>
        <w:autoSpaceDE/>
        <w:autoSpaceDN/>
        <w:bidi w:val="0"/>
        <w:spacing w:line="560" w:lineRule="exact"/>
        <w:textAlignment w:val="auto"/>
        <w:rPr>
          <w:rFonts w:hint="eastAsia"/>
          <w:b w:val="0"/>
          <w:bCs/>
          <w:highlight w:val="none"/>
          <w:lang w:val="en-US" w:eastAsia="zh-CN"/>
        </w:rPr>
      </w:pPr>
      <w:r>
        <w:rPr>
          <w:rFonts w:hint="eastAsia"/>
          <w:b w:val="0"/>
          <w:bCs/>
        </w:rPr>
        <w:t>绩效评价工作组通过</w:t>
      </w:r>
      <w:r>
        <w:rPr>
          <w:rFonts w:hint="default"/>
          <w:b w:val="0"/>
          <w:bCs/>
        </w:rPr>
        <w:t>查阅资料、专家咨询、现场调研、召开评价会等多种方式，对项目的决策、</w:t>
      </w:r>
      <w:r>
        <w:rPr>
          <w:rFonts w:hint="eastAsia"/>
          <w:b w:val="0"/>
          <w:bCs/>
          <w:lang w:val="en-US" w:eastAsia="zh-CN"/>
        </w:rPr>
        <w:t>过程</w:t>
      </w:r>
      <w:r>
        <w:rPr>
          <w:rFonts w:hint="default"/>
          <w:b w:val="0"/>
          <w:bCs/>
        </w:rPr>
        <w:t>、产出及效益方面进行了评价</w:t>
      </w:r>
      <w:r>
        <w:rPr>
          <w:rFonts w:hint="eastAsia"/>
          <w:b w:val="0"/>
          <w:bCs/>
          <w:lang w:eastAsia="zh-CN"/>
        </w:rPr>
        <w:t>。</w:t>
      </w:r>
      <w:r>
        <w:rPr>
          <w:rFonts w:hint="eastAsia"/>
          <w:b w:val="0"/>
          <w:bCs/>
          <w:highlight w:val="none"/>
          <w:lang w:val="en-US" w:eastAsia="zh-CN"/>
        </w:rPr>
        <w:t>评价认为该项目年度绩效目标基本实现，产出数量质量、社会效益发挥较好。</w:t>
      </w:r>
    </w:p>
    <w:p>
      <w:pPr>
        <w:pageBreakBefore w:val="0"/>
        <w:widowControl w:val="0"/>
        <w:kinsoku/>
        <w:wordWrap/>
        <w:overflowPunct/>
        <w:topLinePunct w:val="0"/>
        <w:autoSpaceDE/>
        <w:autoSpaceDN/>
        <w:bidi w:val="0"/>
        <w:spacing w:line="560" w:lineRule="exact"/>
        <w:textAlignment w:val="auto"/>
        <w:rPr>
          <w:rFonts w:hint="eastAsia"/>
          <w:b w:val="0"/>
          <w:bCs/>
          <w:highlight w:val="none"/>
        </w:rPr>
      </w:pPr>
      <w:r>
        <w:rPr>
          <w:rFonts w:hint="eastAsia"/>
          <w:b w:val="0"/>
          <w:bCs/>
          <w:highlight w:val="none"/>
          <w:lang w:val="en-US" w:eastAsia="zh-CN"/>
        </w:rPr>
        <w:t>但该项目还存在绩效指标设置不当、制度执行不到位、招标组织不合规、合同管理不到位、验收管理不及时、结算管理不及时、绩效管理不全面等问题。</w:t>
      </w:r>
      <w:r>
        <w:rPr>
          <w:rFonts w:hint="eastAsia"/>
          <w:b w:val="0"/>
          <w:bCs/>
          <w:color w:val="auto"/>
          <w:lang w:val="en-US" w:eastAsia="zh-CN"/>
        </w:rPr>
        <w:t>该项目综合评价得分72.47分，评定级别为“中”。</w:t>
      </w:r>
    </w:p>
    <w:p>
      <w:pPr>
        <w:pStyle w:val="7"/>
        <w:pageBreakBefore w:val="0"/>
        <w:widowControl w:val="0"/>
        <w:kinsoku/>
        <w:wordWrap/>
        <w:overflowPunct/>
        <w:topLinePunct w:val="0"/>
        <w:autoSpaceDE/>
        <w:autoSpaceDN/>
        <w:bidi w:val="0"/>
        <w:spacing w:line="560" w:lineRule="exact"/>
        <w:textAlignment w:val="auto"/>
        <w:rPr>
          <w:rFonts w:hint="eastAsia"/>
          <w:b w:val="0"/>
          <w:bCs/>
        </w:rPr>
      </w:pPr>
      <w:r>
        <w:rPr>
          <w:rFonts w:hint="eastAsia"/>
          <w:b w:val="0"/>
          <w:bCs/>
        </w:rPr>
        <w:t>绩效评价结论一览表</w:t>
      </w:r>
    </w:p>
    <w:tbl>
      <w:tblPr>
        <w:tblStyle w:val="14"/>
        <w:tblW w:w="8341" w:type="dxa"/>
        <w:jc w:val="center"/>
        <w:tblLayout w:type="fixed"/>
        <w:tblCellMar>
          <w:top w:w="0" w:type="dxa"/>
          <w:left w:w="0" w:type="dxa"/>
          <w:bottom w:w="0" w:type="dxa"/>
          <w:right w:w="0" w:type="dxa"/>
        </w:tblCellMar>
      </w:tblPr>
      <w:tblGrid>
        <w:gridCol w:w="3397"/>
        <w:gridCol w:w="2664"/>
        <w:gridCol w:w="2280"/>
      </w:tblGrid>
      <w:tr>
        <w:tblPrEx>
          <w:tblCellMar>
            <w:top w:w="0" w:type="dxa"/>
            <w:left w:w="0" w:type="dxa"/>
            <w:bottom w:w="0" w:type="dxa"/>
            <w:right w:w="0" w:type="dxa"/>
          </w:tblCellMar>
        </w:tblPrEx>
        <w:trPr>
          <w:trHeight w:val="454" w:hRule="atLeast"/>
          <w:tblHeader/>
          <w:jc w:val="center"/>
        </w:trPr>
        <w:tc>
          <w:tcPr>
            <w:tcW w:w="3397" w:type="dxa"/>
            <w:tcBorders>
              <w:top w:val="single" w:color="auto" w:sz="4" w:space="0"/>
              <w:left w:val="single" w:color="auto" w:sz="4" w:space="0"/>
              <w:bottom w:val="single" w:color="auto" w:sz="4" w:space="0"/>
              <w:right w:val="single" w:color="auto" w:sz="4" w:space="0"/>
            </w:tcBorders>
            <w:shd w:val="clear" w:color="auto" w:fill="D9D9D9"/>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评价内容</w:t>
            </w:r>
          </w:p>
        </w:tc>
        <w:tc>
          <w:tcPr>
            <w:tcW w:w="2664" w:type="dxa"/>
            <w:tcBorders>
              <w:top w:val="single" w:color="auto" w:sz="4" w:space="0"/>
              <w:left w:val="nil"/>
              <w:bottom w:val="single" w:color="auto" w:sz="4" w:space="0"/>
              <w:right w:val="single" w:color="auto" w:sz="4" w:space="0"/>
            </w:tcBorders>
            <w:shd w:val="clear" w:color="auto" w:fill="D9D9D9"/>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分值</w:t>
            </w:r>
          </w:p>
        </w:tc>
        <w:tc>
          <w:tcPr>
            <w:tcW w:w="2280" w:type="dxa"/>
            <w:tcBorders>
              <w:top w:val="single" w:color="auto" w:sz="4" w:space="0"/>
              <w:left w:val="nil"/>
              <w:bottom w:val="single" w:color="auto" w:sz="4" w:space="0"/>
              <w:right w:val="single" w:color="auto" w:sz="4" w:space="0"/>
            </w:tcBorders>
            <w:shd w:val="clear" w:color="auto" w:fill="D9D9D9"/>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评价得分</w:t>
            </w:r>
          </w:p>
        </w:tc>
      </w:tr>
      <w:tr>
        <w:tblPrEx>
          <w:tblCellMar>
            <w:top w:w="0" w:type="dxa"/>
            <w:left w:w="0" w:type="dxa"/>
            <w:bottom w:w="0" w:type="dxa"/>
            <w:right w:w="0" w:type="dxa"/>
          </w:tblCellMar>
        </w:tblPrEx>
        <w:trPr>
          <w:trHeight w:val="454" w:hRule="atLeast"/>
          <w:jc w:val="center"/>
        </w:trPr>
        <w:tc>
          <w:tcPr>
            <w:tcW w:w="339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项目决策</w:t>
            </w:r>
          </w:p>
        </w:tc>
        <w:tc>
          <w:tcPr>
            <w:tcW w:w="266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val="0"/>
                <w:bCs/>
                <w:spacing w:val="6"/>
                <w:sz w:val="24"/>
                <w:szCs w:val="24"/>
                <w:lang w:val="en-US" w:eastAsia="zh-CN"/>
              </w:rPr>
            </w:pPr>
            <w:r>
              <w:rPr>
                <w:rFonts w:hint="eastAsia" w:ascii="宋体" w:hAnsi="宋体" w:eastAsia="宋体" w:cs="仿宋_GB2312"/>
                <w:b w:val="0"/>
                <w:bCs/>
                <w:spacing w:val="6"/>
                <w:sz w:val="24"/>
                <w:szCs w:val="24"/>
                <w:lang w:val="en-US" w:eastAsia="zh-CN"/>
              </w:rPr>
              <w:t>14</w:t>
            </w:r>
          </w:p>
        </w:tc>
        <w:tc>
          <w:tcPr>
            <w:tcW w:w="228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val="0"/>
                <w:bCs/>
                <w:spacing w:val="6"/>
                <w:sz w:val="24"/>
                <w:szCs w:val="24"/>
                <w:lang w:val="en-US" w:eastAsia="zh-CN"/>
              </w:rPr>
            </w:pPr>
            <w:r>
              <w:rPr>
                <w:rFonts w:hint="eastAsia" w:ascii="宋体" w:hAnsi="宋体" w:eastAsia="宋体" w:cs="仿宋_GB2312"/>
                <w:b w:val="0"/>
                <w:bCs/>
                <w:spacing w:val="6"/>
                <w:sz w:val="24"/>
                <w:szCs w:val="24"/>
                <w:lang w:val="en-US" w:eastAsia="zh-CN"/>
              </w:rPr>
              <w:t>13.5</w:t>
            </w:r>
          </w:p>
        </w:tc>
      </w:tr>
      <w:tr>
        <w:tblPrEx>
          <w:tblCellMar>
            <w:top w:w="0" w:type="dxa"/>
            <w:left w:w="0" w:type="dxa"/>
            <w:bottom w:w="0" w:type="dxa"/>
            <w:right w:w="0" w:type="dxa"/>
          </w:tblCellMar>
        </w:tblPrEx>
        <w:trPr>
          <w:trHeight w:val="454" w:hRule="atLeast"/>
          <w:jc w:val="center"/>
        </w:trPr>
        <w:tc>
          <w:tcPr>
            <w:tcW w:w="339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项目过程</w:t>
            </w:r>
          </w:p>
        </w:tc>
        <w:tc>
          <w:tcPr>
            <w:tcW w:w="266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val="0"/>
                <w:bCs/>
                <w:spacing w:val="6"/>
                <w:sz w:val="24"/>
                <w:szCs w:val="24"/>
                <w:lang w:val="en-US" w:eastAsia="zh-CN"/>
              </w:rPr>
            </w:pPr>
            <w:r>
              <w:rPr>
                <w:rFonts w:hint="eastAsia" w:ascii="宋体" w:hAnsi="宋体" w:eastAsia="宋体" w:cs="仿宋_GB2312"/>
                <w:b w:val="0"/>
                <w:bCs/>
                <w:spacing w:val="6"/>
                <w:sz w:val="24"/>
                <w:szCs w:val="24"/>
                <w:lang w:val="en-US" w:eastAsia="zh-CN"/>
              </w:rPr>
              <w:t>26</w:t>
            </w:r>
          </w:p>
        </w:tc>
        <w:tc>
          <w:tcPr>
            <w:tcW w:w="228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val="0"/>
                <w:bCs/>
                <w:spacing w:val="6"/>
                <w:sz w:val="24"/>
                <w:szCs w:val="24"/>
                <w:lang w:val="en-US" w:eastAsia="zh-CN"/>
              </w:rPr>
            </w:pPr>
            <w:r>
              <w:rPr>
                <w:rFonts w:hint="eastAsia" w:ascii="宋体" w:hAnsi="宋体" w:eastAsia="宋体" w:cs="仿宋_GB2312"/>
                <w:b w:val="0"/>
                <w:bCs/>
                <w:spacing w:val="6"/>
                <w:sz w:val="24"/>
                <w:szCs w:val="24"/>
                <w:lang w:val="en-US" w:eastAsia="zh-CN"/>
              </w:rPr>
              <w:t>14.97</w:t>
            </w:r>
          </w:p>
        </w:tc>
      </w:tr>
      <w:tr>
        <w:tblPrEx>
          <w:tblCellMar>
            <w:top w:w="0" w:type="dxa"/>
            <w:left w:w="0" w:type="dxa"/>
            <w:bottom w:w="0" w:type="dxa"/>
            <w:right w:w="0" w:type="dxa"/>
          </w:tblCellMar>
        </w:tblPrEx>
        <w:trPr>
          <w:trHeight w:val="454" w:hRule="atLeast"/>
          <w:jc w:val="center"/>
        </w:trPr>
        <w:tc>
          <w:tcPr>
            <w:tcW w:w="339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项目产出</w:t>
            </w:r>
          </w:p>
        </w:tc>
        <w:tc>
          <w:tcPr>
            <w:tcW w:w="266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val="0"/>
                <w:bCs/>
                <w:spacing w:val="6"/>
                <w:sz w:val="24"/>
                <w:szCs w:val="24"/>
                <w:lang w:val="en-US" w:eastAsia="zh-CN"/>
              </w:rPr>
            </w:pPr>
            <w:r>
              <w:rPr>
                <w:rFonts w:hint="eastAsia" w:ascii="宋体" w:hAnsi="宋体" w:eastAsia="宋体" w:cs="仿宋_GB2312"/>
                <w:b w:val="0"/>
                <w:bCs/>
                <w:spacing w:val="6"/>
                <w:sz w:val="24"/>
                <w:szCs w:val="24"/>
                <w:lang w:val="en-US" w:eastAsia="zh-CN"/>
              </w:rPr>
              <w:t>20</w:t>
            </w:r>
          </w:p>
        </w:tc>
        <w:tc>
          <w:tcPr>
            <w:tcW w:w="228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val="0"/>
                <w:bCs/>
                <w:spacing w:val="6"/>
                <w:sz w:val="24"/>
                <w:szCs w:val="24"/>
                <w:lang w:val="en-US" w:eastAsia="zh-CN"/>
              </w:rPr>
            </w:pPr>
            <w:r>
              <w:rPr>
                <w:rFonts w:hint="eastAsia" w:ascii="宋体" w:hAnsi="宋体" w:eastAsia="宋体" w:cs="仿宋_GB2312"/>
                <w:b w:val="0"/>
                <w:bCs/>
                <w:spacing w:val="6"/>
                <w:sz w:val="24"/>
                <w:szCs w:val="24"/>
                <w:lang w:val="en-US" w:eastAsia="zh-CN"/>
              </w:rPr>
              <w:t>12</w:t>
            </w:r>
          </w:p>
        </w:tc>
      </w:tr>
      <w:tr>
        <w:tblPrEx>
          <w:tblCellMar>
            <w:top w:w="0" w:type="dxa"/>
            <w:left w:w="0" w:type="dxa"/>
            <w:bottom w:w="0" w:type="dxa"/>
            <w:right w:w="0" w:type="dxa"/>
          </w:tblCellMar>
        </w:tblPrEx>
        <w:trPr>
          <w:trHeight w:val="454" w:hRule="atLeast"/>
          <w:jc w:val="center"/>
        </w:trPr>
        <w:tc>
          <w:tcPr>
            <w:tcW w:w="339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项目效益</w:t>
            </w:r>
          </w:p>
        </w:tc>
        <w:tc>
          <w:tcPr>
            <w:tcW w:w="266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val="0"/>
                <w:bCs/>
                <w:spacing w:val="6"/>
                <w:sz w:val="24"/>
                <w:szCs w:val="24"/>
                <w:lang w:val="en-US" w:eastAsia="zh-CN"/>
              </w:rPr>
            </w:pPr>
            <w:r>
              <w:rPr>
                <w:rFonts w:hint="eastAsia" w:ascii="宋体" w:hAnsi="宋体" w:eastAsia="宋体" w:cs="仿宋_GB2312"/>
                <w:b w:val="0"/>
                <w:bCs/>
                <w:spacing w:val="6"/>
                <w:sz w:val="24"/>
                <w:szCs w:val="24"/>
                <w:lang w:val="en-US" w:eastAsia="zh-CN"/>
              </w:rPr>
              <w:t>40</w:t>
            </w:r>
          </w:p>
        </w:tc>
        <w:tc>
          <w:tcPr>
            <w:tcW w:w="228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val="0"/>
                <w:bCs/>
                <w:spacing w:val="6"/>
                <w:sz w:val="24"/>
                <w:szCs w:val="24"/>
                <w:lang w:val="en-US" w:eastAsia="zh-CN"/>
              </w:rPr>
            </w:pPr>
            <w:r>
              <w:rPr>
                <w:rFonts w:hint="eastAsia" w:ascii="宋体" w:hAnsi="宋体" w:eastAsia="宋体" w:cs="仿宋_GB2312"/>
                <w:b w:val="0"/>
                <w:bCs/>
                <w:spacing w:val="6"/>
                <w:sz w:val="24"/>
                <w:szCs w:val="24"/>
                <w:lang w:val="en-US" w:eastAsia="zh-CN"/>
              </w:rPr>
              <w:t>32</w:t>
            </w:r>
          </w:p>
        </w:tc>
      </w:tr>
      <w:tr>
        <w:tblPrEx>
          <w:tblCellMar>
            <w:top w:w="0" w:type="dxa"/>
            <w:left w:w="0" w:type="dxa"/>
            <w:bottom w:w="0" w:type="dxa"/>
            <w:right w:w="0" w:type="dxa"/>
          </w:tblCellMar>
        </w:tblPrEx>
        <w:trPr>
          <w:trHeight w:val="454" w:hRule="atLeast"/>
          <w:jc w:val="center"/>
        </w:trPr>
        <w:tc>
          <w:tcPr>
            <w:tcW w:w="339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综合得分</w:t>
            </w:r>
          </w:p>
        </w:tc>
        <w:tc>
          <w:tcPr>
            <w:tcW w:w="2664"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ascii="宋体" w:hAnsi="宋体" w:eastAsia="宋体" w:cs="仿宋_GB2312"/>
                <w:b w:val="0"/>
                <w:bCs/>
                <w:spacing w:val="6"/>
                <w:sz w:val="24"/>
                <w:szCs w:val="24"/>
              </w:rPr>
              <w:fldChar w:fldCharType="begin"/>
            </w:r>
            <w:r>
              <w:rPr>
                <w:rFonts w:ascii="宋体" w:hAnsi="宋体" w:eastAsia="宋体" w:cs="仿宋_GB2312"/>
                <w:b w:val="0"/>
                <w:bCs/>
                <w:spacing w:val="6"/>
                <w:sz w:val="24"/>
                <w:szCs w:val="24"/>
              </w:rPr>
              <w:instrText xml:space="preserve"> = sum(B2:B5) \* MERGEFORMAT </w:instrText>
            </w:r>
            <w:r>
              <w:rPr>
                <w:rFonts w:ascii="宋体" w:hAnsi="宋体" w:eastAsia="宋体" w:cs="仿宋_GB2312"/>
                <w:b w:val="0"/>
                <w:bCs/>
                <w:spacing w:val="6"/>
                <w:sz w:val="24"/>
                <w:szCs w:val="24"/>
              </w:rPr>
              <w:fldChar w:fldCharType="separate"/>
            </w:r>
            <w:r>
              <w:rPr>
                <w:rFonts w:ascii="宋体" w:hAnsi="宋体" w:eastAsia="宋体" w:cs="仿宋_GB2312"/>
                <w:b w:val="0"/>
                <w:bCs/>
                <w:spacing w:val="6"/>
                <w:sz w:val="24"/>
                <w:szCs w:val="24"/>
              </w:rPr>
              <w:t>100</w:t>
            </w:r>
            <w:r>
              <w:rPr>
                <w:rFonts w:ascii="宋体" w:hAnsi="宋体" w:eastAsia="宋体" w:cs="仿宋_GB2312"/>
                <w:b w:val="0"/>
                <w:bCs/>
                <w:spacing w:val="6"/>
                <w:sz w:val="24"/>
                <w:szCs w:val="24"/>
              </w:rPr>
              <w:fldChar w:fldCharType="end"/>
            </w:r>
          </w:p>
        </w:tc>
        <w:tc>
          <w:tcPr>
            <w:tcW w:w="228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val="0"/>
                <w:bCs/>
                <w:spacing w:val="6"/>
                <w:sz w:val="24"/>
                <w:szCs w:val="24"/>
                <w:lang w:val="en-US" w:eastAsia="zh-CN"/>
              </w:rPr>
            </w:pPr>
            <w:r>
              <w:rPr>
                <w:rFonts w:hint="default" w:ascii="宋体" w:hAnsi="宋体" w:eastAsia="宋体" w:cs="仿宋_GB2312"/>
                <w:b w:val="0"/>
                <w:bCs/>
                <w:spacing w:val="6"/>
                <w:sz w:val="24"/>
                <w:szCs w:val="24"/>
                <w:lang w:val="en-US" w:eastAsia="zh-CN"/>
              </w:rPr>
              <w:fldChar w:fldCharType="begin"/>
            </w:r>
            <w:r>
              <w:rPr>
                <w:rFonts w:hint="default" w:ascii="宋体" w:hAnsi="宋体" w:eastAsia="宋体" w:cs="仿宋_GB2312"/>
                <w:b w:val="0"/>
                <w:bCs/>
                <w:spacing w:val="6"/>
                <w:sz w:val="24"/>
                <w:szCs w:val="24"/>
                <w:lang w:val="en-US" w:eastAsia="zh-CN"/>
              </w:rPr>
              <w:instrText xml:space="preserve"> = sum(C2:C5) \* MERGEFORMAT </w:instrText>
            </w:r>
            <w:r>
              <w:rPr>
                <w:rFonts w:hint="default" w:ascii="宋体" w:hAnsi="宋体" w:eastAsia="宋体" w:cs="仿宋_GB2312"/>
                <w:b w:val="0"/>
                <w:bCs/>
                <w:spacing w:val="6"/>
                <w:sz w:val="24"/>
                <w:szCs w:val="24"/>
                <w:lang w:val="en-US" w:eastAsia="zh-CN"/>
              </w:rPr>
              <w:fldChar w:fldCharType="separate"/>
            </w:r>
            <w:r>
              <w:rPr>
                <w:rFonts w:hint="default" w:ascii="宋体" w:hAnsi="宋体" w:eastAsia="宋体" w:cs="仿宋_GB2312"/>
                <w:b w:val="0"/>
                <w:bCs/>
                <w:spacing w:val="6"/>
                <w:sz w:val="24"/>
                <w:szCs w:val="24"/>
                <w:lang w:val="en-US" w:eastAsia="zh-CN"/>
              </w:rPr>
              <w:t>72.47</w:t>
            </w:r>
            <w:r>
              <w:rPr>
                <w:rFonts w:hint="default" w:ascii="宋体" w:hAnsi="宋体" w:eastAsia="宋体" w:cs="仿宋_GB2312"/>
                <w:b w:val="0"/>
                <w:bCs/>
                <w:spacing w:val="6"/>
                <w:sz w:val="24"/>
                <w:szCs w:val="24"/>
                <w:lang w:val="en-US" w:eastAsia="zh-CN"/>
              </w:rPr>
              <w:fldChar w:fldCharType="end"/>
            </w:r>
          </w:p>
        </w:tc>
      </w:tr>
      <w:tr>
        <w:tblPrEx>
          <w:tblCellMar>
            <w:top w:w="0" w:type="dxa"/>
            <w:left w:w="0" w:type="dxa"/>
            <w:bottom w:w="0" w:type="dxa"/>
            <w:right w:w="0" w:type="dxa"/>
          </w:tblCellMar>
        </w:tblPrEx>
        <w:trPr>
          <w:trHeight w:val="454" w:hRule="atLeast"/>
          <w:jc w:val="center"/>
        </w:trPr>
        <w:tc>
          <w:tcPr>
            <w:tcW w:w="339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绩效评定级别</w:t>
            </w:r>
          </w:p>
        </w:tc>
        <w:tc>
          <w:tcPr>
            <w:tcW w:w="4944" w:type="dxa"/>
            <w:gridSpan w:val="2"/>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仿宋_GB2312"/>
                <w:b w:val="0"/>
                <w:bCs/>
                <w:spacing w:val="6"/>
                <w:sz w:val="24"/>
                <w:szCs w:val="24"/>
                <w:lang w:val="en-US" w:eastAsia="zh-CN"/>
              </w:rPr>
            </w:pPr>
            <w:r>
              <w:rPr>
                <w:rFonts w:hint="eastAsia" w:ascii="宋体" w:hAnsi="宋体" w:eastAsia="宋体" w:cs="仿宋_GB2312"/>
                <w:b w:val="0"/>
                <w:bCs/>
                <w:spacing w:val="6"/>
                <w:sz w:val="24"/>
                <w:szCs w:val="24"/>
                <w:lang w:val="en-US" w:eastAsia="zh-CN"/>
              </w:rPr>
              <w:t>中</w:t>
            </w:r>
          </w:p>
        </w:tc>
      </w:tr>
      <w:tr>
        <w:tblPrEx>
          <w:tblCellMar>
            <w:top w:w="0" w:type="dxa"/>
            <w:left w:w="0" w:type="dxa"/>
            <w:bottom w:w="0" w:type="dxa"/>
            <w:right w:w="0" w:type="dxa"/>
          </w:tblCellMar>
        </w:tblPrEx>
        <w:trPr>
          <w:trHeight w:val="467" w:hRule="atLeast"/>
          <w:jc w:val="center"/>
        </w:trPr>
        <w:tc>
          <w:tcPr>
            <w:tcW w:w="8341"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adjustRightInd w:val="0"/>
              <w:snapToGrid w:val="0"/>
              <w:spacing w:line="560" w:lineRule="exact"/>
              <w:ind w:firstLine="504"/>
              <w:jc w:val="left"/>
              <w:textAlignment w:val="auto"/>
              <w:rPr>
                <w:rFonts w:ascii="宋体" w:hAnsi="宋体" w:eastAsia="宋体" w:cs="仿宋_GB2312"/>
                <w:b w:val="0"/>
                <w:bCs/>
                <w:spacing w:val="6"/>
                <w:sz w:val="24"/>
                <w:szCs w:val="24"/>
              </w:rPr>
            </w:pPr>
            <w:r>
              <w:rPr>
                <w:rFonts w:hint="eastAsia" w:ascii="宋体" w:hAnsi="宋体" w:eastAsia="宋体" w:cs="仿宋_GB2312"/>
                <w:b w:val="0"/>
                <w:bCs/>
                <w:spacing w:val="6"/>
                <w:sz w:val="24"/>
                <w:szCs w:val="24"/>
              </w:rPr>
              <w:t>绩效评定级别：优（</w:t>
            </w:r>
            <w:r>
              <w:rPr>
                <w:rFonts w:ascii="宋体" w:hAnsi="宋体" w:eastAsia="宋体" w:cs="仿宋_GB2312"/>
                <w:b w:val="0"/>
                <w:bCs/>
                <w:spacing w:val="6"/>
                <w:sz w:val="24"/>
                <w:szCs w:val="24"/>
              </w:rPr>
              <w:t>90分（含）—100分）、良（80分（含）—90分）、中（60分（含）—80分）、差（60分（不含）以下）</w:t>
            </w:r>
          </w:p>
        </w:tc>
      </w:tr>
      <w:tr>
        <w:tblPrEx>
          <w:tblCellMar>
            <w:top w:w="0" w:type="dxa"/>
            <w:left w:w="0" w:type="dxa"/>
            <w:bottom w:w="0" w:type="dxa"/>
            <w:right w:w="0" w:type="dxa"/>
          </w:tblCellMar>
        </w:tblPrEx>
        <w:trPr>
          <w:trHeight w:val="612" w:hRule="atLeast"/>
          <w:jc w:val="center"/>
        </w:trPr>
        <w:tc>
          <w:tcPr>
            <w:tcW w:w="8341"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ageBreakBefore w:val="0"/>
              <w:widowControl w:val="0"/>
              <w:kinsoku/>
              <w:wordWrap/>
              <w:overflowPunct/>
              <w:topLinePunct w:val="0"/>
              <w:autoSpaceDE/>
              <w:autoSpaceDN/>
              <w:bidi w:val="0"/>
              <w:spacing w:line="560" w:lineRule="exact"/>
              <w:ind w:firstLine="440"/>
              <w:jc w:val="center"/>
              <w:textAlignment w:val="auto"/>
              <w:rPr>
                <w:rFonts w:ascii="等线" w:hAnsi="等线" w:eastAsia="等线" w:cs="等线"/>
                <w:b w:val="0"/>
                <w:bCs/>
                <w:sz w:val="24"/>
                <w:szCs w:val="24"/>
              </w:rPr>
            </w:pPr>
          </w:p>
        </w:tc>
      </w:tr>
    </w:tbl>
    <w:p>
      <w:pPr>
        <w:pStyle w:val="4"/>
        <w:pageBreakBefore w:val="0"/>
        <w:widowControl w:val="0"/>
        <w:kinsoku/>
        <w:wordWrap/>
        <w:overflowPunct/>
        <w:topLinePunct w:val="0"/>
        <w:autoSpaceDE/>
        <w:autoSpaceDN/>
        <w:bidi w:val="0"/>
        <w:spacing w:line="560" w:lineRule="exact"/>
        <w:textAlignment w:val="auto"/>
        <w:rPr>
          <w:rFonts w:hint="eastAsia"/>
          <w:b w:val="0"/>
          <w:bCs/>
        </w:rPr>
      </w:pPr>
      <w:bookmarkStart w:id="3" w:name="_Toc24296"/>
      <w:r>
        <w:rPr>
          <w:rFonts w:hint="eastAsia"/>
          <w:b w:val="0"/>
          <w:bCs/>
          <w:lang w:eastAsia="zh-CN"/>
        </w:rPr>
        <w:t>三</w:t>
      </w:r>
      <w:r>
        <w:rPr>
          <w:rFonts w:hint="eastAsia"/>
          <w:b w:val="0"/>
          <w:bCs/>
        </w:rPr>
        <w:t>、主要经验及做法、存在的问题及原因分析</w:t>
      </w:r>
      <w:bookmarkEnd w:id="3"/>
    </w:p>
    <w:p>
      <w:pPr>
        <w:pStyle w:val="5"/>
        <w:pageBreakBefore w:val="0"/>
        <w:widowControl w:val="0"/>
        <w:kinsoku/>
        <w:wordWrap/>
        <w:overflowPunct/>
        <w:topLinePunct w:val="0"/>
        <w:autoSpaceDE/>
        <w:autoSpaceDN/>
        <w:bidi w:val="0"/>
        <w:spacing w:line="560" w:lineRule="exact"/>
        <w:textAlignment w:val="auto"/>
        <w:rPr>
          <w:rFonts w:hint="eastAsia"/>
          <w:b w:val="0"/>
          <w:bCs/>
          <w:lang w:val="en-US" w:eastAsia="zh-CN"/>
        </w:rPr>
      </w:pPr>
      <w:bookmarkStart w:id="4" w:name="_Toc31344"/>
      <w:r>
        <w:rPr>
          <w:rFonts w:hint="eastAsia"/>
          <w:b w:val="0"/>
          <w:bCs/>
          <w:lang w:eastAsia="zh-CN"/>
        </w:rPr>
        <w:t>（</w:t>
      </w:r>
      <w:r>
        <w:rPr>
          <w:rFonts w:hint="eastAsia"/>
          <w:b w:val="0"/>
          <w:bCs/>
          <w:lang w:val="en-US" w:eastAsia="zh-CN"/>
        </w:rPr>
        <w:t>一</w:t>
      </w:r>
      <w:r>
        <w:rPr>
          <w:rFonts w:hint="eastAsia"/>
          <w:b w:val="0"/>
          <w:bCs/>
          <w:lang w:eastAsia="zh-CN"/>
        </w:rPr>
        <w:t>）</w:t>
      </w:r>
      <w:r>
        <w:rPr>
          <w:rFonts w:hint="eastAsia"/>
          <w:b w:val="0"/>
          <w:bCs/>
          <w:lang w:val="en-US" w:eastAsia="zh-CN"/>
        </w:rPr>
        <w:t>主要经验做法</w:t>
      </w:r>
      <w:bookmarkEnd w:id="4"/>
    </w:p>
    <w:p>
      <w:pPr>
        <w:pageBreakBefore w:val="0"/>
        <w:widowControl w:val="0"/>
        <w:kinsoku/>
        <w:wordWrap/>
        <w:overflowPunct/>
        <w:topLinePunct w:val="0"/>
        <w:autoSpaceDE/>
        <w:autoSpaceDN/>
        <w:bidi w:val="0"/>
        <w:spacing w:line="560" w:lineRule="exact"/>
        <w:textAlignment w:val="auto"/>
        <w:rPr>
          <w:rFonts w:hint="default"/>
          <w:b w:val="0"/>
          <w:bCs/>
          <w:lang w:val="en-US" w:eastAsia="zh-CN"/>
        </w:rPr>
      </w:pPr>
      <w:r>
        <w:rPr>
          <w:rFonts w:hint="eastAsia"/>
          <w:b w:val="0"/>
          <w:bCs/>
          <w:lang w:val="en-US" w:eastAsia="zh-CN"/>
        </w:rPr>
        <w:t>通过对项目全部资料的梳理分析及实地调研走访，项目单位比较好的做法是重视镇、村工程建设项目管理并制定了《镇、村工程建设项目管理实施细则》，对镇、村建设项目的管理能够起到一定的促进作用，值得肯定。</w:t>
      </w:r>
    </w:p>
    <w:p>
      <w:pPr>
        <w:pStyle w:val="5"/>
        <w:pageBreakBefore w:val="0"/>
        <w:widowControl w:val="0"/>
        <w:kinsoku/>
        <w:wordWrap/>
        <w:overflowPunct/>
        <w:topLinePunct w:val="0"/>
        <w:autoSpaceDE/>
        <w:autoSpaceDN/>
        <w:bidi w:val="0"/>
        <w:spacing w:line="560" w:lineRule="exact"/>
        <w:textAlignment w:val="auto"/>
        <w:rPr>
          <w:rFonts w:hint="default"/>
          <w:b w:val="0"/>
          <w:bCs/>
          <w:lang w:val="en-US" w:eastAsia="zh-CN"/>
        </w:rPr>
      </w:pPr>
      <w:bookmarkStart w:id="5" w:name="_Toc13218"/>
      <w:r>
        <w:rPr>
          <w:rFonts w:hint="eastAsia"/>
          <w:b w:val="0"/>
          <w:bCs/>
          <w:lang w:val="en-US" w:eastAsia="zh-CN"/>
        </w:rPr>
        <w:t>（二）存在的问题及建议</w:t>
      </w:r>
      <w:bookmarkEnd w:id="5"/>
    </w:p>
    <w:p>
      <w:pPr>
        <w:pStyle w:val="6"/>
        <w:pageBreakBefore w:val="0"/>
        <w:widowControl w:val="0"/>
        <w:kinsoku/>
        <w:wordWrap/>
        <w:overflowPunct/>
        <w:topLinePunct w:val="0"/>
        <w:autoSpaceDE/>
        <w:autoSpaceDN/>
        <w:bidi w:val="0"/>
        <w:spacing w:line="560" w:lineRule="exact"/>
        <w:textAlignment w:val="auto"/>
        <w:rPr>
          <w:rFonts w:hint="default"/>
          <w:b w:val="0"/>
          <w:bCs/>
          <w:lang w:val="en-US" w:eastAsia="zh-CN"/>
        </w:rPr>
      </w:pPr>
      <w:r>
        <w:rPr>
          <w:rFonts w:hint="eastAsia"/>
          <w:b w:val="0"/>
          <w:bCs/>
          <w:lang w:val="en-US" w:eastAsia="zh-CN"/>
        </w:rPr>
        <w:t>1.绩效管理不完善</w:t>
      </w:r>
    </w:p>
    <w:p>
      <w:pPr>
        <w:pageBreakBefore w:val="0"/>
        <w:widowControl w:val="0"/>
        <w:kinsoku/>
        <w:wordWrap/>
        <w:overflowPunct/>
        <w:topLinePunct w:val="0"/>
        <w:autoSpaceDE/>
        <w:autoSpaceDN/>
        <w:bidi w:val="0"/>
        <w:spacing w:line="560" w:lineRule="exact"/>
        <w:textAlignment w:val="auto"/>
        <w:rPr>
          <w:rFonts w:hint="eastAsia"/>
          <w:b w:val="0"/>
          <w:bCs/>
          <w:lang w:val="en-US" w:eastAsia="zh-CN"/>
        </w:rPr>
      </w:pPr>
      <w:r>
        <w:rPr>
          <w:rFonts w:hint="eastAsia"/>
          <w:b w:val="0"/>
          <w:bCs/>
          <w:lang w:val="en-US" w:eastAsia="zh-CN"/>
        </w:rPr>
        <w:t>该项目评价过程中发现仅有项目支出绩效目标申报表、绩效自评表、绩效自评报告，缺少项目绩效目标运行监控程序且绩效自评报告内容简单未能充分反映项目基本情况，绩效目标申报表中绩效指标设置不科学，不符合财政预算绩效全过程管理要求。</w:t>
      </w:r>
    </w:p>
    <w:p>
      <w:pPr>
        <w:pageBreakBefore w:val="0"/>
        <w:widowControl w:val="0"/>
        <w:kinsoku/>
        <w:wordWrap/>
        <w:overflowPunct/>
        <w:topLinePunct w:val="0"/>
        <w:autoSpaceDE/>
        <w:autoSpaceDN/>
        <w:bidi w:val="0"/>
        <w:spacing w:line="560" w:lineRule="exact"/>
        <w:textAlignment w:val="auto"/>
        <w:rPr>
          <w:rFonts w:hint="eastAsia"/>
          <w:b w:val="0"/>
          <w:bCs/>
          <w:lang w:val="en-US" w:eastAsia="zh-CN"/>
        </w:rPr>
      </w:pPr>
      <w:r>
        <w:rPr>
          <w:rFonts w:hint="eastAsia"/>
          <w:b w:val="0"/>
          <w:bCs/>
          <w:lang w:val="en-US" w:eastAsia="zh-CN"/>
        </w:rPr>
        <w:t>建议加强财政预算绩效管理意识，组织相关人员开展财政预算绩效管理学习。建立全过程绩效管理制度，完善绩效管理流程。</w:t>
      </w:r>
    </w:p>
    <w:p>
      <w:pPr>
        <w:pStyle w:val="6"/>
        <w:pageBreakBefore w:val="0"/>
        <w:widowControl w:val="0"/>
        <w:kinsoku/>
        <w:wordWrap/>
        <w:overflowPunct/>
        <w:topLinePunct w:val="0"/>
        <w:autoSpaceDE/>
        <w:autoSpaceDN/>
        <w:bidi w:val="0"/>
        <w:spacing w:line="560" w:lineRule="exact"/>
        <w:textAlignment w:val="auto"/>
        <w:rPr>
          <w:rFonts w:hint="default"/>
          <w:b w:val="0"/>
          <w:bCs/>
          <w:lang w:val="en-US" w:eastAsia="zh-CN"/>
        </w:rPr>
      </w:pPr>
      <w:r>
        <w:rPr>
          <w:rFonts w:hint="eastAsia"/>
          <w:b w:val="0"/>
          <w:bCs/>
          <w:lang w:val="en-US" w:eastAsia="zh-CN"/>
        </w:rPr>
        <w:t>2.项目过程管理不严谨</w:t>
      </w:r>
    </w:p>
    <w:p>
      <w:pPr>
        <w:pageBreakBefore w:val="0"/>
        <w:widowControl w:val="0"/>
        <w:kinsoku/>
        <w:wordWrap/>
        <w:overflowPunct/>
        <w:topLinePunct w:val="0"/>
        <w:autoSpaceDE/>
        <w:autoSpaceDN/>
        <w:bidi w:val="0"/>
        <w:spacing w:line="560" w:lineRule="exact"/>
        <w:textAlignment w:val="auto"/>
        <w:rPr>
          <w:rFonts w:hint="eastAsia"/>
          <w:b w:val="0"/>
          <w:bCs/>
          <w:lang w:val="en-US" w:eastAsia="zh-CN"/>
        </w:rPr>
      </w:pPr>
      <w:r>
        <w:rPr>
          <w:rFonts w:hint="eastAsia"/>
          <w:b w:val="0"/>
          <w:bCs/>
          <w:lang w:val="en-US" w:eastAsia="zh-CN"/>
        </w:rPr>
        <w:t>该项目实施过程中主要存在未按要求组织招标，对应该招标的内容未全部进行公开招标，合同管理不到位与提供造价咨询的服务机构未签订委托合同，验收管理不到位未在项目完成全部建设内容后及时组织验收。</w:t>
      </w:r>
    </w:p>
    <w:p>
      <w:pPr>
        <w:pageBreakBefore w:val="0"/>
        <w:widowControl w:val="0"/>
        <w:kinsoku/>
        <w:wordWrap/>
        <w:overflowPunct/>
        <w:topLinePunct w:val="0"/>
        <w:autoSpaceDE/>
        <w:autoSpaceDN/>
        <w:bidi w:val="0"/>
        <w:spacing w:line="560" w:lineRule="exact"/>
        <w:textAlignment w:val="auto"/>
        <w:rPr>
          <w:rFonts w:hint="eastAsia"/>
          <w:b w:val="0"/>
          <w:bCs/>
          <w:lang w:val="en-US" w:eastAsia="zh-CN"/>
        </w:rPr>
      </w:pPr>
      <w:r>
        <w:rPr>
          <w:rFonts w:hint="eastAsia"/>
          <w:b w:val="0"/>
          <w:bCs/>
          <w:lang w:val="en-US" w:eastAsia="zh-CN"/>
        </w:rPr>
        <w:t>建议项目单位加强项目全过程管理意识，严格按照上级主管部门要求组织招标，严格按照建设项目管理要求组织验收、结算等。</w:t>
      </w:r>
    </w:p>
    <w:p>
      <w:pPr>
        <w:pStyle w:val="6"/>
        <w:pageBreakBefore w:val="0"/>
        <w:widowControl w:val="0"/>
        <w:kinsoku/>
        <w:wordWrap/>
        <w:overflowPunct/>
        <w:topLinePunct w:val="0"/>
        <w:autoSpaceDE/>
        <w:autoSpaceDN/>
        <w:bidi w:val="0"/>
        <w:spacing w:line="560" w:lineRule="exact"/>
        <w:textAlignment w:val="auto"/>
        <w:rPr>
          <w:rFonts w:hint="eastAsia"/>
          <w:b w:val="0"/>
          <w:bCs/>
          <w:lang w:val="en-US" w:eastAsia="zh-CN"/>
        </w:rPr>
      </w:pPr>
      <w:r>
        <w:rPr>
          <w:rFonts w:hint="eastAsia"/>
          <w:b w:val="0"/>
          <w:bCs/>
          <w:lang w:val="en-US" w:eastAsia="zh-CN"/>
        </w:rPr>
        <w:t>3.可持续影响保障不足</w:t>
      </w:r>
    </w:p>
    <w:p>
      <w:pPr>
        <w:pageBreakBefore w:val="0"/>
        <w:widowControl w:val="0"/>
        <w:kinsoku/>
        <w:wordWrap/>
        <w:overflowPunct/>
        <w:topLinePunct w:val="0"/>
        <w:autoSpaceDE/>
        <w:autoSpaceDN/>
        <w:bidi w:val="0"/>
        <w:spacing w:line="560" w:lineRule="exact"/>
        <w:textAlignment w:val="auto"/>
        <w:rPr>
          <w:rFonts w:hint="eastAsia"/>
          <w:b w:val="0"/>
          <w:bCs/>
          <w:lang w:val="en-US" w:eastAsia="zh-CN"/>
        </w:rPr>
      </w:pPr>
      <w:r>
        <w:rPr>
          <w:rFonts w:hint="eastAsia"/>
          <w:b w:val="0"/>
          <w:bCs/>
          <w:lang w:val="en-US" w:eastAsia="zh-CN"/>
        </w:rPr>
        <w:t>项目单位对项目的日常运营管理方式太过简单，一托了之。且委托管理采购不符合政府购买服务管理要求。项目单位对该项目日常运营管理重视程度不高，未制定日常管理办法及对托管单位的监督考核制度，不能保障项目的可持续影响正常发挥。</w:t>
      </w:r>
    </w:p>
    <w:p>
      <w:pPr>
        <w:pStyle w:val="2"/>
        <w:pageBreakBefore w:val="0"/>
        <w:widowControl w:val="0"/>
        <w:kinsoku/>
        <w:wordWrap/>
        <w:overflowPunct/>
        <w:topLinePunct w:val="0"/>
        <w:autoSpaceDE/>
        <w:autoSpaceDN/>
        <w:bidi w:val="0"/>
        <w:spacing w:line="560" w:lineRule="exact"/>
        <w:textAlignment w:val="auto"/>
        <w:rPr>
          <w:rFonts w:hint="default"/>
          <w:b w:val="0"/>
          <w:bCs/>
          <w:lang w:val="en-US" w:eastAsia="zh-CN"/>
        </w:rPr>
      </w:pPr>
      <w:r>
        <w:rPr>
          <w:rFonts w:hint="eastAsia"/>
          <w:b w:val="0"/>
          <w:bCs/>
          <w:lang w:val="en-US" w:eastAsia="zh-CN"/>
        </w:rPr>
        <w:t>建议项目单位对现有托管单位制定监督管理和考核制度，尽快组织运营考核，根据考核结果决定是否继续委托现有托管运营单位。</w:t>
      </w:r>
    </w:p>
    <w:sectPr>
      <w:footerReference r:id="rId5" w:type="default"/>
      <w:pgSz w:w="11906" w:h="16838"/>
      <w:pgMar w:top="1553"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49275" cy="19367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54927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25pt;width:43.25pt;mso-position-horizontal:center;mso-position-horizontal-relative:margin;z-index:251659264;mso-width-relative:page;mso-height-relative:page;" filled="f" stroked="f" coordsize="21600,21600" o:gfxdata="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O/q40wAAAAMBAAAPAAAAAAAAAAEAIAAAACIAAABkcnMvZG93bnJldi54&#10;bWxQSwECFAAUAAAACACHTuJA1asu5zgCAABjBAAADgAAAAAAAAABACAAAAAiAQAAZHJzL2Uyb0Rv&#10;Yy54bWxQSwUGAAAAAAYABgBZAQAAzAUAAAAA&#10;">
              <v:fill on="f" focussize="0,0"/>
              <v:stroke on="f" weight="0.5pt"/>
              <v:imagedata o:title=""/>
              <o:lock v:ext="edit" aspectratio="f"/>
              <v:textbox inset="0mm,0mm,0mm,0mm">
                <w:txbxContent>
                  <w:p>
                    <w:pPr>
                      <w:pStyle w:val="8"/>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7FF0B5AD"/>
    <w:rsid w:val="014F6641"/>
    <w:rsid w:val="041A2F36"/>
    <w:rsid w:val="047563BF"/>
    <w:rsid w:val="06040DD9"/>
    <w:rsid w:val="07826680"/>
    <w:rsid w:val="078D3A1F"/>
    <w:rsid w:val="07CD379B"/>
    <w:rsid w:val="08E349EA"/>
    <w:rsid w:val="096A6AAF"/>
    <w:rsid w:val="0C3E61C8"/>
    <w:rsid w:val="0CE4363E"/>
    <w:rsid w:val="0EDB59B8"/>
    <w:rsid w:val="10A718BB"/>
    <w:rsid w:val="11077D47"/>
    <w:rsid w:val="115A0E16"/>
    <w:rsid w:val="11C10E95"/>
    <w:rsid w:val="141352AC"/>
    <w:rsid w:val="16625FF0"/>
    <w:rsid w:val="16797BD3"/>
    <w:rsid w:val="17FD51E2"/>
    <w:rsid w:val="184E0FA9"/>
    <w:rsid w:val="1991739F"/>
    <w:rsid w:val="19B3612E"/>
    <w:rsid w:val="1A22449B"/>
    <w:rsid w:val="1A823A41"/>
    <w:rsid w:val="1D1A58FD"/>
    <w:rsid w:val="1E5F0797"/>
    <w:rsid w:val="1EA94722"/>
    <w:rsid w:val="1FCB1131"/>
    <w:rsid w:val="21EE62A7"/>
    <w:rsid w:val="22B57DE4"/>
    <w:rsid w:val="2677791D"/>
    <w:rsid w:val="26D60AE7"/>
    <w:rsid w:val="26D7485F"/>
    <w:rsid w:val="27751963"/>
    <w:rsid w:val="282F7376"/>
    <w:rsid w:val="2BEB558F"/>
    <w:rsid w:val="2E132621"/>
    <w:rsid w:val="2E5E576B"/>
    <w:rsid w:val="2EBB5196"/>
    <w:rsid w:val="2F86652E"/>
    <w:rsid w:val="307355F9"/>
    <w:rsid w:val="3075311F"/>
    <w:rsid w:val="310F6880"/>
    <w:rsid w:val="323625AF"/>
    <w:rsid w:val="34BF705E"/>
    <w:rsid w:val="35054F1C"/>
    <w:rsid w:val="362353CB"/>
    <w:rsid w:val="36D61545"/>
    <w:rsid w:val="37546CC1"/>
    <w:rsid w:val="38507793"/>
    <w:rsid w:val="385E739B"/>
    <w:rsid w:val="38F848ED"/>
    <w:rsid w:val="39186D3D"/>
    <w:rsid w:val="3B7641EF"/>
    <w:rsid w:val="3BC6395E"/>
    <w:rsid w:val="3D2F64CE"/>
    <w:rsid w:val="3E8938CE"/>
    <w:rsid w:val="3F525A73"/>
    <w:rsid w:val="3FF51B86"/>
    <w:rsid w:val="40F462E2"/>
    <w:rsid w:val="42982C9D"/>
    <w:rsid w:val="4322216B"/>
    <w:rsid w:val="43FE2FD4"/>
    <w:rsid w:val="44AB7E78"/>
    <w:rsid w:val="46D04071"/>
    <w:rsid w:val="49AF4DDC"/>
    <w:rsid w:val="49E05CA0"/>
    <w:rsid w:val="4AC77295"/>
    <w:rsid w:val="4B7A5635"/>
    <w:rsid w:val="4CBC08E9"/>
    <w:rsid w:val="4F7801A4"/>
    <w:rsid w:val="507F724A"/>
    <w:rsid w:val="50CD6207"/>
    <w:rsid w:val="527D147C"/>
    <w:rsid w:val="545D5E78"/>
    <w:rsid w:val="54D933CD"/>
    <w:rsid w:val="581405C3"/>
    <w:rsid w:val="5B5138EB"/>
    <w:rsid w:val="5C885E22"/>
    <w:rsid w:val="5D04179A"/>
    <w:rsid w:val="5D277B93"/>
    <w:rsid w:val="5DAD53F7"/>
    <w:rsid w:val="5DCF4FA3"/>
    <w:rsid w:val="5E3C37AE"/>
    <w:rsid w:val="5E8D561B"/>
    <w:rsid w:val="5FED3BEB"/>
    <w:rsid w:val="60511D34"/>
    <w:rsid w:val="607E307A"/>
    <w:rsid w:val="60BB0AE3"/>
    <w:rsid w:val="61572249"/>
    <w:rsid w:val="620B2405"/>
    <w:rsid w:val="64486A07"/>
    <w:rsid w:val="65D279B4"/>
    <w:rsid w:val="66440592"/>
    <w:rsid w:val="665F41AE"/>
    <w:rsid w:val="674803B4"/>
    <w:rsid w:val="69B87AB0"/>
    <w:rsid w:val="69E93198"/>
    <w:rsid w:val="6AEA4B03"/>
    <w:rsid w:val="6D021A16"/>
    <w:rsid w:val="6D8D71CB"/>
    <w:rsid w:val="6DAD1058"/>
    <w:rsid w:val="6DB3638A"/>
    <w:rsid w:val="6EFA2EC9"/>
    <w:rsid w:val="6FE92DA8"/>
    <w:rsid w:val="700A66D9"/>
    <w:rsid w:val="729329B5"/>
    <w:rsid w:val="72B648F6"/>
    <w:rsid w:val="741E2752"/>
    <w:rsid w:val="751D0C5C"/>
    <w:rsid w:val="79A55ABD"/>
    <w:rsid w:val="7A473EB8"/>
    <w:rsid w:val="7A6D4434"/>
    <w:rsid w:val="7A902D9D"/>
    <w:rsid w:val="7B3F6CCC"/>
    <w:rsid w:val="7D553689"/>
    <w:rsid w:val="7D625DA6"/>
    <w:rsid w:val="7FF0B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outlineLvl w:val="0"/>
    </w:pPr>
    <w:rPr>
      <w:b/>
      <w:kern w:val="44"/>
      <w:sz w:val="32"/>
    </w:rPr>
  </w:style>
  <w:style w:type="paragraph" w:styleId="5">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仿宋_GB2312"/>
      <w:b/>
    </w:rPr>
  </w:style>
  <w:style w:type="paragraph" w:styleId="6">
    <w:name w:val="heading 3"/>
    <w:basedOn w:val="1"/>
    <w:next w:val="1"/>
    <w:unhideWhenUsed/>
    <w:qFormat/>
    <w:uiPriority w:val="0"/>
    <w:pPr>
      <w:keepNext/>
      <w:keepLines/>
      <w:spacing w:beforeLines="0" w:beforeAutospacing="0" w:afterLines="0" w:afterAutospacing="0" w:line="240" w:lineRule="auto"/>
      <w:outlineLvl w:val="2"/>
    </w:pPr>
    <w:rPr>
      <w:rFonts w:ascii="Times New Roman" w:hAnsi="Times New Roman"/>
      <w:b/>
    </w:rPr>
  </w:style>
  <w:style w:type="paragraph" w:styleId="7">
    <w:name w:val="heading 4"/>
    <w:basedOn w:val="1"/>
    <w:next w:val="1"/>
    <w:unhideWhenUsed/>
    <w:qFormat/>
    <w:uiPriority w:val="0"/>
    <w:pPr>
      <w:keepNext/>
      <w:keepLines/>
      <w:spacing w:beforeLines="0" w:beforeAutospacing="0" w:afterLines="0" w:afterAutospacing="0" w:line="360" w:lineRule="exact"/>
      <w:ind w:firstLine="0" w:firstLineChars="0"/>
      <w:jc w:val="center"/>
      <w:outlineLvl w:val="3"/>
    </w:pPr>
    <w:rPr>
      <w:rFonts w:ascii="Arial" w:hAnsi="Arial" w:eastAsia="宋体"/>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index 9"/>
    <w:basedOn w:val="1"/>
    <w:next w:val="1"/>
    <w:qFormat/>
    <w:uiPriority w:val="0"/>
    <w:pPr>
      <w:ind w:left="336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firstLine="420"/>
    </w:pPr>
  </w:style>
  <w:style w:type="character" w:customStyle="1" w:styleId="18">
    <w:name w:val="fontstyle01"/>
    <w:basedOn w:val="16"/>
    <w:qFormat/>
    <w:uiPriority w:val="0"/>
    <w:rPr>
      <w:rFonts w:hint="eastAsia" w:ascii="仿宋_GB2312" w:eastAsia="仿宋_GB2312"/>
      <w:color w:val="000000"/>
      <w:sz w:val="32"/>
      <w:szCs w:val="32"/>
    </w:rPr>
  </w:style>
  <w:style w:type="paragraph" w:customStyle="1" w:styleId="19">
    <w:name w:val="标题2"/>
    <w:basedOn w:val="20"/>
    <w:qFormat/>
    <w:uiPriority w:val="0"/>
    <w:pPr>
      <w:adjustRightInd w:val="0"/>
      <w:snapToGrid w:val="0"/>
      <w:spacing w:before="50" w:beforeLines="50" w:after="50" w:afterLines="50" w:line="760" w:lineRule="exact"/>
      <w:ind w:firstLine="200"/>
      <w:jc w:val="left"/>
    </w:pPr>
    <w:rPr>
      <w:rFonts w:ascii="楷体" w:hAnsi="楷体" w:eastAsia="楷体" w:cs="宋体"/>
      <w:b/>
      <w:bCs/>
      <w:szCs w:val="32"/>
    </w:rPr>
  </w:style>
  <w:style w:type="paragraph" w:customStyle="1" w:styleId="20">
    <w:name w:val="彩色列表 - 着色 11"/>
    <w:basedOn w:val="1"/>
    <w:qFormat/>
    <w:uiPriority w:val="34"/>
    <w:pPr>
      <w:ind w:firstLine="420"/>
    </w:pPr>
    <w:rPr>
      <w:szCs w:val="22"/>
    </w:rPr>
  </w:style>
  <w:style w:type="paragraph" w:customStyle="1" w:styleId="21">
    <w:name w:val="标题1"/>
    <w:basedOn w:val="20"/>
    <w:qFormat/>
    <w:uiPriority w:val="0"/>
    <w:pPr>
      <w:tabs>
        <w:tab w:val="center" w:pos="4422"/>
      </w:tabs>
      <w:adjustRightInd w:val="0"/>
      <w:snapToGrid w:val="0"/>
      <w:spacing w:line="760" w:lineRule="exact"/>
      <w:ind w:firstLine="0" w:firstLineChars="0"/>
      <w:jc w:val="left"/>
      <w:outlineLvl w:val="0"/>
    </w:pPr>
    <w:rPr>
      <w:rFonts w:ascii="黑体" w:hAnsi="黑体" w:eastAsia="黑体" w:cs="宋体"/>
      <w:szCs w:val="32"/>
    </w:rPr>
  </w:style>
  <w:style w:type="paragraph" w:customStyle="1" w:styleId="22">
    <w:name w:val="闻政标题5"/>
    <w:basedOn w:val="1"/>
    <w:qFormat/>
    <w:uiPriority w:val="0"/>
    <w:pPr>
      <w:spacing w:before="120" w:after="60" w:line="500" w:lineRule="exact"/>
      <w:ind w:firstLine="200" w:firstLineChars="200"/>
    </w:pPr>
    <w:rPr>
      <w:rFonts w:ascii="Times New Roman" w:hAnsi="Times New Roman" w:eastAsia="仿宋_GB2312"/>
      <w:b/>
      <w:kern w:val="0"/>
      <w:sz w:val="28"/>
      <w:szCs w:val="28"/>
    </w:rPr>
  </w:style>
  <w:style w:type="paragraph" w:customStyle="1" w:styleId="23">
    <w:name w:val="Table Paragraph"/>
    <w:basedOn w:val="1"/>
    <w:qFormat/>
    <w:uiPriority w:val="1"/>
    <w:rPr>
      <w:rFonts w:ascii="仿宋" w:hAnsi="仿宋" w:eastAsia="仿宋" w:cs="仿宋"/>
      <w:lang w:val="zh-CN" w:eastAsia="zh-CN" w:bidi="zh-CN"/>
    </w:rPr>
  </w:style>
  <w:style w:type="character" w:customStyle="1" w:styleId="24">
    <w:name w:val="font41"/>
    <w:basedOn w:val="16"/>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1592</Words>
  <Characters>1632</Characters>
  <Lines>0</Lines>
  <Paragraphs>0</Paragraphs>
  <TotalTime>26</TotalTime>
  <ScaleCrop>false</ScaleCrop>
  <LinksUpToDate>false</LinksUpToDate>
  <CharactersWithSpaces>1705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2021-01-29T09:34:00Z</dcterms:created>
  <dc:creator>thtf</dc:creator>
  <cp:lastModifiedBy>杨勇</cp:lastModifiedBy>
  <cp:lastPrinted>2021-10-25T07:24:00Z</cp:lastPrinted>
  <dcterms:modified xsi:type="dcterms:W3CDTF">2023-01-19T08:21:14Z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747E18364EA44A39BEC8883CBB0B7760</vt:lpwstr>
  </property>
</Properties>
</file>