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黑体" w:hAnsi="黑体" w:eastAsia="黑体"/>
          <w:b w:val="0"/>
          <w:bCs/>
          <w:kern w:val="2"/>
          <w:sz w:val="40"/>
          <w:szCs w:val="40"/>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黑体" w:hAnsi="黑体" w:eastAsia="黑体"/>
          <w:b w:val="0"/>
          <w:bCs/>
          <w:kern w:val="2"/>
          <w:sz w:val="40"/>
          <w:szCs w:val="40"/>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黑体" w:hAnsi="黑体" w:eastAsia="黑体"/>
          <w:b w:val="0"/>
          <w:bCs/>
          <w:kern w:val="2"/>
          <w:sz w:val="40"/>
          <w:szCs w:val="40"/>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黑体" w:hAnsi="黑体" w:eastAsia="黑体"/>
          <w:b w:val="0"/>
          <w:bCs/>
          <w:kern w:val="2"/>
          <w:sz w:val="40"/>
          <w:szCs w:val="40"/>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kern w:val="2"/>
          <w:sz w:val="44"/>
          <w:szCs w:val="44"/>
        </w:rPr>
      </w:pPr>
      <w:r>
        <w:rPr>
          <w:rFonts w:hint="eastAsia" w:ascii="宋体" w:hAnsi="宋体" w:eastAsia="宋体" w:cs="宋体"/>
          <w:b w:val="0"/>
          <w:bCs/>
          <w:kern w:val="2"/>
          <w:sz w:val="44"/>
          <w:szCs w:val="44"/>
        </w:rPr>
        <w:t>海勒素壕村旅游专线沿线环境绿化项目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val="0"/>
          <w:bCs/>
          <w:kern w:val="2"/>
          <w:sz w:val="44"/>
          <w:szCs w:val="44"/>
        </w:rPr>
      </w:pPr>
      <w:r>
        <w:rPr>
          <w:rFonts w:hint="eastAsia" w:ascii="宋体" w:hAnsi="宋体" w:eastAsia="宋体" w:cs="宋体"/>
          <w:b w:val="0"/>
          <w:bCs/>
          <w:kern w:val="2"/>
          <w:sz w:val="44"/>
          <w:szCs w:val="44"/>
        </w:rPr>
        <w:t>绩效评价</w:t>
      </w:r>
      <w:r>
        <w:rPr>
          <w:rFonts w:hint="eastAsia" w:ascii="宋体" w:hAnsi="宋体" w:eastAsia="宋体" w:cs="宋体"/>
          <w:b w:val="0"/>
          <w:bCs/>
          <w:kern w:val="2"/>
          <w:sz w:val="44"/>
          <w:szCs w:val="44"/>
          <w:lang w:eastAsia="zh-CN"/>
        </w:rPr>
        <w:t>简要</w:t>
      </w:r>
      <w:r>
        <w:rPr>
          <w:rFonts w:hint="eastAsia" w:ascii="宋体" w:hAnsi="宋体" w:eastAsia="宋体" w:cs="宋体"/>
          <w:b w:val="0"/>
          <w:bCs/>
          <w:kern w:val="2"/>
          <w:sz w:val="44"/>
          <w:szCs w:val="44"/>
        </w:rPr>
        <w:t>报告</w:t>
      </w:r>
      <w:bookmarkStart w:id="6" w:name="_GoBack"/>
      <w:bookmarkEnd w:id="6"/>
    </w:p>
    <w:p>
      <w:pPr>
        <w:bidi w:val="0"/>
        <w:rPr>
          <w:rFonts w:hint="eastAsia"/>
          <w:b w:val="0"/>
          <w:bCs/>
        </w:rPr>
      </w:pPr>
    </w:p>
    <w:p>
      <w:pPr>
        <w:bidi w:val="0"/>
        <w:rPr>
          <w:rFonts w:hint="eastAsia"/>
          <w:b w:val="0"/>
          <w:bCs/>
        </w:rPr>
      </w:pPr>
    </w:p>
    <w:p>
      <w:pPr>
        <w:rPr>
          <w:rFonts w:hint="eastAsia"/>
          <w:b w:val="0"/>
          <w:bCs/>
        </w:rPr>
      </w:pPr>
    </w:p>
    <w:p>
      <w:pPr>
        <w:bidi w:val="0"/>
        <w:rPr>
          <w:rFonts w:hint="eastAsia"/>
          <w:b w:val="0"/>
          <w:bCs/>
        </w:rPr>
      </w:pPr>
    </w:p>
    <w:p>
      <w:pPr>
        <w:bidi w:val="0"/>
        <w:rPr>
          <w:rFonts w:hint="eastAsia"/>
          <w:b w:val="0"/>
          <w:bCs/>
          <w:u w:val="none"/>
        </w:rPr>
      </w:pPr>
    </w:p>
    <w:p>
      <w:pPr>
        <w:bidi w:val="0"/>
        <w:rPr>
          <w:rFonts w:hint="default"/>
          <w:b w:val="0"/>
          <w:bCs/>
          <w:u w:val="none"/>
          <w:lang w:val="en-US" w:eastAsia="zh-CN"/>
        </w:rPr>
      </w:pPr>
      <w:r>
        <w:rPr>
          <w:rFonts w:hint="eastAsia"/>
          <w:b w:val="0"/>
          <w:bCs/>
          <w:u w:val="none"/>
          <w:lang w:val="en-US" w:eastAsia="zh-CN"/>
        </w:rPr>
        <w:t xml:space="preserve">实施单位：纳林陶亥镇人民政府                          </w:t>
      </w:r>
    </w:p>
    <w:p>
      <w:pPr>
        <w:bidi w:val="0"/>
        <w:rPr>
          <w:rFonts w:hint="eastAsia"/>
          <w:b w:val="0"/>
          <w:bCs/>
          <w:u w:val="none"/>
          <w:lang w:val="en-US" w:eastAsia="zh-CN"/>
        </w:rPr>
      </w:pPr>
      <w:r>
        <w:rPr>
          <w:rFonts w:hint="eastAsia"/>
          <w:b w:val="0"/>
          <w:bCs/>
          <w:u w:val="none"/>
          <w:lang w:val="en-US" w:eastAsia="zh-CN"/>
        </w:rPr>
        <w:t>委托单位：</w:t>
      </w:r>
      <w:r>
        <w:rPr>
          <w:rFonts w:hint="eastAsia"/>
          <w:b w:val="0"/>
          <w:bCs/>
          <w:color w:val="auto"/>
          <w:u w:val="none"/>
          <w:lang w:val="en-US" w:eastAsia="zh-CN"/>
        </w:rPr>
        <w:t>伊金霍洛旗绩效评价税收服务中心</w:t>
      </w:r>
      <w:r>
        <w:rPr>
          <w:rFonts w:hint="eastAsia"/>
          <w:b w:val="0"/>
          <w:bCs/>
          <w:u w:val="none"/>
          <w:lang w:val="en-US" w:eastAsia="zh-CN"/>
        </w:rPr>
        <w:t xml:space="preserve">                     </w:t>
      </w:r>
    </w:p>
    <w:p>
      <w:pPr>
        <w:bidi w:val="0"/>
        <w:rPr>
          <w:rFonts w:hint="eastAsia"/>
          <w:b w:val="0"/>
          <w:bCs/>
          <w:u w:val="none"/>
          <w:lang w:val="en-US" w:eastAsia="zh-CN"/>
        </w:rPr>
      </w:pPr>
      <w:r>
        <w:rPr>
          <w:rFonts w:hint="eastAsia"/>
          <w:b w:val="0"/>
          <w:bCs/>
          <w:u w:val="none"/>
          <w:lang w:val="en-US" w:eastAsia="zh-CN"/>
        </w:rPr>
        <w:t xml:space="preserve">评价机构：内蒙古伟睿咨询有限公司                           </w:t>
      </w:r>
    </w:p>
    <w:p>
      <w:pPr>
        <w:bidi w:val="0"/>
        <w:ind w:left="0" w:leftChars="0" w:firstLine="0" w:firstLineChars="0"/>
        <w:jc w:val="center"/>
        <w:rPr>
          <w:rFonts w:hint="eastAsia"/>
          <w:b w:val="0"/>
          <w:bCs/>
          <w:u w:val="none"/>
          <w:lang w:val="en-US" w:eastAsia="zh-CN"/>
        </w:rPr>
      </w:pPr>
    </w:p>
    <w:p>
      <w:pPr>
        <w:bidi w:val="0"/>
        <w:ind w:left="0" w:leftChars="0" w:firstLine="0" w:firstLineChars="0"/>
        <w:jc w:val="center"/>
        <w:rPr>
          <w:rFonts w:hint="eastAsia"/>
          <w:b w:val="0"/>
          <w:bCs/>
          <w:u w:val="none"/>
          <w:lang w:val="en-US" w:eastAsia="zh-CN"/>
        </w:rPr>
      </w:pPr>
    </w:p>
    <w:p>
      <w:pPr>
        <w:bidi w:val="0"/>
        <w:ind w:left="0" w:leftChars="0" w:firstLine="0" w:firstLineChars="0"/>
        <w:jc w:val="center"/>
        <w:rPr>
          <w:rFonts w:hint="eastAsia"/>
          <w:b w:val="0"/>
          <w:bCs/>
          <w:lang w:val="en-US" w:eastAsia="zh-CN"/>
        </w:rPr>
      </w:pPr>
    </w:p>
    <w:p>
      <w:pPr>
        <w:bidi w:val="0"/>
        <w:ind w:left="0" w:leftChars="0" w:firstLine="0" w:firstLineChars="0"/>
        <w:jc w:val="center"/>
        <w:rPr>
          <w:rFonts w:hint="eastAsia"/>
          <w:b w:val="0"/>
          <w:bCs/>
          <w:lang w:val="en-US" w:eastAsia="zh-CN"/>
        </w:rPr>
      </w:pPr>
    </w:p>
    <w:p>
      <w:pPr>
        <w:bidi w:val="0"/>
        <w:ind w:left="0" w:leftChars="0" w:firstLine="0" w:firstLineChars="0"/>
        <w:jc w:val="center"/>
        <w:rPr>
          <w:rFonts w:hint="eastAsia"/>
          <w:b w:val="0"/>
          <w:bCs/>
          <w:lang w:val="en-US" w:eastAsia="zh-CN"/>
        </w:rPr>
      </w:pPr>
    </w:p>
    <w:p>
      <w:pPr>
        <w:bidi w:val="0"/>
        <w:ind w:left="0" w:leftChars="0" w:firstLine="0" w:firstLineChars="0"/>
        <w:jc w:val="center"/>
        <w:rPr>
          <w:rFonts w:hint="eastAsia"/>
          <w:b w:val="0"/>
          <w:bCs/>
          <w:lang w:val="en-US" w:eastAsia="zh-CN"/>
        </w:rPr>
      </w:pPr>
    </w:p>
    <w:p>
      <w:pPr>
        <w:bidi w:val="0"/>
        <w:ind w:left="0" w:leftChars="0" w:firstLine="0" w:firstLineChars="0"/>
        <w:jc w:val="center"/>
        <w:rPr>
          <w:rFonts w:hint="eastAsia"/>
          <w:b w:val="0"/>
          <w:bCs/>
          <w:lang w:val="en-US" w:eastAsia="zh-CN"/>
        </w:rPr>
      </w:pPr>
    </w:p>
    <w:p>
      <w:pPr>
        <w:bidi w:val="0"/>
        <w:ind w:left="0" w:leftChars="0" w:firstLine="0" w:firstLineChars="0"/>
        <w:jc w:val="center"/>
        <w:rPr>
          <w:rFonts w:hint="eastAsia"/>
          <w:b w:val="0"/>
          <w:bCs/>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宋体" w:hAnsi="宋体" w:eastAsia="宋体" w:cs="宋体"/>
          <w:b w:val="0"/>
          <w:bCs/>
          <w:kern w:val="2"/>
          <w:sz w:val="32"/>
          <w:szCs w:val="32"/>
        </w:rPr>
      </w:pPr>
      <w:r>
        <w:rPr>
          <w:rFonts w:hint="eastAsia" w:ascii="宋体" w:hAnsi="宋体" w:eastAsia="宋体" w:cs="宋体"/>
          <w:b w:val="0"/>
          <w:bCs/>
          <w:kern w:val="2"/>
          <w:sz w:val="32"/>
          <w:szCs w:val="32"/>
        </w:rPr>
        <w:t>海勒素壕村旅游专线沿线环境绿化项目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黑体" w:hAnsi="黑体" w:eastAsia="黑体"/>
          <w:b w:val="0"/>
          <w:bCs/>
          <w:kern w:val="2"/>
          <w:sz w:val="32"/>
          <w:szCs w:val="32"/>
        </w:rPr>
      </w:pPr>
      <w:r>
        <w:rPr>
          <w:rFonts w:hint="eastAsia" w:ascii="宋体" w:hAnsi="宋体" w:eastAsia="宋体" w:cs="宋体"/>
          <w:b w:val="0"/>
          <w:bCs/>
          <w:kern w:val="2"/>
          <w:sz w:val="32"/>
          <w:szCs w:val="32"/>
        </w:rPr>
        <w:t>绩效评价</w:t>
      </w:r>
      <w:r>
        <w:rPr>
          <w:rFonts w:hint="eastAsia" w:ascii="宋体" w:hAnsi="宋体" w:eastAsia="宋体" w:cs="宋体"/>
          <w:b w:val="0"/>
          <w:bCs/>
          <w:kern w:val="2"/>
          <w:sz w:val="32"/>
          <w:szCs w:val="32"/>
          <w:lang w:eastAsia="zh-CN"/>
        </w:rPr>
        <w:t>简要</w:t>
      </w:r>
      <w:r>
        <w:rPr>
          <w:rFonts w:hint="eastAsia" w:ascii="宋体" w:hAnsi="宋体" w:eastAsia="宋体" w:cs="宋体"/>
          <w:b w:val="0"/>
          <w:bCs/>
          <w:kern w:val="2"/>
          <w:sz w:val="32"/>
          <w:szCs w:val="32"/>
        </w:rPr>
        <w:t>报告</w:t>
      </w:r>
    </w:p>
    <w:p>
      <w:pPr>
        <w:pageBreakBefore w:val="0"/>
        <w:widowControl w:val="0"/>
        <w:kinsoku/>
        <w:wordWrap/>
        <w:overflowPunct/>
        <w:topLinePunct w:val="0"/>
        <w:autoSpaceDE/>
        <w:autoSpaceDN/>
        <w:bidi w:val="0"/>
        <w:spacing w:line="520" w:lineRule="exact"/>
        <w:textAlignment w:val="auto"/>
        <w:rPr>
          <w:b w:val="0"/>
          <w:bCs/>
          <w:lang w:val="en-US" w:eastAsia="zh-CN"/>
        </w:rPr>
      </w:pPr>
    </w:p>
    <w:p>
      <w:pPr>
        <w:pStyle w:val="4"/>
        <w:pageBreakBefore w:val="0"/>
        <w:widowControl w:val="0"/>
        <w:kinsoku/>
        <w:wordWrap/>
        <w:overflowPunct/>
        <w:topLinePunct w:val="0"/>
        <w:autoSpaceDE/>
        <w:autoSpaceDN/>
        <w:bidi w:val="0"/>
        <w:spacing w:line="520" w:lineRule="exact"/>
        <w:textAlignment w:val="auto"/>
        <w:rPr>
          <w:rFonts w:hint="eastAsia"/>
          <w:b w:val="0"/>
          <w:bCs/>
        </w:rPr>
      </w:pPr>
      <w:bookmarkStart w:id="0" w:name="_Toc237"/>
      <w:r>
        <w:rPr>
          <w:rFonts w:hint="eastAsia"/>
          <w:b w:val="0"/>
          <w:bCs/>
        </w:rPr>
        <w:t>一、基本情况</w:t>
      </w:r>
      <w:bookmarkEnd w:id="0"/>
    </w:p>
    <w:p>
      <w:pPr>
        <w:pStyle w:val="6"/>
        <w:pageBreakBefore w:val="0"/>
        <w:widowControl w:val="0"/>
        <w:kinsoku/>
        <w:wordWrap/>
        <w:overflowPunct/>
        <w:topLinePunct w:val="0"/>
        <w:autoSpaceDE/>
        <w:autoSpaceDN/>
        <w:bidi w:val="0"/>
        <w:spacing w:line="520" w:lineRule="exact"/>
        <w:textAlignment w:val="auto"/>
        <w:rPr>
          <w:rFonts w:hint="eastAsia"/>
          <w:b w:val="0"/>
          <w:bCs/>
          <w:lang w:val="en-US" w:eastAsia="zh-CN"/>
        </w:rPr>
      </w:pPr>
      <w:bookmarkStart w:id="1" w:name="_Toc29158"/>
      <w:r>
        <w:rPr>
          <w:rFonts w:hint="eastAsia"/>
          <w:b w:val="0"/>
          <w:bCs/>
        </w:rPr>
        <w:t>（一）</w:t>
      </w:r>
      <w:bookmarkEnd w:id="1"/>
      <w:r>
        <w:rPr>
          <w:rFonts w:hint="eastAsia"/>
          <w:b w:val="0"/>
          <w:bCs/>
          <w:lang w:val="en-US" w:eastAsia="zh-CN"/>
        </w:rPr>
        <w:t>项目背景</w:t>
      </w:r>
    </w:p>
    <w:p>
      <w:pPr>
        <w:pageBreakBefore w:val="0"/>
        <w:widowControl w:val="0"/>
        <w:kinsoku/>
        <w:wordWrap/>
        <w:overflowPunct/>
        <w:topLinePunct w:val="0"/>
        <w:autoSpaceDE/>
        <w:autoSpaceDN/>
        <w:bidi w:val="0"/>
        <w:spacing w:line="520" w:lineRule="exact"/>
        <w:textAlignment w:val="auto"/>
        <w:rPr>
          <w:b w:val="0"/>
          <w:bCs/>
        </w:rPr>
      </w:pPr>
      <w:r>
        <w:rPr>
          <w:b w:val="0"/>
          <w:bCs/>
        </w:rPr>
        <w:t>习近平总书记在十九大报告中全面阐述了加快生态文明体制改革、推进绿色发展、建设美丽中国的战略部署。十九大报告明确指出，我们要建设的现代化是人与自然和谐共生的现代化，既要创造更多物质财富和精神财富以满足人民日益增长的美好生活需要，也要提供更多优质生态产品以满足人民日益增长的优美生态环境需要。十九大报告为未来中国推进生态文明建设和绿色发展指明了路线图。</w:t>
      </w:r>
    </w:p>
    <w:p>
      <w:pPr>
        <w:pageBreakBefore w:val="0"/>
        <w:widowControl w:val="0"/>
        <w:kinsoku/>
        <w:wordWrap/>
        <w:overflowPunct/>
        <w:topLinePunct w:val="0"/>
        <w:autoSpaceDE/>
        <w:autoSpaceDN/>
        <w:bidi w:val="0"/>
        <w:spacing w:line="520" w:lineRule="exact"/>
        <w:textAlignment w:val="auto"/>
        <w:rPr>
          <w:rFonts w:hint="eastAsia"/>
          <w:b w:val="0"/>
          <w:bCs/>
          <w:lang w:val="en-US" w:eastAsia="zh-CN"/>
        </w:rPr>
      </w:pPr>
      <w:r>
        <w:rPr>
          <w:b w:val="0"/>
          <w:bCs/>
        </w:rPr>
        <w:t>根据党的十九大报告大力推进生态文明建设要求，建设生态文明，是关系人民福祉、关乎民族未来的长远大计。面对资源约束趋紧、环境污染严重、生态系统退化的严峻形势，必须树立尊重自然、顺应自然、保护自然的生态文明理念，把生态文明建设放在突出地位，融入经济建设、政治建设、文化建设、社会建设各方面和全过程，努力建设美丽中国，实现中华民族永续发展。</w:t>
      </w:r>
    </w:p>
    <w:p>
      <w:pPr>
        <w:pageBreakBefore w:val="0"/>
        <w:widowControl w:val="0"/>
        <w:kinsoku/>
        <w:wordWrap/>
        <w:overflowPunct/>
        <w:topLinePunct w:val="0"/>
        <w:autoSpaceDE/>
        <w:autoSpaceDN/>
        <w:bidi w:val="0"/>
        <w:spacing w:line="520" w:lineRule="exact"/>
        <w:textAlignment w:val="auto"/>
        <w:rPr>
          <w:rFonts w:hint="eastAsia"/>
          <w:b w:val="0"/>
          <w:bCs/>
          <w:lang w:val="en-US" w:eastAsia="zh-CN"/>
        </w:rPr>
      </w:pPr>
      <w:r>
        <w:rPr>
          <w:rFonts w:hint="eastAsia"/>
          <w:b w:val="0"/>
          <w:bCs/>
          <w:lang w:val="en-US" w:eastAsia="zh-CN"/>
        </w:rPr>
        <w:t>为</w:t>
      </w:r>
      <w:r>
        <w:rPr>
          <w:rFonts w:hint="eastAsia"/>
          <w:b w:val="0"/>
          <w:bCs/>
        </w:rPr>
        <w:t>树立中国特色社会主义生态观，坚持以生态文明建设为目标，加快推进绿色发展进程</w:t>
      </w:r>
      <w:r>
        <w:rPr>
          <w:rFonts w:hint="eastAsia"/>
          <w:b w:val="0"/>
          <w:bCs/>
          <w:lang w:eastAsia="zh-CN"/>
        </w:rPr>
        <w:t>，</w:t>
      </w:r>
      <w:r>
        <w:rPr>
          <w:rFonts w:hint="eastAsia"/>
          <w:b w:val="0"/>
          <w:bCs/>
          <w:lang w:val="en-US" w:eastAsia="zh-CN"/>
        </w:rPr>
        <w:t>伊金霍洛旗委员会办公室、人民政府提出“要成为生态建设主战场”的要求。纳林陶亥镇人民政府对纳林陶亥镇</w:t>
      </w:r>
      <w:r>
        <w:rPr>
          <w:rFonts w:hint="eastAsia"/>
          <w:b w:val="0"/>
          <w:bCs/>
        </w:rPr>
        <w:t>海勒素壕村旅游专线沿线</w:t>
      </w:r>
      <w:r>
        <w:rPr>
          <w:rFonts w:hint="eastAsia"/>
          <w:b w:val="0"/>
          <w:bCs/>
          <w:lang w:val="en-US" w:eastAsia="zh-CN"/>
        </w:rPr>
        <w:t>进行绿化美化提升，积极改善矿区整体环境，提升人居环境水平</w:t>
      </w:r>
      <w:r>
        <w:rPr>
          <w:rFonts w:hint="eastAsia"/>
          <w:b w:val="0"/>
          <w:bCs/>
          <w:lang w:eastAsia="zh-CN"/>
        </w:rPr>
        <w:t>。</w:t>
      </w:r>
    </w:p>
    <w:p>
      <w:pPr>
        <w:pStyle w:val="6"/>
        <w:pageBreakBefore w:val="0"/>
        <w:widowControl w:val="0"/>
        <w:kinsoku/>
        <w:wordWrap/>
        <w:overflowPunct/>
        <w:topLinePunct w:val="0"/>
        <w:autoSpaceDE/>
        <w:autoSpaceDN/>
        <w:bidi w:val="0"/>
        <w:spacing w:line="520" w:lineRule="exact"/>
        <w:textAlignment w:val="auto"/>
        <w:rPr>
          <w:rFonts w:hint="eastAsia"/>
          <w:b w:val="0"/>
          <w:bCs/>
          <w:lang w:val="en-US" w:eastAsia="zh-CN"/>
        </w:rPr>
      </w:pPr>
      <w:r>
        <w:rPr>
          <w:rFonts w:hint="eastAsia"/>
          <w:b w:val="0"/>
          <w:bCs/>
          <w:lang w:val="en-US" w:eastAsia="zh-CN"/>
        </w:rPr>
        <w:t>（二）主要实施内容及实施情况</w:t>
      </w:r>
    </w:p>
    <w:p>
      <w:pPr>
        <w:pageBreakBefore w:val="0"/>
        <w:widowControl w:val="0"/>
        <w:kinsoku/>
        <w:wordWrap/>
        <w:overflowPunct/>
        <w:topLinePunct w:val="0"/>
        <w:autoSpaceDE/>
        <w:autoSpaceDN/>
        <w:bidi w:val="0"/>
        <w:spacing w:line="520" w:lineRule="exact"/>
        <w:textAlignment w:val="auto"/>
        <w:rPr>
          <w:b w:val="0"/>
          <w:bCs/>
        </w:rPr>
      </w:pPr>
      <w:r>
        <w:rPr>
          <w:rFonts w:hint="eastAsia"/>
          <w:b w:val="0"/>
          <w:bCs/>
          <w:lang w:val="en-US" w:eastAsia="zh-CN"/>
        </w:rPr>
        <w:t>该</w:t>
      </w:r>
      <w:r>
        <w:rPr>
          <w:b w:val="0"/>
          <w:bCs/>
        </w:rPr>
        <w:t>项目是</w:t>
      </w:r>
      <w:r>
        <w:rPr>
          <w:rFonts w:hint="eastAsia"/>
          <w:b w:val="0"/>
          <w:bCs/>
          <w:lang w:eastAsia="zh-CN"/>
        </w:rPr>
        <w:t>在</w:t>
      </w:r>
      <w:r>
        <w:rPr>
          <w:b w:val="0"/>
          <w:bCs/>
        </w:rPr>
        <w:t>纳林陶亥镇海勒素壕村旅游专线13至19公里道路两侧各15米宽绿地范围内进行绿化种植，总绿化面积约为205.56亩，主要种植樟子松15000株，栽植草花36000平方米。</w:t>
      </w:r>
    </w:p>
    <w:p>
      <w:pPr>
        <w:pageBreakBefore w:val="0"/>
        <w:widowControl w:val="0"/>
        <w:kinsoku/>
        <w:wordWrap/>
        <w:overflowPunct/>
        <w:topLinePunct w:val="0"/>
        <w:autoSpaceDE/>
        <w:autoSpaceDN/>
        <w:bidi w:val="0"/>
        <w:spacing w:line="520" w:lineRule="exact"/>
        <w:textAlignment w:val="auto"/>
        <w:rPr>
          <w:rFonts w:hint="default" w:eastAsia="仿宋_GB2312"/>
          <w:b w:val="0"/>
          <w:bCs/>
          <w:lang w:val="en-US" w:eastAsia="zh-CN"/>
        </w:rPr>
      </w:pPr>
      <w:r>
        <w:rPr>
          <w:rFonts w:hint="eastAsia"/>
          <w:b w:val="0"/>
          <w:bCs/>
          <w:lang w:val="en-US" w:eastAsia="zh-CN"/>
        </w:rPr>
        <w:t>该项目由</w:t>
      </w:r>
      <w:r>
        <w:rPr>
          <w:b w:val="0"/>
          <w:bCs/>
        </w:rPr>
        <w:t>纳林陶亥镇</w:t>
      </w:r>
      <w:r>
        <w:rPr>
          <w:rFonts w:hint="eastAsia"/>
          <w:b w:val="0"/>
          <w:bCs/>
          <w:lang w:val="en-US" w:eastAsia="zh-CN"/>
        </w:rPr>
        <w:t>人民政府负责实施，具体业务由镇城市管理办公室负责，项目可行性研究报告委托东创项目管理集团有限公司编制，招标控制价委托永明项目管理有限责任公司编制，招标委托内蒙古万龙建设工程招标代理有限公司负责，委托内蒙古合众工程监理有限责任公司负责该项目的质量监督，通过招投标确认由鄂尔多斯市鑫亿绿园绿化有限公司中标该项目，并负责项目的建设施工。</w:t>
      </w:r>
    </w:p>
    <w:p>
      <w:pPr>
        <w:pStyle w:val="4"/>
        <w:pageBreakBefore w:val="0"/>
        <w:widowControl w:val="0"/>
        <w:kinsoku/>
        <w:wordWrap/>
        <w:overflowPunct/>
        <w:topLinePunct w:val="0"/>
        <w:autoSpaceDE/>
        <w:autoSpaceDN/>
        <w:bidi w:val="0"/>
        <w:spacing w:line="520" w:lineRule="exact"/>
        <w:textAlignment w:val="auto"/>
        <w:rPr>
          <w:rFonts w:hint="eastAsia"/>
          <w:b w:val="0"/>
          <w:bCs/>
        </w:rPr>
      </w:pPr>
      <w:bookmarkStart w:id="2" w:name="_Toc28869"/>
      <w:r>
        <w:rPr>
          <w:rFonts w:hint="eastAsia"/>
          <w:b w:val="0"/>
          <w:bCs/>
          <w:lang w:eastAsia="zh-CN"/>
        </w:rPr>
        <w:t>二</w:t>
      </w:r>
      <w:r>
        <w:rPr>
          <w:rFonts w:hint="eastAsia"/>
          <w:b w:val="0"/>
          <w:bCs/>
        </w:rPr>
        <w:t>、综合评价分析情况及评价结论</w:t>
      </w:r>
      <w:bookmarkEnd w:id="2"/>
    </w:p>
    <w:p>
      <w:pPr>
        <w:pageBreakBefore w:val="0"/>
        <w:widowControl w:val="0"/>
        <w:kinsoku/>
        <w:wordWrap/>
        <w:overflowPunct/>
        <w:topLinePunct w:val="0"/>
        <w:autoSpaceDE/>
        <w:autoSpaceDN/>
        <w:bidi w:val="0"/>
        <w:spacing w:line="520" w:lineRule="exact"/>
        <w:textAlignment w:val="auto"/>
        <w:rPr>
          <w:rFonts w:hint="default"/>
          <w:b w:val="0"/>
          <w:bCs/>
          <w:lang w:val="en-US" w:eastAsia="zh-CN"/>
        </w:rPr>
      </w:pPr>
      <w:r>
        <w:rPr>
          <w:rFonts w:hint="eastAsia"/>
          <w:b w:val="0"/>
          <w:bCs/>
          <w:color w:val="auto"/>
          <w:highlight w:val="none"/>
          <w:lang w:val="en-US" w:eastAsia="zh-CN"/>
        </w:rPr>
        <w:t>评价认为该项目年度绩效目标基本实现，项目</w:t>
      </w:r>
      <w:r>
        <w:rPr>
          <w:rFonts w:hint="eastAsia"/>
          <w:b w:val="0"/>
          <w:bCs/>
          <w:lang w:val="en-US" w:eastAsia="zh-CN"/>
        </w:rPr>
        <w:t>立项依据充分符合伊金霍洛</w:t>
      </w:r>
      <w:r>
        <w:rPr>
          <w:rFonts w:hint="eastAsia" w:ascii="仿宋" w:hAnsi="仿宋" w:eastAsia="仿宋" w:cs="仿宋"/>
          <w:b w:val="0"/>
          <w:bCs/>
          <w:color w:val="000000"/>
          <w:kern w:val="0"/>
          <w:sz w:val="32"/>
          <w:szCs w:val="32"/>
          <w:lang w:bidi="ar"/>
        </w:rPr>
        <w:t>加快推进绿色发展进程</w:t>
      </w:r>
      <w:r>
        <w:rPr>
          <w:rFonts w:hint="eastAsia" w:ascii="仿宋" w:hAnsi="仿宋" w:eastAsia="仿宋" w:cs="仿宋"/>
          <w:b w:val="0"/>
          <w:bCs/>
          <w:color w:val="000000"/>
          <w:kern w:val="0"/>
          <w:sz w:val="32"/>
          <w:szCs w:val="32"/>
          <w:lang w:val="en-US" w:eastAsia="zh-CN" w:bidi="ar"/>
        </w:rPr>
        <w:t>总体规划，经过项目实施单位集体决策及主管部门批复立项程序合规，绩效目标设定合理与项目实施内容吻合，但绩效指标设置不合理，项目预算编制经过严格审核科学性较强，项目决策管理较好。</w:t>
      </w:r>
      <w:r>
        <w:rPr>
          <w:rFonts w:hint="eastAsia"/>
          <w:b w:val="0"/>
          <w:bCs/>
          <w:lang w:val="en-US" w:eastAsia="zh-CN"/>
        </w:rPr>
        <w:t>该</w:t>
      </w:r>
      <w:r>
        <w:rPr>
          <w:rFonts w:hint="eastAsia"/>
          <w:b w:val="0"/>
          <w:bCs/>
          <w:color w:val="auto"/>
          <w:highlight w:val="none"/>
          <w:lang w:val="en-US" w:eastAsia="zh-CN"/>
        </w:rPr>
        <w:t>项目预算资金到位、支出及时</w:t>
      </w:r>
      <w:r>
        <w:rPr>
          <w:rFonts w:hint="eastAsia"/>
          <w:b w:val="0"/>
          <w:bCs/>
          <w:lang w:val="en-US" w:eastAsia="zh-CN"/>
        </w:rPr>
        <w:t>，但资金管理不规范，管理制度健全但制度执行有效性一般，未按主管部门批复组织招标工作，未与造价咨询公司签订合同，验收不及时，进度款支付未按照要求执行，缺少中期绩效监控，该项目过程管理较差该项目产出部分缺少验收资料，产出数量、质量、时效无法准确衡量，产出成本存在超概情况，该项目产出情况较差。该项目的实施对生态文明建设，美化矿区环境均起到有效带动作用，项目效益发挥良好。</w:t>
      </w:r>
    </w:p>
    <w:p>
      <w:pPr>
        <w:pageBreakBefore w:val="0"/>
        <w:widowControl w:val="0"/>
        <w:kinsoku/>
        <w:wordWrap/>
        <w:overflowPunct/>
        <w:topLinePunct w:val="0"/>
        <w:autoSpaceDE/>
        <w:autoSpaceDN/>
        <w:bidi w:val="0"/>
        <w:spacing w:line="520" w:lineRule="exact"/>
        <w:textAlignment w:val="auto"/>
        <w:rPr>
          <w:rFonts w:hint="eastAsia"/>
          <w:b w:val="0"/>
          <w:bCs/>
        </w:rPr>
      </w:pPr>
      <w:r>
        <w:rPr>
          <w:rFonts w:hint="eastAsia"/>
          <w:b w:val="0"/>
          <w:bCs/>
          <w:lang w:val="en-US" w:eastAsia="zh-CN"/>
        </w:rPr>
        <w:t>但该项目还存在绩效指标设置不当、资金管理不规范、招标组织不合规、合同管理不到位、验收管理不及时、结算管理不严谨、绩效管理不全面、产出成本超概</w:t>
      </w:r>
      <w:r>
        <w:rPr>
          <w:rFonts w:hint="eastAsia"/>
          <w:b w:val="0"/>
          <w:bCs/>
          <w:color w:val="auto"/>
          <w:highlight w:val="none"/>
          <w:lang w:val="en-US" w:eastAsia="zh-CN"/>
        </w:rPr>
        <w:t>等问题。</w:t>
      </w:r>
      <w:r>
        <w:rPr>
          <w:rFonts w:hint="eastAsia"/>
          <w:b w:val="0"/>
          <w:bCs/>
          <w:color w:val="auto"/>
          <w:lang w:val="en-US" w:eastAsia="zh-CN"/>
        </w:rPr>
        <w:t>该项目综合评价得分70.1分，评定级别为“中”。</w:t>
      </w:r>
    </w:p>
    <w:p>
      <w:pPr>
        <w:pStyle w:val="7"/>
        <w:pageBreakBefore w:val="0"/>
        <w:widowControl w:val="0"/>
        <w:kinsoku/>
        <w:wordWrap/>
        <w:overflowPunct/>
        <w:topLinePunct w:val="0"/>
        <w:autoSpaceDE/>
        <w:autoSpaceDN/>
        <w:bidi w:val="0"/>
        <w:spacing w:line="520" w:lineRule="exact"/>
        <w:textAlignment w:val="auto"/>
        <w:rPr>
          <w:rFonts w:hint="eastAsia"/>
          <w:b w:val="0"/>
          <w:bCs/>
        </w:rPr>
      </w:pPr>
      <w:r>
        <w:rPr>
          <w:rFonts w:hint="eastAsia"/>
          <w:b w:val="0"/>
          <w:bCs/>
        </w:rPr>
        <w:t>绩效评价结论一览表</w:t>
      </w:r>
    </w:p>
    <w:tbl>
      <w:tblPr>
        <w:tblStyle w:val="14"/>
        <w:tblW w:w="8926" w:type="dxa"/>
        <w:jc w:val="center"/>
        <w:tblLayout w:type="fixed"/>
        <w:tblCellMar>
          <w:top w:w="0" w:type="dxa"/>
          <w:left w:w="0" w:type="dxa"/>
          <w:bottom w:w="0" w:type="dxa"/>
          <w:right w:w="0" w:type="dxa"/>
        </w:tblCellMar>
      </w:tblPr>
      <w:tblGrid>
        <w:gridCol w:w="3397"/>
        <w:gridCol w:w="2835"/>
        <w:gridCol w:w="2694"/>
      </w:tblGrid>
      <w:tr>
        <w:tblPrEx>
          <w:tblCellMar>
            <w:top w:w="0" w:type="dxa"/>
            <w:left w:w="0" w:type="dxa"/>
            <w:bottom w:w="0" w:type="dxa"/>
            <w:right w:w="0" w:type="dxa"/>
          </w:tblCellMar>
        </w:tblPrEx>
        <w:trPr>
          <w:trHeight w:val="454" w:hRule="atLeast"/>
          <w:tblHeader/>
          <w:jc w:val="center"/>
        </w:trPr>
        <w:tc>
          <w:tcPr>
            <w:tcW w:w="3397" w:type="dxa"/>
            <w:tcBorders>
              <w:top w:val="single" w:color="auto" w:sz="4" w:space="0"/>
              <w:left w:val="single" w:color="auto" w:sz="4" w:space="0"/>
              <w:bottom w:val="single" w:color="auto" w:sz="4" w:space="0"/>
              <w:right w:val="single" w:color="auto" w:sz="4" w:space="0"/>
            </w:tcBorders>
            <w:shd w:val="clear" w:color="auto" w:fill="D9D9D9"/>
            <w:tcMar>
              <w:top w:w="10" w:type="dxa"/>
              <w:left w:w="10" w:type="dxa"/>
              <w:right w:w="10" w:type="dxa"/>
            </w:tcMar>
            <w:vAlign w:val="center"/>
          </w:tcPr>
          <w:p>
            <w:pPr>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ascii="宋体" w:hAnsi="宋体" w:eastAsia="宋体" w:cs="仿宋_GB2312"/>
                <w:b w:val="0"/>
                <w:bCs/>
                <w:spacing w:val="6"/>
                <w:sz w:val="24"/>
                <w:szCs w:val="24"/>
              </w:rPr>
            </w:pPr>
            <w:r>
              <w:rPr>
                <w:rFonts w:hint="eastAsia" w:ascii="宋体" w:hAnsi="宋体" w:eastAsia="宋体" w:cs="仿宋_GB2312"/>
                <w:b w:val="0"/>
                <w:bCs/>
                <w:spacing w:val="6"/>
                <w:sz w:val="24"/>
                <w:szCs w:val="24"/>
              </w:rPr>
              <w:t>评价内容</w:t>
            </w:r>
          </w:p>
        </w:tc>
        <w:tc>
          <w:tcPr>
            <w:tcW w:w="2835" w:type="dxa"/>
            <w:tcBorders>
              <w:top w:val="single" w:color="auto" w:sz="4" w:space="0"/>
              <w:left w:val="nil"/>
              <w:bottom w:val="single" w:color="auto" w:sz="4" w:space="0"/>
              <w:right w:val="single" w:color="auto" w:sz="4" w:space="0"/>
            </w:tcBorders>
            <w:shd w:val="clear" w:color="auto" w:fill="D9D9D9"/>
            <w:tcMar>
              <w:top w:w="10" w:type="dxa"/>
              <w:left w:w="10" w:type="dxa"/>
              <w:right w:w="10" w:type="dxa"/>
            </w:tcMar>
            <w:vAlign w:val="center"/>
          </w:tcPr>
          <w:p>
            <w:pPr>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ascii="宋体" w:hAnsi="宋体" w:eastAsia="宋体" w:cs="仿宋_GB2312"/>
                <w:b w:val="0"/>
                <w:bCs/>
                <w:spacing w:val="6"/>
                <w:sz w:val="24"/>
                <w:szCs w:val="24"/>
              </w:rPr>
            </w:pPr>
            <w:r>
              <w:rPr>
                <w:rFonts w:hint="eastAsia" w:ascii="宋体" w:hAnsi="宋体" w:eastAsia="宋体" w:cs="仿宋_GB2312"/>
                <w:b w:val="0"/>
                <w:bCs/>
                <w:spacing w:val="6"/>
                <w:sz w:val="24"/>
                <w:szCs w:val="24"/>
              </w:rPr>
              <w:t>分值</w:t>
            </w:r>
          </w:p>
        </w:tc>
        <w:tc>
          <w:tcPr>
            <w:tcW w:w="2694" w:type="dxa"/>
            <w:tcBorders>
              <w:top w:val="single" w:color="auto" w:sz="4" w:space="0"/>
              <w:left w:val="nil"/>
              <w:bottom w:val="single" w:color="auto" w:sz="4" w:space="0"/>
              <w:right w:val="single" w:color="auto" w:sz="4" w:space="0"/>
            </w:tcBorders>
            <w:shd w:val="clear" w:color="auto" w:fill="D9D9D9"/>
            <w:tcMar>
              <w:top w:w="10" w:type="dxa"/>
              <w:left w:w="10" w:type="dxa"/>
              <w:right w:w="10" w:type="dxa"/>
            </w:tcMar>
            <w:vAlign w:val="center"/>
          </w:tcPr>
          <w:p>
            <w:pPr>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ascii="宋体" w:hAnsi="宋体" w:eastAsia="宋体" w:cs="仿宋_GB2312"/>
                <w:b w:val="0"/>
                <w:bCs/>
                <w:spacing w:val="6"/>
                <w:sz w:val="24"/>
                <w:szCs w:val="24"/>
              </w:rPr>
            </w:pPr>
            <w:r>
              <w:rPr>
                <w:rFonts w:hint="eastAsia" w:ascii="宋体" w:hAnsi="宋体" w:eastAsia="宋体" w:cs="仿宋_GB2312"/>
                <w:b w:val="0"/>
                <w:bCs/>
                <w:spacing w:val="6"/>
                <w:sz w:val="24"/>
                <w:szCs w:val="24"/>
              </w:rPr>
              <w:t>评价得分</w:t>
            </w:r>
          </w:p>
        </w:tc>
      </w:tr>
      <w:tr>
        <w:tblPrEx>
          <w:tblCellMar>
            <w:top w:w="0" w:type="dxa"/>
            <w:left w:w="0" w:type="dxa"/>
            <w:bottom w:w="0" w:type="dxa"/>
            <w:right w:w="0" w:type="dxa"/>
          </w:tblCellMar>
        </w:tblPrEx>
        <w:trPr>
          <w:trHeight w:val="454" w:hRule="atLeast"/>
          <w:jc w:val="center"/>
        </w:trPr>
        <w:tc>
          <w:tcPr>
            <w:tcW w:w="3397"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ascii="宋体" w:hAnsi="宋体" w:eastAsia="宋体" w:cs="仿宋_GB2312"/>
                <w:b w:val="0"/>
                <w:bCs/>
                <w:spacing w:val="6"/>
                <w:sz w:val="24"/>
                <w:szCs w:val="24"/>
              </w:rPr>
            </w:pPr>
            <w:r>
              <w:rPr>
                <w:rFonts w:hint="eastAsia" w:ascii="宋体" w:hAnsi="宋体" w:eastAsia="宋体" w:cs="仿宋_GB2312"/>
                <w:b w:val="0"/>
                <w:bCs/>
                <w:spacing w:val="6"/>
                <w:sz w:val="24"/>
                <w:szCs w:val="24"/>
              </w:rPr>
              <w:t>项目决策</w:t>
            </w:r>
          </w:p>
        </w:tc>
        <w:tc>
          <w:tcPr>
            <w:tcW w:w="283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default" w:ascii="宋体" w:hAnsi="宋体" w:eastAsia="宋体" w:cs="仿宋_GB2312"/>
                <w:b w:val="0"/>
                <w:bCs/>
                <w:spacing w:val="6"/>
                <w:sz w:val="24"/>
                <w:szCs w:val="24"/>
                <w:lang w:val="en-US" w:eastAsia="zh-CN"/>
              </w:rPr>
            </w:pPr>
            <w:r>
              <w:rPr>
                <w:rFonts w:hint="eastAsia" w:ascii="宋体" w:hAnsi="宋体" w:eastAsia="宋体" w:cs="仿宋_GB2312"/>
                <w:b w:val="0"/>
                <w:bCs/>
                <w:spacing w:val="6"/>
                <w:sz w:val="24"/>
                <w:szCs w:val="24"/>
                <w:lang w:val="en-US" w:eastAsia="zh-CN"/>
              </w:rPr>
              <w:t>14</w:t>
            </w:r>
          </w:p>
        </w:tc>
        <w:tc>
          <w:tcPr>
            <w:tcW w:w="269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default" w:ascii="宋体" w:hAnsi="宋体" w:eastAsia="宋体" w:cs="仿宋_GB2312"/>
                <w:b w:val="0"/>
                <w:bCs/>
                <w:spacing w:val="6"/>
                <w:sz w:val="24"/>
                <w:szCs w:val="24"/>
                <w:lang w:val="en-US" w:eastAsia="zh-CN"/>
              </w:rPr>
            </w:pPr>
            <w:r>
              <w:rPr>
                <w:rFonts w:hint="eastAsia" w:ascii="宋体" w:hAnsi="宋体" w:eastAsia="宋体" w:cs="仿宋_GB2312"/>
                <w:b w:val="0"/>
                <w:bCs/>
                <w:spacing w:val="6"/>
                <w:sz w:val="24"/>
                <w:szCs w:val="24"/>
                <w:lang w:val="en-US" w:eastAsia="zh-CN"/>
              </w:rPr>
              <w:t>13.6</w:t>
            </w:r>
          </w:p>
        </w:tc>
      </w:tr>
      <w:tr>
        <w:tblPrEx>
          <w:tblCellMar>
            <w:top w:w="0" w:type="dxa"/>
            <w:left w:w="0" w:type="dxa"/>
            <w:bottom w:w="0" w:type="dxa"/>
            <w:right w:w="0" w:type="dxa"/>
          </w:tblCellMar>
        </w:tblPrEx>
        <w:trPr>
          <w:trHeight w:val="454" w:hRule="atLeast"/>
          <w:jc w:val="center"/>
        </w:trPr>
        <w:tc>
          <w:tcPr>
            <w:tcW w:w="3397"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ascii="宋体" w:hAnsi="宋体" w:eastAsia="宋体" w:cs="仿宋_GB2312"/>
                <w:b w:val="0"/>
                <w:bCs/>
                <w:spacing w:val="6"/>
                <w:sz w:val="24"/>
                <w:szCs w:val="24"/>
              </w:rPr>
            </w:pPr>
            <w:r>
              <w:rPr>
                <w:rFonts w:hint="eastAsia" w:ascii="宋体" w:hAnsi="宋体" w:eastAsia="宋体" w:cs="仿宋_GB2312"/>
                <w:b w:val="0"/>
                <w:bCs/>
                <w:spacing w:val="6"/>
                <w:sz w:val="24"/>
                <w:szCs w:val="24"/>
              </w:rPr>
              <w:t>项目过程</w:t>
            </w:r>
          </w:p>
        </w:tc>
        <w:tc>
          <w:tcPr>
            <w:tcW w:w="283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default" w:ascii="宋体" w:hAnsi="宋体" w:eastAsia="宋体" w:cs="仿宋_GB2312"/>
                <w:b w:val="0"/>
                <w:bCs/>
                <w:spacing w:val="6"/>
                <w:sz w:val="24"/>
                <w:szCs w:val="24"/>
                <w:lang w:val="en-US" w:eastAsia="zh-CN"/>
              </w:rPr>
            </w:pPr>
            <w:r>
              <w:rPr>
                <w:rFonts w:hint="eastAsia" w:ascii="宋体" w:hAnsi="宋体" w:eastAsia="宋体" w:cs="仿宋_GB2312"/>
                <w:b w:val="0"/>
                <w:bCs/>
                <w:spacing w:val="6"/>
                <w:sz w:val="24"/>
                <w:szCs w:val="24"/>
                <w:lang w:val="en-US" w:eastAsia="zh-CN"/>
              </w:rPr>
              <w:t>26</w:t>
            </w:r>
          </w:p>
        </w:tc>
        <w:tc>
          <w:tcPr>
            <w:tcW w:w="269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default" w:ascii="宋体" w:hAnsi="宋体" w:eastAsia="宋体" w:cs="仿宋_GB2312"/>
                <w:b w:val="0"/>
                <w:bCs/>
                <w:spacing w:val="6"/>
                <w:sz w:val="24"/>
                <w:szCs w:val="24"/>
                <w:lang w:val="en-US" w:eastAsia="zh-CN"/>
              </w:rPr>
            </w:pPr>
            <w:r>
              <w:rPr>
                <w:rFonts w:hint="eastAsia" w:ascii="宋体" w:hAnsi="宋体" w:eastAsia="宋体" w:cs="仿宋_GB2312"/>
                <w:b w:val="0"/>
                <w:bCs/>
                <w:spacing w:val="6"/>
                <w:sz w:val="24"/>
                <w:szCs w:val="24"/>
                <w:lang w:val="en-US" w:eastAsia="zh-CN"/>
              </w:rPr>
              <w:t>13</w:t>
            </w:r>
          </w:p>
        </w:tc>
      </w:tr>
      <w:tr>
        <w:tblPrEx>
          <w:tblCellMar>
            <w:top w:w="0" w:type="dxa"/>
            <w:left w:w="0" w:type="dxa"/>
            <w:bottom w:w="0" w:type="dxa"/>
            <w:right w:w="0" w:type="dxa"/>
          </w:tblCellMar>
        </w:tblPrEx>
        <w:trPr>
          <w:trHeight w:val="454" w:hRule="atLeast"/>
          <w:jc w:val="center"/>
        </w:trPr>
        <w:tc>
          <w:tcPr>
            <w:tcW w:w="3397"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ascii="宋体" w:hAnsi="宋体" w:eastAsia="宋体" w:cs="仿宋_GB2312"/>
                <w:b w:val="0"/>
                <w:bCs/>
                <w:spacing w:val="6"/>
                <w:sz w:val="24"/>
                <w:szCs w:val="24"/>
              </w:rPr>
            </w:pPr>
            <w:r>
              <w:rPr>
                <w:rFonts w:hint="eastAsia" w:ascii="宋体" w:hAnsi="宋体" w:eastAsia="宋体" w:cs="仿宋_GB2312"/>
                <w:b w:val="0"/>
                <w:bCs/>
                <w:spacing w:val="6"/>
                <w:sz w:val="24"/>
                <w:szCs w:val="24"/>
              </w:rPr>
              <w:t>项目产出</w:t>
            </w:r>
          </w:p>
        </w:tc>
        <w:tc>
          <w:tcPr>
            <w:tcW w:w="283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default" w:ascii="宋体" w:hAnsi="宋体" w:eastAsia="宋体" w:cs="仿宋_GB2312"/>
                <w:b w:val="0"/>
                <w:bCs/>
                <w:spacing w:val="6"/>
                <w:sz w:val="24"/>
                <w:szCs w:val="24"/>
                <w:lang w:val="en-US" w:eastAsia="zh-CN"/>
              </w:rPr>
            </w:pPr>
            <w:r>
              <w:rPr>
                <w:rFonts w:hint="eastAsia" w:ascii="宋体" w:hAnsi="宋体" w:eastAsia="宋体" w:cs="仿宋_GB2312"/>
                <w:b w:val="0"/>
                <w:bCs/>
                <w:spacing w:val="6"/>
                <w:sz w:val="24"/>
                <w:szCs w:val="24"/>
                <w:lang w:val="en-US" w:eastAsia="zh-CN"/>
              </w:rPr>
              <w:t>20</w:t>
            </w:r>
          </w:p>
        </w:tc>
        <w:tc>
          <w:tcPr>
            <w:tcW w:w="269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default" w:ascii="宋体" w:hAnsi="宋体" w:eastAsia="宋体" w:cs="仿宋_GB2312"/>
                <w:b w:val="0"/>
                <w:bCs/>
                <w:spacing w:val="6"/>
                <w:sz w:val="24"/>
                <w:szCs w:val="24"/>
                <w:lang w:val="en-US" w:eastAsia="zh-CN"/>
              </w:rPr>
            </w:pPr>
            <w:r>
              <w:rPr>
                <w:rFonts w:hint="eastAsia" w:ascii="宋体" w:hAnsi="宋体" w:eastAsia="宋体" w:cs="仿宋_GB2312"/>
                <w:b w:val="0"/>
                <w:bCs/>
                <w:spacing w:val="6"/>
                <w:sz w:val="24"/>
                <w:szCs w:val="24"/>
                <w:lang w:val="en-US" w:eastAsia="zh-CN"/>
              </w:rPr>
              <w:t>10.5</w:t>
            </w:r>
          </w:p>
        </w:tc>
      </w:tr>
      <w:tr>
        <w:tblPrEx>
          <w:tblCellMar>
            <w:top w:w="0" w:type="dxa"/>
            <w:left w:w="0" w:type="dxa"/>
            <w:bottom w:w="0" w:type="dxa"/>
            <w:right w:w="0" w:type="dxa"/>
          </w:tblCellMar>
        </w:tblPrEx>
        <w:trPr>
          <w:trHeight w:val="454" w:hRule="atLeast"/>
          <w:jc w:val="center"/>
        </w:trPr>
        <w:tc>
          <w:tcPr>
            <w:tcW w:w="3397"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ascii="宋体" w:hAnsi="宋体" w:eastAsia="宋体" w:cs="仿宋_GB2312"/>
                <w:b w:val="0"/>
                <w:bCs/>
                <w:spacing w:val="6"/>
                <w:sz w:val="24"/>
                <w:szCs w:val="24"/>
              </w:rPr>
            </w:pPr>
            <w:r>
              <w:rPr>
                <w:rFonts w:hint="eastAsia" w:ascii="宋体" w:hAnsi="宋体" w:eastAsia="宋体" w:cs="仿宋_GB2312"/>
                <w:b w:val="0"/>
                <w:bCs/>
                <w:spacing w:val="6"/>
                <w:sz w:val="24"/>
                <w:szCs w:val="24"/>
              </w:rPr>
              <w:t>项目效益</w:t>
            </w:r>
          </w:p>
        </w:tc>
        <w:tc>
          <w:tcPr>
            <w:tcW w:w="283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default" w:ascii="宋体" w:hAnsi="宋体" w:eastAsia="宋体" w:cs="仿宋_GB2312"/>
                <w:b w:val="0"/>
                <w:bCs/>
                <w:spacing w:val="6"/>
                <w:sz w:val="24"/>
                <w:szCs w:val="24"/>
                <w:lang w:val="en-US" w:eastAsia="zh-CN"/>
              </w:rPr>
            </w:pPr>
            <w:r>
              <w:rPr>
                <w:rFonts w:hint="eastAsia" w:ascii="宋体" w:hAnsi="宋体" w:eastAsia="宋体" w:cs="仿宋_GB2312"/>
                <w:b w:val="0"/>
                <w:bCs/>
                <w:spacing w:val="6"/>
                <w:sz w:val="24"/>
                <w:szCs w:val="24"/>
                <w:lang w:val="en-US" w:eastAsia="zh-CN"/>
              </w:rPr>
              <w:t>40</w:t>
            </w:r>
          </w:p>
        </w:tc>
        <w:tc>
          <w:tcPr>
            <w:tcW w:w="269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default" w:ascii="宋体" w:hAnsi="宋体" w:eastAsia="宋体" w:cs="仿宋_GB2312"/>
                <w:b w:val="0"/>
                <w:bCs/>
                <w:spacing w:val="6"/>
                <w:sz w:val="24"/>
                <w:szCs w:val="24"/>
                <w:lang w:val="en-US" w:eastAsia="zh-CN"/>
              </w:rPr>
            </w:pPr>
            <w:r>
              <w:rPr>
                <w:rFonts w:hint="eastAsia" w:ascii="宋体" w:hAnsi="宋体" w:eastAsia="宋体" w:cs="仿宋_GB2312"/>
                <w:b w:val="0"/>
                <w:bCs/>
                <w:spacing w:val="6"/>
                <w:sz w:val="24"/>
                <w:szCs w:val="24"/>
                <w:lang w:val="en-US" w:eastAsia="zh-CN"/>
              </w:rPr>
              <w:t>33</w:t>
            </w:r>
          </w:p>
        </w:tc>
      </w:tr>
      <w:tr>
        <w:tblPrEx>
          <w:tblCellMar>
            <w:top w:w="0" w:type="dxa"/>
            <w:left w:w="0" w:type="dxa"/>
            <w:bottom w:w="0" w:type="dxa"/>
            <w:right w:w="0" w:type="dxa"/>
          </w:tblCellMar>
        </w:tblPrEx>
        <w:trPr>
          <w:trHeight w:val="454" w:hRule="atLeast"/>
          <w:jc w:val="center"/>
        </w:trPr>
        <w:tc>
          <w:tcPr>
            <w:tcW w:w="3397"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ascii="宋体" w:hAnsi="宋体" w:eastAsia="宋体" w:cs="仿宋_GB2312"/>
                <w:b w:val="0"/>
                <w:bCs/>
                <w:spacing w:val="6"/>
                <w:sz w:val="24"/>
                <w:szCs w:val="24"/>
              </w:rPr>
            </w:pPr>
            <w:r>
              <w:rPr>
                <w:rFonts w:hint="eastAsia" w:ascii="宋体" w:hAnsi="宋体" w:eastAsia="宋体" w:cs="仿宋_GB2312"/>
                <w:b w:val="0"/>
                <w:bCs/>
                <w:spacing w:val="6"/>
                <w:sz w:val="24"/>
                <w:szCs w:val="24"/>
              </w:rPr>
              <w:t>综合得分</w:t>
            </w:r>
          </w:p>
        </w:tc>
        <w:tc>
          <w:tcPr>
            <w:tcW w:w="283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ascii="宋体" w:hAnsi="宋体" w:eastAsia="宋体" w:cs="仿宋_GB2312"/>
                <w:b w:val="0"/>
                <w:bCs/>
                <w:spacing w:val="6"/>
                <w:sz w:val="24"/>
                <w:szCs w:val="24"/>
              </w:rPr>
            </w:pPr>
            <w:r>
              <w:rPr>
                <w:rFonts w:ascii="宋体" w:hAnsi="宋体" w:eastAsia="宋体" w:cs="仿宋_GB2312"/>
                <w:b w:val="0"/>
                <w:bCs/>
                <w:spacing w:val="6"/>
                <w:sz w:val="24"/>
                <w:szCs w:val="24"/>
              </w:rPr>
              <w:fldChar w:fldCharType="begin"/>
            </w:r>
            <w:r>
              <w:rPr>
                <w:rFonts w:ascii="宋体" w:hAnsi="宋体" w:eastAsia="宋体" w:cs="仿宋_GB2312"/>
                <w:b w:val="0"/>
                <w:bCs/>
                <w:spacing w:val="6"/>
                <w:sz w:val="24"/>
                <w:szCs w:val="24"/>
              </w:rPr>
              <w:instrText xml:space="preserve"> = sum(B2:B5) \* MERGEFORMAT </w:instrText>
            </w:r>
            <w:r>
              <w:rPr>
                <w:rFonts w:ascii="宋体" w:hAnsi="宋体" w:eastAsia="宋体" w:cs="仿宋_GB2312"/>
                <w:b w:val="0"/>
                <w:bCs/>
                <w:spacing w:val="6"/>
                <w:sz w:val="24"/>
                <w:szCs w:val="24"/>
              </w:rPr>
              <w:fldChar w:fldCharType="separate"/>
            </w:r>
            <w:r>
              <w:rPr>
                <w:rFonts w:ascii="宋体" w:hAnsi="宋体" w:eastAsia="宋体" w:cs="仿宋_GB2312"/>
                <w:b w:val="0"/>
                <w:bCs/>
                <w:spacing w:val="6"/>
                <w:sz w:val="24"/>
                <w:szCs w:val="24"/>
              </w:rPr>
              <w:t>100</w:t>
            </w:r>
            <w:r>
              <w:rPr>
                <w:rFonts w:ascii="宋体" w:hAnsi="宋体" w:eastAsia="宋体" w:cs="仿宋_GB2312"/>
                <w:b w:val="0"/>
                <w:bCs/>
                <w:spacing w:val="6"/>
                <w:sz w:val="24"/>
                <w:szCs w:val="24"/>
              </w:rPr>
              <w:fldChar w:fldCharType="end"/>
            </w:r>
          </w:p>
        </w:tc>
        <w:tc>
          <w:tcPr>
            <w:tcW w:w="269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ascii="宋体" w:hAnsi="宋体" w:eastAsia="宋体" w:cs="仿宋_GB2312"/>
                <w:b w:val="0"/>
                <w:bCs/>
                <w:spacing w:val="6"/>
                <w:sz w:val="24"/>
                <w:szCs w:val="24"/>
              </w:rPr>
            </w:pPr>
            <w:r>
              <w:rPr>
                <w:rFonts w:ascii="宋体" w:hAnsi="宋体" w:eastAsia="宋体" w:cs="仿宋_GB2312"/>
                <w:b w:val="0"/>
                <w:bCs/>
                <w:spacing w:val="6"/>
                <w:sz w:val="24"/>
                <w:szCs w:val="24"/>
              </w:rPr>
              <w:fldChar w:fldCharType="begin"/>
            </w:r>
            <w:r>
              <w:rPr>
                <w:rFonts w:ascii="宋体" w:hAnsi="宋体" w:eastAsia="宋体" w:cs="仿宋_GB2312"/>
                <w:b w:val="0"/>
                <w:bCs/>
                <w:spacing w:val="6"/>
                <w:sz w:val="24"/>
                <w:szCs w:val="24"/>
              </w:rPr>
              <w:instrText xml:space="preserve"> = sum(C2:C5) \* MERGEFORMAT </w:instrText>
            </w:r>
            <w:r>
              <w:rPr>
                <w:rFonts w:ascii="宋体" w:hAnsi="宋体" w:eastAsia="宋体" w:cs="仿宋_GB2312"/>
                <w:b w:val="0"/>
                <w:bCs/>
                <w:spacing w:val="6"/>
                <w:sz w:val="24"/>
                <w:szCs w:val="24"/>
              </w:rPr>
              <w:fldChar w:fldCharType="separate"/>
            </w:r>
            <w:r>
              <w:rPr>
                <w:rFonts w:ascii="宋体" w:hAnsi="宋体" w:eastAsia="宋体" w:cs="仿宋_GB2312"/>
                <w:b w:val="0"/>
                <w:bCs/>
                <w:spacing w:val="6"/>
                <w:sz w:val="24"/>
                <w:szCs w:val="24"/>
              </w:rPr>
              <w:t>70.1</w:t>
            </w:r>
            <w:r>
              <w:rPr>
                <w:rFonts w:ascii="宋体" w:hAnsi="宋体" w:eastAsia="宋体" w:cs="仿宋_GB2312"/>
                <w:b w:val="0"/>
                <w:bCs/>
                <w:spacing w:val="6"/>
                <w:sz w:val="24"/>
                <w:szCs w:val="24"/>
              </w:rPr>
              <w:fldChar w:fldCharType="end"/>
            </w:r>
          </w:p>
        </w:tc>
      </w:tr>
      <w:tr>
        <w:tblPrEx>
          <w:tblCellMar>
            <w:top w:w="0" w:type="dxa"/>
            <w:left w:w="0" w:type="dxa"/>
            <w:bottom w:w="0" w:type="dxa"/>
            <w:right w:w="0" w:type="dxa"/>
          </w:tblCellMar>
        </w:tblPrEx>
        <w:trPr>
          <w:trHeight w:val="454" w:hRule="atLeast"/>
          <w:jc w:val="center"/>
        </w:trPr>
        <w:tc>
          <w:tcPr>
            <w:tcW w:w="3397"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ascii="宋体" w:hAnsi="宋体" w:eastAsia="宋体" w:cs="仿宋_GB2312"/>
                <w:b w:val="0"/>
                <w:bCs/>
                <w:spacing w:val="6"/>
                <w:sz w:val="24"/>
                <w:szCs w:val="24"/>
              </w:rPr>
            </w:pPr>
            <w:r>
              <w:rPr>
                <w:rFonts w:hint="eastAsia" w:ascii="宋体" w:hAnsi="宋体" w:eastAsia="宋体" w:cs="仿宋_GB2312"/>
                <w:b w:val="0"/>
                <w:bCs/>
                <w:spacing w:val="6"/>
                <w:sz w:val="24"/>
                <w:szCs w:val="24"/>
              </w:rPr>
              <w:t>绩效评定级别</w:t>
            </w:r>
          </w:p>
        </w:tc>
        <w:tc>
          <w:tcPr>
            <w:tcW w:w="5529" w:type="dxa"/>
            <w:gridSpan w:val="2"/>
            <w:tcBorders>
              <w:top w:val="single" w:color="auto" w:sz="4" w:space="0"/>
              <w:left w:val="nil"/>
              <w:bottom w:val="single" w:color="auto" w:sz="4" w:space="0"/>
              <w:right w:val="single" w:color="000000" w:sz="4" w:space="0"/>
            </w:tcBorders>
            <w:shd w:val="clear" w:color="auto" w:fill="auto"/>
            <w:tcMar>
              <w:top w:w="10" w:type="dxa"/>
              <w:left w:w="10" w:type="dxa"/>
              <w:right w:w="10" w:type="dxa"/>
            </w:tcMar>
            <w:vAlign w:val="center"/>
          </w:tcPr>
          <w:p>
            <w:pPr>
              <w:pageBreakBefore w:val="0"/>
              <w:widowControl w:val="0"/>
              <w:kinsoku/>
              <w:wordWrap/>
              <w:overflowPunct/>
              <w:topLinePunct w:val="0"/>
              <w:autoSpaceDE/>
              <w:autoSpaceDN/>
              <w:bidi w:val="0"/>
              <w:adjustRightInd w:val="0"/>
              <w:snapToGrid w:val="0"/>
              <w:spacing w:line="520" w:lineRule="exact"/>
              <w:ind w:left="0" w:leftChars="0" w:firstLine="0" w:firstLineChars="0"/>
              <w:jc w:val="center"/>
              <w:textAlignment w:val="auto"/>
              <w:rPr>
                <w:rFonts w:hint="default" w:ascii="宋体" w:hAnsi="宋体" w:eastAsia="宋体" w:cs="仿宋_GB2312"/>
                <w:b w:val="0"/>
                <w:bCs/>
                <w:spacing w:val="6"/>
                <w:sz w:val="24"/>
                <w:szCs w:val="24"/>
                <w:lang w:val="en-US" w:eastAsia="zh-CN"/>
              </w:rPr>
            </w:pPr>
            <w:r>
              <w:rPr>
                <w:rFonts w:hint="eastAsia" w:ascii="宋体" w:hAnsi="宋体" w:eastAsia="宋体" w:cs="仿宋_GB2312"/>
                <w:b w:val="0"/>
                <w:bCs/>
                <w:spacing w:val="6"/>
                <w:sz w:val="24"/>
                <w:szCs w:val="24"/>
                <w:lang w:val="en-US" w:eastAsia="zh-CN"/>
              </w:rPr>
              <w:t>中</w:t>
            </w:r>
          </w:p>
        </w:tc>
      </w:tr>
      <w:tr>
        <w:tblPrEx>
          <w:tblCellMar>
            <w:top w:w="0" w:type="dxa"/>
            <w:left w:w="0" w:type="dxa"/>
            <w:bottom w:w="0" w:type="dxa"/>
            <w:right w:w="0" w:type="dxa"/>
          </w:tblCellMar>
        </w:tblPrEx>
        <w:trPr>
          <w:trHeight w:val="467" w:hRule="atLeast"/>
          <w:jc w:val="center"/>
        </w:trPr>
        <w:tc>
          <w:tcPr>
            <w:tcW w:w="8926"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ageBreakBefore w:val="0"/>
              <w:widowControl w:val="0"/>
              <w:kinsoku/>
              <w:wordWrap/>
              <w:overflowPunct/>
              <w:topLinePunct w:val="0"/>
              <w:autoSpaceDE/>
              <w:autoSpaceDN/>
              <w:bidi w:val="0"/>
              <w:adjustRightInd w:val="0"/>
              <w:snapToGrid w:val="0"/>
              <w:spacing w:line="520" w:lineRule="exact"/>
              <w:ind w:firstLine="504"/>
              <w:jc w:val="left"/>
              <w:textAlignment w:val="auto"/>
              <w:rPr>
                <w:rFonts w:ascii="宋体" w:hAnsi="宋体" w:eastAsia="宋体" w:cs="仿宋_GB2312"/>
                <w:b w:val="0"/>
                <w:bCs/>
                <w:spacing w:val="6"/>
                <w:sz w:val="24"/>
                <w:szCs w:val="24"/>
              </w:rPr>
            </w:pPr>
            <w:r>
              <w:rPr>
                <w:rFonts w:hint="eastAsia" w:ascii="宋体" w:hAnsi="宋体" w:eastAsia="宋体" w:cs="仿宋_GB2312"/>
                <w:b w:val="0"/>
                <w:bCs/>
                <w:spacing w:val="6"/>
                <w:sz w:val="24"/>
                <w:szCs w:val="24"/>
              </w:rPr>
              <w:t>绩效评定级别：优（</w:t>
            </w:r>
            <w:r>
              <w:rPr>
                <w:rFonts w:ascii="宋体" w:hAnsi="宋体" w:eastAsia="宋体" w:cs="仿宋_GB2312"/>
                <w:b w:val="0"/>
                <w:bCs/>
                <w:spacing w:val="6"/>
                <w:sz w:val="24"/>
                <w:szCs w:val="24"/>
              </w:rPr>
              <w:t>90分（含）—100分）、良（80分（含）—90分）、中（60分（含）—80分）、差（60分（不含）以下）</w:t>
            </w:r>
          </w:p>
        </w:tc>
      </w:tr>
      <w:tr>
        <w:tblPrEx>
          <w:tblCellMar>
            <w:top w:w="0" w:type="dxa"/>
            <w:left w:w="0" w:type="dxa"/>
            <w:bottom w:w="0" w:type="dxa"/>
            <w:right w:w="0" w:type="dxa"/>
          </w:tblCellMar>
        </w:tblPrEx>
        <w:trPr>
          <w:trHeight w:val="612" w:hRule="atLeast"/>
          <w:jc w:val="center"/>
        </w:trPr>
        <w:tc>
          <w:tcPr>
            <w:tcW w:w="8926" w:type="dxa"/>
            <w:gridSpan w:val="3"/>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ageBreakBefore w:val="0"/>
              <w:widowControl w:val="0"/>
              <w:kinsoku/>
              <w:wordWrap/>
              <w:overflowPunct/>
              <w:topLinePunct w:val="0"/>
              <w:autoSpaceDE/>
              <w:autoSpaceDN/>
              <w:bidi w:val="0"/>
              <w:spacing w:line="520" w:lineRule="exact"/>
              <w:ind w:firstLine="440"/>
              <w:jc w:val="center"/>
              <w:textAlignment w:val="auto"/>
              <w:rPr>
                <w:rFonts w:ascii="等线" w:hAnsi="等线" w:eastAsia="等线" w:cs="等线"/>
                <w:b w:val="0"/>
                <w:bCs/>
                <w:sz w:val="24"/>
                <w:szCs w:val="24"/>
              </w:rPr>
            </w:pPr>
          </w:p>
        </w:tc>
      </w:tr>
    </w:tbl>
    <w:p>
      <w:pPr>
        <w:pStyle w:val="4"/>
        <w:pageBreakBefore w:val="0"/>
        <w:widowControl w:val="0"/>
        <w:kinsoku/>
        <w:wordWrap/>
        <w:overflowPunct/>
        <w:topLinePunct w:val="0"/>
        <w:autoSpaceDE/>
        <w:autoSpaceDN/>
        <w:bidi w:val="0"/>
        <w:spacing w:line="520" w:lineRule="exact"/>
        <w:textAlignment w:val="auto"/>
        <w:rPr>
          <w:rFonts w:hint="eastAsia"/>
          <w:b w:val="0"/>
          <w:bCs/>
        </w:rPr>
      </w:pPr>
      <w:bookmarkStart w:id="3" w:name="_Toc14459"/>
      <w:r>
        <w:rPr>
          <w:rFonts w:hint="eastAsia"/>
          <w:b w:val="0"/>
          <w:bCs/>
          <w:lang w:eastAsia="zh-CN"/>
        </w:rPr>
        <w:t>三</w:t>
      </w:r>
      <w:r>
        <w:rPr>
          <w:rFonts w:hint="eastAsia"/>
          <w:b w:val="0"/>
          <w:bCs/>
        </w:rPr>
        <w:t>、主要经验及做法、存在的问题及原因分析</w:t>
      </w:r>
      <w:bookmarkEnd w:id="3"/>
    </w:p>
    <w:p>
      <w:pPr>
        <w:pStyle w:val="5"/>
        <w:pageBreakBefore w:val="0"/>
        <w:widowControl w:val="0"/>
        <w:kinsoku/>
        <w:wordWrap/>
        <w:overflowPunct/>
        <w:topLinePunct w:val="0"/>
        <w:autoSpaceDE/>
        <w:autoSpaceDN/>
        <w:bidi w:val="0"/>
        <w:spacing w:line="520" w:lineRule="exact"/>
        <w:textAlignment w:val="auto"/>
        <w:rPr>
          <w:rFonts w:hint="eastAsia"/>
          <w:b w:val="0"/>
          <w:bCs/>
          <w:lang w:val="en-US" w:eastAsia="zh-CN"/>
        </w:rPr>
      </w:pPr>
      <w:bookmarkStart w:id="4" w:name="_Toc19188"/>
      <w:r>
        <w:rPr>
          <w:rFonts w:hint="eastAsia"/>
          <w:b w:val="0"/>
          <w:bCs/>
          <w:lang w:eastAsia="zh-CN"/>
        </w:rPr>
        <w:t>（</w:t>
      </w:r>
      <w:r>
        <w:rPr>
          <w:rFonts w:hint="eastAsia"/>
          <w:b w:val="0"/>
          <w:bCs/>
          <w:lang w:val="en-US" w:eastAsia="zh-CN"/>
        </w:rPr>
        <w:t>一</w:t>
      </w:r>
      <w:r>
        <w:rPr>
          <w:rFonts w:hint="eastAsia"/>
          <w:b w:val="0"/>
          <w:bCs/>
          <w:lang w:eastAsia="zh-CN"/>
        </w:rPr>
        <w:t>）</w:t>
      </w:r>
      <w:r>
        <w:rPr>
          <w:rFonts w:hint="eastAsia"/>
          <w:b w:val="0"/>
          <w:bCs/>
          <w:lang w:val="en-US" w:eastAsia="zh-CN"/>
        </w:rPr>
        <w:t>主要经验做法</w:t>
      </w:r>
      <w:bookmarkEnd w:id="4"/>
    </w:p>
    <w:p>
      <w:pPr>
        <w:pageBreakBefore w:val="0"/>
        <w:widowControl w:val="0"/>
        <w:kinsoku/>
        <w:wordWrap/>
        <w:overflowPunct/>
        <w:topLinePunct w:val="0"/>
        <w:autoSpaceDE/>
        <w:autoSpaceDN/>
        <w:bidi w:val="0"/>
        <w:spacing w:line="520" w:lineRule="exact"/>
        <w:textAlignment w:val="auto"/>
        <w:rPr>
          <w:rFonts w:hint="default"/>
          <w:b w:val="0"/>
          <w:bCs/>
          <w:lang w:val="en-US" w:eastAsia="zh-CN"/>
        </w:rPr>
      </w:pPr>
      <w:r>
        <w:rPr>
          <w:rFonts w:hint="eastAsia"/>
          <w:b w:val="0"/>
          <w:bCs/>
          <w:lang w:val="en-US" w:eastAsia="zh-CN"/>
        </w:rPr>
        <w:t>通过对项目全部资料的梳理分析及实地调研走访，该项目比较好的做法是重视项目前期工作可研、控制价、财政评审等前期工作均严格按程序完成，此做法值得肯定。</w:t>
      </w:r>
    </w:p>
    <w:p>
      <w:pPr>
        <w:pStyle w:val="5"/>
        <w:pageBreakBefore w:val="0"/>
        <w:widowControl w:val="0"/>
        <w:kinsoku/>
        <w:wordWrap/>
        <w:overflowPunct/>
        <w:topLinePunct w:val="0"/>
        <w:autoSpaceDE/>
        <w:autoSpaceDN/>
        <w:bidi w:val="0"/>
        <w:spacing w:line="520" w:lineRule="exact"/>
        <w:textAlignment w:val="auto"/>
        <w:rPr>
          <w:rFonts w:hint="default"/>
          <w:b w:val="0"/>
          <w:bCs/>
          <w:lang w:val="en-US" w:eastAsia="zh-CN"/>
        </w:rPr>
      </w:pPr>
      <w:bookmarkStart w:id="5" w:name="_Toc18827"/>
      <w:r>
        <w:rPr>
          <w:rFonts w:hint="eastAsia"/>
          <w:b w:val="0"/>
          <w:bCs/>
          <w:lang w:val="en-US" w:eastAsia="zh-CN"/>
        </w:rPr>
        <w:t>（二）存在的问题及建议</w:t>
      </w:r>
      <w:bookmarkEnd w:id="5"/>
    </w:p>
    <w:p>
      <w:pPr>
        <w:pStyle w:val="6"/>
        <w:pageBreakBefore w:val="0"/>
        <w:widowControl w:val="0"/>
        <w:kinsoku/>
        <w:wordWrap/>
        <w:overflowPunct/>
        <w:topLinePunct w:val="0"/>
        <w:autoSpaceDE/>
        <w:autoSpaceDN/>
        <w:bidi w:val="0"/>
        <w:spacing w:line="520" w:lineRule="exact"/>
        <w:textAlignment w:val="auto"/>
        <w:rPr>
          <w:rFonts w:hint="default"/>
          <w:b w:val="0"/>
          <w:bCs/>
          <w:lang w:val="en-US" w:eastAsia="zh-CN"/>
        </w:rPr>
      </w:pPr>
      <w:r>
        <w:rPr>
          <w:rFonts w:hint="eastAsia"/>
          <w:b w:val="0"/>
          <w:bCs/>
          <w:lang w:val="en-US" w:eastAsia="zh-CN"/>
        </w:rPr>
        <w:t>1.绩效管理不完善</w:t>
      </w:r>
    </w:p>
    <w:p>
      <w:pPr>
        <w:pageBreakBefore w:val="0"/>
        <w:widowControl w:val="0"/>
        <w:kinsoku/>
        <w:wordWrap/>
        <w:overflowPunct/>
        <w:topLinePunct w:val="0"/>
        <w:autoSpaceDE/>
        <w:autoSpaceDN/>
        <w:bidi w:val="0"/>
        <w:spacing w:line="520" w:lineRule="exact"/>
        <w:textAlignment w:val="auto"/>
        <w:rPr>
          <w:rFonts w:hint="eastAsia"/>
          <w:b w:val="0"/>
          <w:bCs/>
          <w:lang w:val="en-US" w:eastAsia="zh-CN"/>
        </w:rPr>
      </w:pPr>
      <w:r>
        <w:rPr>
          <w:rFonts w:hint="eastAsia"/>
          <w:b w:val="0"/>
          <w:bCs/>
          <w:lang w:val="en-US" w:eastAsia="zh-CN"/>
        </w:rPr>
        <w:t>该项目评价过程中发现仅有项目支出绩效目标申报表、绩效自评表、绩效自评报告，缺少项目绩效目标运行监控程序且绩效目标不合理，如时效指标仅设置指标值3年，未对项目实施重点节点进行时效设置，不符合财政预算绩效全过程管理要求。</w:t>
      </w:r>
    </w:p>
    <w:p>
      <w:pPr>
        <w:pStyle w:val="2"/>
        <w:pageBreakBefore w:val="0"/>
        <w:widowControl w:val="0"/>
        <w:kinsoku/>
        <w:wordWrap/>
        <w:overflowPunct/>
        <w:topLinePunct w:val="0"/>
        <w:autoSpaceDE/>
        <w:autoSpaceDN/>
        <w:bidi w:val="0"/>
        <w:spacing w:line="520" w:lineRule="exact"/>
        <w:textAlignment w:val="auto"/>
        <w:rPr>
          <w:rFonts w:hint="default"/>
          <w:b w:val="0"/>
          <w:bCs/>
          <w:lang w:val="en-US" w:eastAsia="zh-CN"/>
        </w:rPr>
      </w:pPr>
      <w:r>
        <w:rPr>
          <w:rFonts w:hint="eastAsia"/>
          <w:b w:val="0"/>
          <w:bCs/>
          <w:color w:val="auto"/>
          <w:highlight w:val="none"/>
          <w:lang w:val="en-US" w:eastAsia="zh-CN"/>
        </w:rPr>
        <w:t>建议项目加强财政预算绩效管理意识，普及绩效管理知识，建立健全绩效管理制度。</w:t>
      </w:r>
    </w:p>
    <w:p>
      <w:pPr>
        <w:pStyle w:val="6"/>
        <w:pageBreakBefore w:val="0"/>
        <w:widowControl w:val="0"/>
        <w:kinsoku/>
        <w:wordWrap/>
        <w:overflowPunct/>
        <w:topLinePunct w:val="0"/>
        <w:autoSpaceDE/>
        <w:autoSpaceDN/>
        <w:bidi w:val="0"/>
        <w:spacing w:line="520" w:lineRule="exact"/>
        <w:textAlignment w:val="auto"/>
        <w:rPr>
          <w:rFonts w:hint="default"/>
          <w:b w:val="0"/>
          <w:bCs/>
          <w:lang w:val="en-US" w:eastAsia="zh-CN"/>
        </w:rPr>
      </w:pPr>
      <w:r>
        <w:rPr>
          <w:rFonts w:hint="eastAsia"/>
          <w:b w:val="0"/>
          <w:bCs/>
          <w:lang w:val="en-US" w:eastAsia="zh-CN"/>
        </w:rPr>
        <w:t>2.资金管理不规范</w:t>
      </w:r>
    </w:p>
    <w:p>
      <w:pPr>
        <w:pageBreakBefore w:val="0"/>
        <w:widowControl w:val="0"/>
        <w:kinsoku/>
        <w:wordWrap/>
        <w:overflowPunct/>
        <w:topLinePunct w:val="0"/>
        <w:autoSpaceDE/>
        <w:autoSpaceDN/>
        <w:bidi w:val="0"/>
        <w:spacing w:line="520" w:lineRule="exact"/>
        <w:textAlignment w:val="auto"/>
        <w:rPr>
          <w:rFonts w:hint="eastAsia"/>
          <w:b w:val="0"/>
          <w:bCs/>
          <w:lang w:val="en-US" w:eastAsia="zh-CN"/>
        </w:rPr>
      </w:pPr>
      <w:r>
        <w:rPr>
          <w:rFonts w:hint="eastAsia"/>
          <w:b w:val="0"/>
          <w:bCs/>
          <w:lang w:val="en-US" w:eastAsia="zh-CN"/>
        </w:rPr>
        <w:t>该项目实施过程中存在资金管理随意，在施工进度未完成的情况下向施工单位借款99.3万元</w:t>
      </w:r>
      <w:r>
        <w:rPr>
          <w:rFonts w:hint="eastAsia"/>
          <w:b w:val="0"/>
          <w:bCs/>
          <w:color w:val="auto"/>
          <w:lang w:val="en-US" w:eastAsia="zh-CN"/>
        </w:rPr>
        <w:t>。建设工程竣工结算工作未完成，监理费用不具备计算的情况下已经支付监理费用5.2968万元的情况，资金管理不规范，</w:t>
      </w:r>
      <w:r>
        <w:rPr>
          <w:rFonts w:hint="eastAsia"/>
          <w:b w:val="0"/>
          <w:bCs/>
          <w:lang w:val="en-US" w:eastAsia="zh-CN"/>
        </w:rPr>
        <w:t>存在财政资金使用风险。</w:t>
      </w:r>
    </w:p>
    <w:p>
      <w:pPr>
        <w:pStyle w:val="2"/>
        <w:pageBreakBefore w:val="0"/>
        <w:widowControl w:val="0"/>
        <w:kinsoku/>
        <w:wordWrap/>
        <w:overflowPunct/>
        <w:topLinePunct w:val="0"/>
        <w:autoSpaceDE/>
        <w:autoSpaceDN/>
        <w:bidi w:val="0"/>
        <w:spacing w:line="520" w:lineRule="exact"/>
        <w:textAlignment w:val="auto"/>
        <w:rPr>
          <w:rFonts w:hint="default"/>
          <w:b w:val="0"/>
          <w:bCs/>
          <w:lang w:val="en-US" w:eastAsia="zh-CN"/>
        </w:rPr>
      </w:pPr>
      <w:r>
        <w:rPr>
          <w:rFonts w:hint="eastAsia"/>
          <w:b w:val="0"/>
          <w:bCs/>
          <w:lang w:val="en-US" w:eastAsia="zh-CN"/>
        </w:rPr>
        <w:t>建议项目单位加强财政预算资金使用安全管理意识，特别是按照合同约定进行资金支付，避免超付资金的情况出现。</w:t>
      </w:r>
    </w:p>
    <w:p>
      <w:pPr>
        <w:pStyle w:val="6"/>
        <w:pageBreakBefore w:val="0"/>
        <w:widowControl w:val="0"/>
        <w:kinsoku/>
        <w:wordWrap/>
        <w:overflowPunct/>
        <w:topLinePunct w:val="0"/>
        <w:autoSpaceDE/>
        <w:autoSpaceDN/>
        <w:bidi w:val="0"/>
        <w:spacing w:line="520" w:lineRule="exact"/>
        <w:textAlignment w:val="auto"/>
        <w:rPr>
          <w:rFonts w:hint="default"/>
          <w:b w:val="0"/>
          <w:bCs/>
          <w:lang w:val="en-US" w:eastAsia="zh-CN"/>
        </w:rPr>
      </w:pPr>
      <w:r>
        <w:rPr>
          <w:rFonts w:hint="eastAsia"/>
          <w:b w:val="0"/>
          <w:bCs/>
          <w:lang w:val="en-US" w:eastAsia="zh-CN"/>
        </w:rPr>
        <w:t>3.制度执行不到位</w:t>
      </w:r>
    </w:p>
    <w:p>
      <w:pPr>
        <w:pageBreakBefore w:val="0"/>
        <w:widowControl w:val="0"/>
        <w:kinsoku/>
        <w:wordWrap/>
        <w:overflowPunct/>
        <w:topLinePunct w:val="0"/>
        <w:autoSpaceDE/>
        <w:autoSpaceDN/>
        <w:bidi w:val="0"/>
        <w:spacing w:line="520" w:lineRule="exact"/>
        <w:textAlignment w:val="auto"/>
        <w:rPr>
          <w:rFonts w:hint="eastAsia"/>
          <w:b w:val="0"/>
          <w:bCs/>
          <w:lang w:val="en-US" w:eastAsia="zh-CN"/>
        </w:rPr>
      </w:pPr>
      <w:r>
        <w:rPr>
          <w:rFonts w:hint="eastAsia"/>
          <w:b w:val="0"/>
          <w:bCs/>
          <w:lang w:val="en-US" w:eastAsia="zh-CN"/>
        </w:rPr>
        <w:t>该项目存在管理制度执行不到位的问题，在工程进度款支付时未按照《</w:t>
      </w:r>
      <w:r>
        <w:rPr>
          <w:b w:val="0"/>
          <w:bCs/>
        </w:rPr>
        <w:t>纳林陶亥镇</w:t>
      </w:r>
      <w:r>
        <w:rPr>
          <w:rFonts w:hint="eastAsia"/>
          <w:b w:val="0"/>
          <w:bCs/>
          <w:lang w:val="en-US" w:eastAsia="zh-CN"/>
        </w:rPr>
        <w:t>人民政府内控管理制度》中第四章工程施工与验收第十二条规定：“</w:t>
      </w:r>
      <w:r>
        <w:rPr>
          <w:b w:val="0"/>
          <w:bCs/>
        </w:rPr>
        <w:t>基建工程施工中工程付款必须先由承包单位根据承包合同和工程实际进度提出书面付款申请，报监理、审计审核，经相关人员签字确认后，报送党委会审批后由综合办（财务）付款</w:t>
      </w:r>
      <w:r>
        <w:rPr>
          <w:rFonts w:hint="eastAsia"/>
          <w:b w:val="0"/>
          <w:bCs/>
          <w:lang w:val="en-US" w:eastAsia="zh-CN"/>
        </w:rPr>
        <w:t>”执行。</w:t>
      </w:r>
    </w:p>
    <w:p>
      <w:pPr>
        <w:pageBreakBefore w:val="0"/>
        <w:widowControl w:val="0"/>
        <w:kinsoku/>
        <w:wordWrap/>
        <w:overflowPunct/>
        <w:topLinePunct w:val="0"/>
        <w:autoSpaceDE/>
        <w:autoSpaceDN/>
        <w:bidi w:val="0"/>
        <w:spacing w:line="520" w:lineRule="exact"/>
        <w:textAlignment w:val="auto"/>
        <w:rPr>
          <w:rFonts w:hint="default"/>
          <w:b w:val="0"/>
          <w:bCs/>
          <w:lang w:val="en-US" w:eastAsia="zh-CN"/>
        </w:rPr>
      </w:pPr>
      <w:r>
        <w:rPr>
          <w:rFonts w:hint="eastAsia"/>
          <w:b w:val="0"/>
          <w:bCs/>
          <w:lang w:val="en-US" w:eastAsia="zh-CN"/>
        </w:rPr>
        <w:t>建议项目单位对已有的内控管理制度加大宣传学习力度，使各部门对内控管理制度有足够的认识和了解，确保在日常工作中能够切实按照制度要求执行。</w:t>
      </w:r>
    </w:p>
    <w:p>
      <w:pPr>
        <w:pStyle w:val="6"/>
        <w:pageBreakBefore w:val="0"/>
        <w:widowControl w:val="0"/>
        <w:kinsoku/>
        <w:wordWrap/>
        <w:overflowPunct/>
        <w:topLinePunct w:val="0"/>
        <w:autoSpaceDE/>
        <w:autoSpaceDN/>
        <w:bidi w:val="0"/>
        <w:spacing w:line="520" w:lineRule="exact"/>
        <w:textAlignment w:val="auto"/>
        <w:rPr>
          <w:rFonts w:hint="default"/>
          <w:b w:val="0"/>
          <w:bCs/>
          <w:lang w:val="en-US" w:eastAsia="zh-CN"/>
        </w:rPr>
      </w:pPr>
      <w:r>
        <w:rPr>
          <w:rFonts w:hint="eastAsia"/>
          <w:b w:val="0"/>
          <w:bCs/>
          <w:lang w:val="en-US" w:eastAsia="zh-CN"/>
        </w:rPr>
        <w:t>4.项目过程管理不严谨</w:t>
      </w:r>
    </w:p>
    <w:p>
      <w:pPr>
        <w:pageBreakBefore w:val="0"/>
        <w:widowControl w:val="0"/>
        <w:kinsoku/>
        <w:wordWrap/>
        <w:overflowPunct/>
        <w:topLinePunct w:val="0"/>
        <w:autoSpaceDE/>
        <w:autoSpaceDN/>
        <w:bidi w:val="0"/>
        <w:spacing w:line="520" w:lineRule="exact"/>
        <w:textAlignment w:val="auto"/>
        <w:rPr>
          <w:rFonts w:hint="eastAsia"/>
          <w:b w:val="0"/>
          <w:bCs/>
          <w:lang w:val="en-US" w:eastAsia="zh-CN"/>
        </w:rPr>
      </w:pPr>
      <w:r>
        <w:rPr>
          <w:rFonts w:hint="eastAsia"/>
          <w:b w:val="0"/>
          <w:bCs/>
          <w:lang w:val="en-US" w:eastAsia="zh-CN"/>
        </w:rPr>
        <w:t>该项目实施过程中主要存在未按要求组织招标对应该招标的内容未全部进行公开招标，合同管理不到位与提供造价咨询的服务机构未签订委托合同，验收管理不到位未能根据项目特殊性组织施工阶段验收工作。</w:t>
      </w:r>
    </w:p>
    <w:p>
      <w:pPr>
        <w:pageBreakBefore w:val="0"/>
        <w:widowControl w:val="0"/>
        <w:kinsoku/>
        <w:wordWrap/>
        <w:overflowPunct/>
        <w:topLinePunct w:val="0"/>
        <w:autoSpaceDE/>
        <w:autoSpaceDN/>
        <w:bidi w:val="0"/>
        <w:spacing w:line="520" w:lineRule="exact"/>
        <w:textAlignment w:val="auto"/>
        <w:rPr>
          <w:rFonts w:hint="default"/>
          <w:b w:val="0"/>
          <w:bCs/>
          <w:lang w:val="en-US" w:eastAsia="zh-CN"/>
        </w:rPr>
      </w:pPr>
      <w:r>
        <w:rPr>
          <w:rFonts w:hint="eastAsia"/>
          <w:b w:val="0"/>
          <w:bCs/>
          <w:lang w:val="en-US" w:eastAsia="zh-CN"/>
        </w:rPr>
        <w:t>建议项目单位加强项目全过程管理意识，确保项目前期调研、立项、组织招标、过程实施、验收、结算等程序既要符合政府投资项目管理要求，也要满足项目本身特性的需求。</w:t>
      </w:r>
    </w:p>
    <w:p>
      <w:pPr>
        <w:pStyle w:val="6"/>
        <w:pageBreakBefore w:val="0"/>
        <w:widowControl w:val="0"/>
        <w:kinsoku/>
        <w:wordWrap/>
        <w:overflowPunct/>
        <w:topLinePunct w:val="0"/>
        <w:autoSpaceDE/>
        <w:autoSpaceDN/>
        <w:bidi w:val="0"/>
        <w:spacing w:line="520" w:lineRule="exact"/>
        <w:textAlignment w:val="auto"/>
        <w:rPr>
          <w:rFonts w:hint="default"/>
          <w:b w:val="0"/>
          <w:bCs/>
          <w:lang w:val="en-US" w:eastAsia="zh-CN"/>
        </w:rPr>
      </w:pPr>
      <w:r>
        <w:rPr>
          <w:rFonts w:hint="eastAsia"/>
          <w:b w:val="0"/>
          <w:bCs/>
          <w:lang w:val="en-US" w:eastAsia="zh-CN"/>
        </w:rPr>
        <w:t>5.项目投资超概</w:t>
      </w:r>
    </w:p>
    <w:p>
      <w:pPr>
        <w:pageBreakBefore w:val="0"/>
        <w:widowControl w:val="0"/>
        <w:kinsoku/>
        <w:wordWrap/>
        <w:overflowPunct/>
        <w:topLinePunct w:val="0"/>
        <w:autoSpaceDE/>
        <w:autoSpaceDN/>
        <w:bidi w:val="0"/>
        <w:spacing w:line="520" w:lineRule="exact"/>
        <w:textAlignment w:val="auto"/>
        <w:rPr>
          <w:rFonts w:hint="eastAsia"/>
          <w:b w:val="0"/>
          <w:bCs/>
          <w:lang w:val="en-US" w:eastAsia="zh-CN"/>
        </w:rPr>
      </w:pPr>
      <w:r>
        <w:rPr>
          <w:rFonts w:hint="eastAsia"/>
          <w:b w:val="0"/>
          <w:bCs/>
          <w:lang w:val="en-US" w:eastAsia="zh-CN"/>
        </w:rPr>
        <w:t>该项目存在投资超概问题，项目实际总投资（合同约定）与可研批复总投资对比超概1.88%，项目实际工程费（合同约定）与可研批复工程费用对比超概10.02%。</w:t>
      </w:r>
    </w:p>
    <w:p>
      <w:pPr>
        <w:pageBreakBefore w:val="0"/>
        <w:widowControl w:val="0"/>
        <w:kinsoku/>
        <w:wordWrap/>
        <w:overflowPunct/>
        <w:topLinePunct w:val="0"/>
        <w:autoSpaceDE/>
        <w:autoSpaceDN/>
        <w:bidi w:val="0"/>
        <w:spacing w:line="520" w:lineRule="exact"/>
        <w:textAlignment w:val="auto"/>
        <w:rPr>
          <w:rFonts w:hint="default" w:eastAsia="仿宋_GB2312"/>
          <w:b w:val="0"/>
          <w:bCs/>
          <w:lang w:val="en-US" w:eastAsia="zh-CN"/>
        </w:rPr>
      </w:pPr>
      <w:r>
        <w:rPr>
          <w:rFonts w:hint="eastAsia"/>
          <w:b w:val="0"/>
          <w:bCs/>
          <w:lang w:val="en-US" w:eastAsia="zh-CN"/>
        </w:rPr>
        <w:t>建议项目单位认真研究主管部门批复文件，确保项目立项批复总投资金额的实际使用范围，根据批复预算组织实施项目，避免出现项目超概现象。</w:t>
      </w:r>
    </w:p>
    <w:sectPr>
      <w:footerReference r:id="rId5" w:type="default"/>
      <w:pgSz w:w="11906" w:h="16838"/>
      <w:pgMar w:top="1553"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49275" cy="19367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49275" cy="1936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sz w:val="21"/>
                              <w:szCs w:val="32"/>
                            </w:rPr>
                          </w:pPr>
                          <w:r>
                            <w:rPr>
                              <w:sz w:val="21"/>
                              <w:szCs w:val="32"/>
                            </w:rPr>
                            <w:fldChar w:fldCharType="begin"/>
                          </w:r>
                          <w:r>
                            <w:rPr>
                              <w:sz w:val="21"/>
                              <w:szCs w:val="32"/>
                            </w:rPr>
                            <w:instrText xml:space="preserve"> PAGE  \* MERGEFORMAT </w:instrText>
                          </w:r>
                          <w:r>
                            <w:rPr>
                              <w:sz w:val="21"/>
                              <w:szCs w:val="32"/>
                            </w:rPr>
                            <w:fldChar w:fldCharType="separate"/>
                          </w:r>
                          <w:r>
                            <w:rPr>
                              <w:sz w:val="21"/>
                              <w:szCs w:val="32"/>
                            </w:rPr>
                            <w:t>4</w:t>
                          </w:r>
                          <w:r>
                            <w:rPr>
                              <w:sz w:val="21"/>
                              <w:szCs w:val="32"/>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5.25pt;width:43.25pt;mso-position-horizontal:center;mso-position-horizontal-relative:margin;z-index:251659264;mso-width-relative:page;mso-height-relative:page;" filled="f" stroked="f" coordsize="21600,21600" o:gfxdata="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oO/q40wAAAAMBAAAPAAAAAAAAAAEAIAAAACIAAABkcnMvZG93bnJldi54&#10;bWxQSwECFAAUAAAACACHTuJAMXZcUzgCAABhBAAADgAAAAAAAAABACAAAAAiAQAAZHJzL2Uyb0Rv&#10;Yy54bWxQSwUGAAAAAAYABgBZAQAAzAUAAAAA&#10;">
              <v:fill on="f" focussize="0,0"/>
              <v:stroke on="f" weight="0.5pt"/>
              <v:imagedata o:title=""/>
              <o:lock v:ext="edit" aspectratio="f"/>
              <v:textbox inset="0mm,0mm,0mm,0mm">
                <w:txbxContent>
                  <w:p>
                    <w:pPr>
                      <w:pStyle w:val="8"/>
                      <w:rPr>
                        <w:sz w:val="21"/>
                        <w:szCs w:val="32"/>
                      </w:rPr>
                    </w:pPr>
                    <w:r>
                      <w:rPr>
                        <w:sz w:val="21"/>
                        <w:szCs w:val="32"/>
                      </w:rPr>
                      <w:fldChar w:fldCharType="begin"/>
                    </w:r>
                    <w:r>
                      <w:rPr>
                        <w:sz w:val="21"/>
                        <w:szCs w:val="32"/>
                      </w:rPr>
                      <w:instrText xml:space="preserve"> PAGE  \* MERGEFORMAT </w:instrText>
                    </w:r>
                    <w:r>
                      <w:rPr>
                        <w:sz w:val="21"/>
                        <w:szCs w:val="32"/>
                      </w:rPr>
                      <w:fldChar w:fldCharType="separate"/>
                    </w:r>
                    <w:r>
                      <w:rPr>
                        <w:sz w:val="21"/>
                        <w:szCs w:val="32"/>
                      </w:rPr>
                      <w:t>4</w:t>
                    </w:r>
                    <w:r>
                      <w:rPr>
                        <w:sz w:val="21"/>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zZTdjZDgyMWJmMjRlNTU5OGMxYjdmNjdmZmRlMWMifQ=="/>
  </w:docVars>
  <w:rsids>
    <w:rsidRoot w:val="7FF0B5AD"/>
    <w:rsid w:val="008555F9"/>
    <w:rsid w:val="0168257E"/>
    <w:rsid w:val="01F86CD9"/>
    <w:rsid w:val="06040DD9"/>
    <w:rsid w:val="077816D1"/>
    <w:rsid w:val="07CD379B"/>
    <w:rsid w:val="08E349EA"/>
    <w:rsid w:val="09001D29"/>
    <w:rsid w:val="096A6AAF"/>
    <w:rsid w:val="0A1308EA"/>
    <w:rsid w:val="0A5C35E3"/>
    <w:rsid w:val="0BCF58D8"/>
    <w:rsid w:val="0C3E61C8"/>
    <w:rsid w:val="0CE4363E"/>
    <w:rsid w:val="0EDB59B8"/>
    <w:rsid w:val="0EF32D02"/>
    <w:rsid w:val="11077D47"/>
    <w:rsid w:val="11C10E95"/>
    <w:rsid w:val="1648719B"/>
    <w:rsid w:val="16625FF0"/>
    <w:rsid w:val="16797BD3"/>
    <w:rsid w:val="184E0FA9"/>
    <w:rsid w:val="18602A8A"/>
    <w:rsid w:val="19B3612E"/>
    <w:rsid w:val="1A823A41"/>
    <w:rsid w:val="1E5F0797"/>
    <w:rsid w:val="1EA94722"/>
    <w:rsid w:val="21EE62A7"/>
    <w:rsid w:val="22B57DE4"/>
    <w:rsid w:val="22E25AAC"/>
    <w:rsid w:val="23B343B6"/>
    <w:rsid w:val="26D60AE7"/>
    <w:rsid w:val="26D7485F"/>
    <w:rsid w:val="27751963"/>
    <w:rsid w:val="28870BE3"/>
    <w:rsid w:val="2BEB558F"/>
    <w:rsid w:val="2E132621"/>
    <w:rsid w:val="2E5E576B"/>
    <w:rsid w:val="2F1403FE"/>
    <w:rsid w:val="2F86652E"/>
    <w:rsid w:val="307355F9"/>
    <w:rsid w:val="3075311F"/>
    <w:rsid w:val="323625AF"/>
    <w:rsid w:val="35054F1C"/>
    <w:rsid w:val="362353CB"/>
    <w:rsid w:val="36D61545"/>
    <w:rsid w:val="38507793"/>
    <w:rsid w:val="385E739B"/>
    <w:rsid w:val="38F848ED"/>
    <w:rsid w:val="39186D3D"/>
    <w:rsid w:val="3B7641EF"/>
    <w:rsid w:val="3BC6395E"/>
    <w:rsid w:val="3D2F64CE"/>
    <w:rsid w:val="3E8938CE"/>
    <w:rsid w:val="3F525A73"/>
    <w:rsid w:val="40F462E2"/>
    <w:rsid w:val="44AB7E78"/>
    <w:rsid w:val="49AF4DDC"/>
    <w:rsid w:val="49E05CA0"/>
    <w:rsid w:val="4AC77295"/>
    <w:rsid w:val="4F7801A4"/>
    <w:rsid w:val="507F724A"/>
    <w:rsid w:val="50CD6207"/>
    <w:rsid w:val="50FF674E"/>
    <w:rsid w:val="51B11685"/>
    <w:rsid w:val="527D147C"/>
    <w:rsid w:val="538F3C48"/>
    <w:rsid w:val="581405C3"/>
    <w:rsid w:val="5B5138EB"/>
    <w:rsid w:val="5C885E22"/>
    <w:rsid w:val="5D04179A"/>
    <w:rsid w:val="5D277B93"/>
    <w:rsid w:val="5DAD53F7"/>
    <w:rsid w:val="5DB04EE7"/>
    <w:rsid w:val="5DCF4FA3"/>
    <w:rsid w:val="5E8D561B"/>
    <w:rsid w:val="5FED3BEB"/>
    <w:rsid w:val="65D279B4"/>
    <w:rsid w:val="66440592"/>
    <w:rsid w:val="69E93198"/>
    <w:rsid w:val="6A21549A"/>
    <w:rsid w:val="6AEA4B03"/>
    <w:rsid w:val="6D021A16"/>
    <w:rsid w:val="6D617FAC"/>
    <w:rsid w:val="6D8D71CB"/>
    <w:rsid w:val="6DB3638A"/>
    <w:rsid w:val="6EFA2EC9"/>
    <w:rsid w:val="6FE92DA8"/>
    <w:rsid w:val="72B648F6"/>
    <w:rsid w:val="741E2752"/>
    <w:rsid w:val="751D0C5C"/>
    <w:rsid w:val="76366479"/>
    <w:rsid w:val="79A55ABD"/>
    <w:rsid w:val="7A106FE1"/>
    <w:rsid w:val="7A473EB8"/>
    <w:rsid w:val="7A902D9D"/>
    <w:rsid w:val="7B3F6CCC"/>
    <w:rsid w:val="7D625DA6"/>
    <w:rsid w:val="7FF0B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800" w:firstLineChars="200"/>
      <w:jc w:val="both"/>
    </w:pPr>
    <w:rPr>
      <w:rFonts w:ascii="Times New Roman" w:hAnsi="Times New Roman" w:eastAsia="仿宋_GB2312" w:cs="Times New Roman"/>
      <w:kern w:val="2"/>
      <w:sz w:val="32"/>
      <w:szCs w:val="24"/>
      <w:lang w:val="en-US" w:eastAsia="zh-CN" w:bidi="ar-SA"/>
    </w:rPr>
  </w:style>
  <w:style w:type="paragraph" w:styleId="4">
    <w:name w:val="heading 1"/>
    <w:basedOn w:val="1"/>
    <w:next w:val="1"/>
    <w:qFormat/>
    <w:uiPriority w:val="0"/>
    <w:pPr>
      <w:keepNext/>
      <w:keepLines/>
      <w:spacing w:beforeLines="0" w:beforeAutospacing="0" w:afterLines="0" w:afterAutospacing="0" w:line="360" w:lineRule="auto"/>
      <w:outlineLvl w:val="0"/>
    </w:pPr>
    <w:rPr>
      <w:b/>
      <w:kern w:val="44"/>
      <w:sz w:val="32"/>
    </w:rPr>
  </w:style>
  <w:style w:type="paragraph" w:styleId="5">
    <w:name w:val="heading 2"/>
    <w:basedOn w:val="1"/>
    <w:next w:val="1"/>
    <w:unhideWhenUsed/>
    <w:qFormat/>
    <w:uiPriority w:val="0"/>
    <w:pPr>
      <w:keepNext/>
      <w:keepLines/>
      <w:spacing w:beforeLines="0" w:beforeAutospacing="0" w:afterLines="0" w:afterAutospacing="0" w:line="360" w:lineRule="auto"/>
      <w:outlineLvl w:val="1"/>
    </w:pPr>
    <w:rPr>
      <w:rFonts w:ascii="Arial" w:hAnsi="Arial" w:eastAsia="仿宋_GB2312"/>
      <w:b/>
    </w:rPr>
  </w:style>
  <w:style w:type="paragraph" w:styleId="6">
    <w:name w:val="heading 3"/>
    <w:basedOn w:val="1"/>
    <w:next w:val="1"/>
    <w:unhideWhenUsed/>
    <w:qFormat/>
    <w:uiPriority w:val="0"/>
    <w:pPr>
      <w:keepNext/>
      <w:keepLines/>
      <w:spacing w:beforeLines="0" w:beforeAutospacing="0" w:afterLines="0" w:afterAutospacing="0" w:line="240" w:lineRule="auto"/>
      <w:outlineLvl w:val="2"/>
    </w:pPr>
    <w:rPr>
      <w:rFonts w:ascii="Times New Roman" w:hAnsi="Times New Roman"/>
      <w:b/>
    </w:rPr>
  </w:style>
  <w:style w:type="paragraph" w:styleId="7">
    <w:name w:val="heading 4"/>
    <w:basedOn w:val="1"/>
    <w:next w:val="1"/>
    <w:unhideWhenUsed/>
    <w:qFormat/>
    <w:uiPriority w:val="0"/>
    <w:pPr>
      <w:keepNext/>
      <w:keepLines/>
      <w:spacing w:beforeLines="0" w:beforeAutospacing="0" w:afterLines="0" w:afterAutospacing="0" w:line="360" w:lineRule="exact"/>
      <w:ind w:firstLine="0" w:firstLineChars="0"/>
      <w:jc w:val="center"/>
      <w:outlineLvl w:val="3"/>
    </w:pPr>
    <w:rPr>
      <w:rFonts w:ascii="Arial" w:hAnsi="Arial" w:eastAsia="宋体"/>
      <w:sz w:val="28"/>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styleId="3">
    <w:name w:val="index 9"/>
    <w:basedOn w:val="1"/>
    <w:next w:val="1"/>
    <w:qFormat/>
    <w:uiPriority w:val="0"/>
    <w:pPr>
      <w:ind w:left="336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3">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7">
    <w:name w:val="List Paragraph"/>
    <w:basedOn w:val="1"/>
    <w:qFormat/>
    <w:uiPriority w:val="34"/>
    <w:pPr>
      <w:ind w:firstLine="420"/>
    </w:pPr>
  </w:style>
  <w:style w:type="character" w:customStyle="1" w:styleId="18">
    <w:name w:val="fontstyle01"/>
    <w:basedOn w:val="16"/>
    <w:qFormat/>
    <w:uiPriority w:val="0"/>
    <w:rPr>
      <w:rFonts w:hint="eastAsia" w:ascii="仿宋_GB2312" w:eastAsia="仿宋_GB2312"/>
      <w:color w:val="000000"/>
      <w:sz w:val="32"/>
      <w:szCs w:val="32"/>
    </w:rPr>
  </w:style>
  <w:style w:type="paragraph" w:customStyle="1" w:styleId="19">
    <w:name w:val="标题2"/>
    <w:basedOn w:val="20"/>
    <w:qFormat/>
    <w:uiPriority w:val="0"/>
    <w:pPr>
      <w:adjustRightInd w:val="0"/>
      <w:snapToGrid w:val="0"/>
      <w:spacing w:before="50" w:beforeLines="50" w:after="50" w:afterLines="50" w:line="760" w:lineRule="exact"/>
      <w:ind w:firstLine="200"/>
      <w:jc w:val="left"/>
    </w:pPr>
    <w:rPr>
      <w:rFonts w:ascii="楷体" w:hAnsi="楷体" w:eastAsia="楷体" w:cs="宋体"/>
      <w:b/>
      <w:bCs/>
      <w:szCs w:val="32"/>
    </w:rPr>
  </w:style>
  <w:style w:type="paragraph" w:customStyle="1" w:styleId="20">
    <w:name w:val="彩色列表 - 着色 11"/>
    <w:basedOn w:val="1"/>
    <w:qFormat/>
    <w:uiPriority w:val="34"/>
    <w:pPr>
      <w:ind w:firstLine="420"/>
    </w:pPr>
    <w:rPr>
      <w:szCs w:val="22"/>
    </w:rPr>
  </w:style>
  <w:style w:type="paragraph" w:customStyle="1" w:styleId="21">
    <w:name w:val="标题1"/>
    <w:basedOn w:val="20"/>
    <w:qFormat/>
    <w:uiPriority w:val="0"/>
    <w:pPr>
      <w:tabs>
        <w:tab w:val="center" w:pos="4422"/>
      </w:tabs>
      <w:adjustRightInd w:val="0"/>
      <w:snapToGrid w:val="0"/>
      <w:spacing w:line="760" w:lineRule="exact"/>
      <w:ind w:firstLine="0" w:firstLineChars="0"/>
      <w:jc w:val="left"/>
      <w:outlineLvl w:val="0"/>
    </w:pPr>
    <w:rPr>
      <w:rFonts w:ascii="黑体" w:hAnsi="黑体" w:eastAsia="黑体" w:cs="宋体"/>
      <w:szCs w:val="32"/>
    </w:rPr>
  </w:style>
  <w:style w:type="paragraph" w:customStyle="1" w:styleId="22">
    <w:name w:val="闻政标题5"/>
    <w:basedOn w:val="1"/>
    <w:qFormat/>
    <w:uiPriority w:val="0"/>
    <w:pPr>
      <w:spacing w:before="120" w:after="60" w:line="500" w:lineRule="exact"/>
      <w:ind w:firstLine="200" w:firstLineChars="200"/>
    </w:pPr>
    <w:rPr>
      <w:rFonts w:ascii="Times New Roman" w:hAnsi="Times New Roman" w:eastAsia="仿宋_GB2312"/>
      <w:b/>
      <w:kern w:val="0"/>
      <w:sz w:val="28"/>
      <w:szCs w:val="28"/>
    </w:rPr>
  </w:style>
  <w:style w:type="paragraph" w:customStyle="1" w:styleId="23">
    <w:name w:val="Table Paragraph"/>
    <w:basedOn w:val="1"/>
    <w:qFormat/>
    <w:uiPriority w:val="1"/>
    <w:rPr>
      <w:rFonts w:ascii="仿宋" w:hAnsi="仿宋" w:eastAsia="仿宋" w:cs="仿宋"/>
      <w:lang w:val="zh-CN" w:eastAsia="zh-CN" w:bidi="zh-CN"/>
    </w:rPr>
  </w:style>
  <w:style w:type="character" w:customStyle="1" w:styleId="24">
    <w:name w:val="font41"/>
    <w:basedOn w:val="16"/>
    <w:qFormat/>
    <w:uiPriority w:val="0"/>
    <w:rPr>
      <w:rFonts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2359</Words>
  <Characters>2425</Characters>
  <Lines>0</Lines>
  <Paragraphs>0</Paragraphs>
  <TotalTime>8</TotalTime>
  <ScaleCrop>false</ScaleCrop>
  <LinksUpToDate>false</LinksUpToDate>
  <CharactersWithSpaces>2499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2021-01-29T09:34:00Z</dcterms:created>
  <dc:creator>thtf</dc:creator>
  <cp:lastModifiedBy>杨勇</cp:lastModifiedBy>
  <cp:lastPrinted>2021-10-25T07:24:00Z</cp:lastPrinted>
  <dcterms:modified xsi:type="dcterms:W3CDTF">2023-01-19T08:47:00Z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14390B156369452E917EA6C02D7D2797</vt:lpwstr>
  </property>
</Properties>
</file>