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ind w:firstLine="0" w:firstLineChars="0"/>
        <w:rPr>
          <w:rFonts w:hint="eastAsia" w:ascii="仿宋_GB2312" w:hAnsi="仿宋_GB2312" w:eastAsia="仿宋_GB2312" w:cs="仿宋_GB2312"/>
          <w:b w:val="0"/>
          <w:bCs w:val="0"/>
        </w:rPr>
      </w:pPr>
    </w:p>
    <w:p>
      <w:pPr>
        <w:pStyle w:val="8"/>
        <w:adjustRightInd w:val="0"/>
        <w:ind w:firstLine="360"/>
        <w:rPr>
          <w:rFonts w:hint="eastAsia" w:ascii="仿宋_GB2312" w:hAnsi="仿宋_GB2312" w:eastAsia="仿宋_GB2312" w:cs="仿宋_GB2312"/>
          <w:b w:val="0"/>
          <w:bCs w:val="0"/>
        </w:rPr>
      </w:pPr>
    </w:p>
    <w:p>
      <w:pPr>
        <w:pStyle w:val="8"/>
        <w:adjustRightInd w:val="0"/>
        <w:ind w:firstLine="360"/>
        <w:rPr>
          <w:rFonts w:hint="eastAsia" w:ascii="仿宋_GB2312" w:hAnsi="仿宋_GB2312" w:eastAsia="仿宋_GB2312" w:cs="仿宋_GB2312"/>
          <w:b w:val="0"/>
          <w:bCs w:val="0"/>
        </w:rPr>
      </w:pPr>
    </w:p>
    <w:p>
      <w:pPr>
        <w:adjustRightInd w:val="0"/>
        <w:snapToGrid w:val="0"/>
        <w:ind w:firstLine="0" w:firstLineChars="0"/>
        <w:jc w:val="center"/>
        <w:rPr>
          <w:rFonts w:hint="eastAsia" w:ascii="仿宋_GB2312" w:hAnsi="仿宋_GB2312" w:eastAsia="仿宋_GB2312" w:cs="仿宋_GB2312"/>
          <w:b w:val="0"/>
          <w:bCs w:val="0"/>
          <w:sz w:val="44"/>
          <w:szCs w:val="44"/>
        </w:rPr>
      </w:pPr>
      <w:r>
        <w:rPr>
          <w:rFonts w:hint="eastAsia" w:ascii="仿宋_GB2312" w:hAnsi="仿宋_GB2312" w:eastAsia="仿宋_GB2312" w:cs="仿宋_GB2312"/>
          <w:b w:val="0"/>
          <w:bCs w:val="0"/>
          <w:sz w:val="44"/>
          <w:szCs w:val="44"/>
        </w:rPr>
        <w:t>2021年全民健身体育活动中心补贴项目</w:t>
      </w:r>
    </w:p>
    <w:p>
      <w:pPr>
        <w:adjustRightInd w:val="0"/>
        <w:snapToGrid w:val="0"/>
        <w:ind w:firstLine="0" w:firstLineChars="0"/>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 w:val="44"/>
          <w:szCs w:val="44"/>
        </w:rPr>
        <w:t>绩效评价</w:t>
      </w:r>
      <w:r>
        <w:rPr>
          <w:rFonts w:hint="eastAsia" w:ascii="仿宋_GB2312" w:hAnsi="仿宋_GB2312" w:cs="仿宋_GB2312"/>
          <w:b w:val="0"/>
          <w:bCs w:val="0"/>
          <w:sz w:val="44"/>
          <w:szCs w:val="44"/>
          <w:lang w:eastAsia="zh-CN"/>
        </w:rPr>
        <w:t>简要</w:t>
      </w:r>
      <w:r>
        <w:rPr>
          <w:rFonts w:hint="eastAsia" w:ascii="仿宋_GB2312" w:hAnsi="仿宋_GB2312" w:eastAsia="仿宋_GB2312" w:cs="仿宋_GB2312"/>
          <w:b w:val="0"/>
          <w:bCs w:val="0"/>
          <w:sz w:val="44"/>
          <w:szCs w:val="44"/>
        </w:rPr>
        <w:t>报告</w:t>
      </w:r>
    </w:p>
    <w:p>
      <w:pPr>
        <w:pStyle w:val="2"/>
        <w:adjustRightInd w:val="0"/>
        <w:snapToGrid w:val="0"/>
        <w:ind w:firstLine="0" w:firstLineChars="0"/>
        <w:jc w:val="center"/>
        <w:rPr>
          <w:rFonts w:hint="eastAsia" w:ascii="仿宋_GB2312" w:hAnsi="仿宋_GB2312" w:eastAsia="仿宋_GB2312" w:cs="仿宋_GB2312"/>
          <w:b w:val="0"/>
          <w:bCs w:val="0"/>
          <w:sz w:val="30"/>
          <w:szCs w:val="30"/>
        </w:rPr>
      </w:pPr>
    </w:p>
    <w:p>
      <w:pPr>
        <w:pStyle w:val="2"/>
        <w:adjustRightInd w:val="0"/>
        <w:snapToGrid w:val="0"/>
        <w:ind w:firstLine="560"/>
        <w:jc w:val="center"/>
        <w:rPr>
          <w:rFonts w:hint="eastAsia" w:ascii="仿宋_GB2312" w:hAnsi="仿宋_GB2312" w:eastAsia="仿宋_GB2312" w:cs="仿宋_GB2312"/>
          <w:b w:val="0"/>
          <w:bCs w:val="0"/>
          <w:sz w:val="32"/>
          <w:szCs w:val="24"/>
        </w:rPr>
      </w:pPr>
      <w:bookmarkStart w:id="55" w:name="_GoBack"/>
      <w:bookmarkEnd w:id="55"/>
    </w:p>
    <w:p>
      <w:pPr>
        <w:pStyle w:val="2"/>
        <w:adjustRightInd w:val="0"/>
        <w:snapToGrid w:val="0"/>
        <w:ind w:firstLine="0" w:firstLineChars="0"/>
        <w:rPr>
          <w:rFonts w:hint="eastAsia" w:ascii="仿宋_GB2312" w:hAnsi="仿宋_GB2312" w:eastAsia="仿宋_GB2312" w:cs="仿宋_GB2312"/>
          <w:b w:val="0"/>
          <w:bCs w:val="0"/>
          <w:sz w:val="44"/>
          <w:szCs w:val="44"/>
        </w:rPr>
      </w:pPr>
    </w:p>
    <w:p>
      <w:pPr>
        <w:pStyle w:val="8"/>
        <w:adjustRightInd w:val="0"/>
        <w:ind w:firstLine="883"/>
        <w:rPr>
          <w:rFonts w:hint="eastAsia" w:ascii="仿宋_GB2312" w:hAnsi="仿宋_GB2312" w:eastAsia="仿宋_GB2312" w:cs="仿宋_GB2312"/>
          <w:b w:val="0"/>
          <w:bCs w:val="0"/>
          <w:sz w:val="44"/>
          <w:szCs w:val="44"/>
        </w:rPr>
      </w:pPr>
    </w:p>
    <w:p>
      <w:pPr>
        <w:pStyle w:val="8"/>
        <w:adjustRightInd w:val="0"/>
        <w:ind w:firstLine="883"/>
        <w:rPr>
          <w:rFonts w:hint="eastAsia" w:ascii="仿宋_GB2312" w:hAnsi="仿宋_GB2312" w:eastAsia="仿宋_GB2312" w:cs="仿宋_GB2312"/>
          <w:b w:val="0"/>
          <w:bCs w:val="0"/>
          <w:sz w:val="44"/>
          <w:szCs w:val="44"/>
        </w:rPr>
      </w:pPr>
    </w:p>
    <w:p>
      <w:pPr>
        <w:pStyle w:val="8"/>
        <w:adjustRightInd w:val="0"/>
        <w:ind w:firstLine="360"/>
        <w:rPr>
          <w:rFonts w:hint="eastAsia" w:ascii="仿宋_GB2312" w:hAnsi="仿宋_GB2312" w:eastAsia="仿宋_GB2312" w:cs="仿宋_GB2312"/>
          <w:b w:val="0"/>
          <w:bCs w:val="0"/>
        </w:rPr>
      </w:pPr>
    </w:p>
    <w:p>
      <w:pPr>
        <w:pStyle w:val="18"/>
        <w:widowControl/>
        <w:adjustRightInd w:val="0"/>
        <w:snapToGrid w:val="0"/>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项目单位：伊金霍洛旗体育事业发展中心</w:t>
      </w:r>
    </w:p>
    <w:p>
      <w:pPr>
        <w:pStyle w:val="18"/>
        <w:widowControl/>
        <w:adjustRightInd w:val="0"/>
        <w:snapToGrid w:val="0"/>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主管单位：伊金霍洛旗教育体育局</w:t>
      </w:r>
    </w:p>
    <w:p>
      <w:pPr>
        <w:pStyle w:val="18"/>
        <w:widowControl/>
        <w:adjustRightInd w:val="0"/>
        <w:snapToGrid w:val="0"/>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委托部门：伊金霍洛旗绩效评价税收服务中心</w:t>
      </w:r>
    </w:p>
    <w:p>
      <w:pPr>
        <w:pStyle w:val="18"/>
        <w:adjustRightInd w:val="0"/>
        <w:snapToGrid w:val="0"/>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评价机构：内蒙古中磊会计师事务所（普通合伙）</w:t>
      </w:r>
    </w:p>
    <w:p>
      <w:pPr>
        <w:adjustRightInd w:val="0"/>
        <w:snapToGrid w:val="0"/>
        <w:ind w:firstLine="0" w:firstLineChars="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adjustRightInd w:val="0"/>
        <w:snapToGrid w:val="0"/>
        <w:ind w:firstLine="0" w:firstLineChars="0"/>
        <w:jc w:val="center"/>
        <w:rPr>
          <w:rFonts w:hint="eastAsia" w:ascii="仿宋_GB2312" w:hAnsi="仿宋_GB2312" w:eastAsia="仿宋_GB2312" w:cs="仿宋_GB2312"/>
          <w:b w:val="0"/>
          <w:bCs w:val="0"/>
          <w:sz w:val="32"/>
          <w:szCs w:val="32"/>
          <w:lang w:val="en-US" w:eastAsia="zh-CN"/>
        </w:rPr>
      </w:pPr>
    </w:p>
    <w:p>
      <w:pPr>
        <w:adjustRightInd w:val="0"/>
        <w:snapToGrid w:val="0"/>
        <w:ind w:firstLine="0" w:firstLineChars="0"/>
        <w:jc w:val="center"/>
        <w:rPr>
          <w:rFonts w:hint="eastAsia" w:ascii="仿宋_GB2312" w:hAnsi="仿宋_GB2312" w:eastAsia="仿宋_GB2312" w:cs="仿宋_GB2312"/>
          <w:b w:val="0"/>
          <w:bCs w:val="0"/>
          <w:sz w:val="32"/>
          <w:szCs w:val="32"/>
          <w:lang w:val="en-US" w:eastAsia="zh-CN"/>
        </w:rPr>
      </w:pPr>
    </w:p>
    <w:p>
      <w:pPr>
        <w:pStyle w:val="2"/>
        <w:rPr>
          <w:rFonts w:hint="eastAsia" w:ascii="仿宋_GB2312" w:hAnsi="仿宋_GB2312" w:eastAsia="仿宋_GB2312" w:cs="仿宋_GB2312"/>
          <w:lang w:val="en-US" w:eastAsia="zh-CN"/>
        </w:rPr>
      </w:pPr>
    </w:p>
    <w:p>
      <w:pPr>
        <w:adjustRightInd w:val="0"/>
        <w:snapToGrid w:val="0"/>
        <w:ind w:firstLine="0" w:firstLineChars="0"/>
        <w:jc w:val="center"/>
        <w:rPr>
          <w:rFonts w:hint="eastAsia" w:ascii="仿宋_GB2312" w:hAnsi="仿宋_GB2312" w:eastAsia="仿宋_GB2312" w:cs="仿宋_GB2312"/>
          <w:b w:val="0"/>
          <w:bCs w:val="0"/>
          <w:sz w:val="32"/>
          <w:szCs w:val="32"/>
          <w:lang w:val="en-US" w:eastAsia="zh-CN"/>
        </w:rPr>
      </w:pPr>
    </w:p>
    <w:p>
      <w:pPr>
        <w:pStyle w:val="2"/>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kern w:val="0"/>
          <w:sz w:val="32"/>
          <w:szCs w:val="32"/>
          <w:lang w:bidi="en-US"/>
        </w:rPr>
      </w:pPr>
      <w:r>
        <w:rPr>
          <w:rFonts w:hint="eastAsia" w:ascii="仿宋_GB2312" w:hAnsi="仿宋_GB2312" w:eastAsia="仿宋_GB2312" w:cs="仿宋_GB2312"/>
          <w:b w:val="0"/>
          <w:bCs w:val="0"/>
          <w:kern w:val="0"/>
          <w:sz w:val="32"/>
          <w:szCs w:val="32"/>
          <w:lang w:bidi="en-US"/>
        </w:rPr>
        <w:t>2021年全民健身体育活动中心补贴项目</w:t>
      </w: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kern w:val="0"/>
          <w:sz w:val="32"/>
          <w:szCs w:val="32"/>
          <w:lang w:bidi="en-US"/>
        </w:rPr>
      </w:pPr>
      <w:r>
        <w:rPr>
          <w:rFonts w:hint="eastAsia" w:ascii="仿宋_GB2312" w:hAnsi="仿宋_GB2312" w:eastAsia="仿宋_GB2312" w:cs="仿宋_GB2312"/>
          <w:b w:val="0"/>
          <w:bCs w:val="0"/>
          <w:kern w:val="0"/>
          <w:sz w:val="32"/>
          <w:szCs w:val="32"/>
          <w:lang w:bidi="en-US"/>
        </w:rPr>
        <w:t>绩效评价</w:t>
      </w:r>
      <w:r>
        <w:rPr>
          <w:rFonts w:hint="eastAsia" w:ascii="仿宋_GB2312" w:hAnsi="仿宋_GB2312" w:cs="仿宋_GB2312"/>
          <w:b w:val="0"/>
          <w:bCs w:val="0"/>
          <w:kern w:val="0"/>
          <w:sz w:val="32"/>
          <w:szCs w:val="32"/>
          <w:lang w:eastAsia="zh-CN" w:bidi="en-US"/>
        </w:rPr>
        <w:t>简要</w:t>
      </w:r>
      <w:r>
        <w:rPr>
          <w:rFonts w:hint="eastAsia" w:ascii="仿宋_GB2312" w:hAnsi="仿宋_GB2312" w:eastAsia="仿宋_GB2312" w:cs="仿宋_GB2312"/>
          <w:b w:val="0"/>
          <w:bCs w:val="0"/>
          <w:kern w:val="0"/>
          <w:sz w:val="32"/>
          <w:szCs w:val="32"/>
          <w:lang w:bidi="en-US"/>
        </w:rPr>
        <w:t>报告</w:t>
      </w:r>
    </w:p>
    <w:p>
      <w:pPr>
        <w:pStyle w:val="2"/>
        <w:pageBreakBefore w:val="0"/>
        <w:widowControl w:val="0"/>
        <w:kinsoku/>
        <w:wordWrap/>
        <w:overflowPunct/>
        <w:topLinePunct w:val="0"/>
        <w:autoSpaceDE/>
        <w:autoSpaceDN/>
        <w:bidi w:val="0"/>
        <w:adjustRightInd w:val="0"/>
        <w:snapToGrid w:val="0"/>
        <w:spacing w:after="0" w:line="520" w:lineRule="exact"/>
        <w:ind w:firstLine="0" w:firstLineChars="0"/>
        <w:jc w:val="right"/>
        <w:textAlignment w:val="auto"/>
        <w:rPr>
          <w:rFonts w:hint="eastAsia" w:ascii="仿宋_GB2312" w:hAnsi="仿宋_GB2312" w:eastAsia="仿宋_GB2312" w:cs="仿宋_GB2312"/>
          <w:b w:val="0"/>
          <w:bCs w:val="0"/>
          <w:sz w:val="32"/>
          <w:szCs w:val="32"/>
        </w:rPr>
      </w:pPr>
    </w:p>
    <w:p>
      <w:pPr>
        <w:pStyle w:val="4"/>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kern w:val="2"/>
          <w:sz w:val="32"/>
          <w:szCs w:val="32"/>
        </w:rPr>
      </w:pPr>
      <w:bookmarkStart w:id="0" w:name="_Toc27090"/>
      <w:bookmarkStart w:id="1" w:name="_Toc23372"/>
      <w:bookmarkStart w:id="2" w:name="_Toc2731"/>
      <w:bookmarkStart w:id="3" w:name="_Toc5862"/>
      <w:bookmarkStart w:id="4" w:name="_Toc4903"/>
      <w:bookmarkStart w:id="5" w:name="_Toc19514"/>
      <w:bookmarkStart w:id="6" w:name="_Toc2602"/>
      <w:bookmarkStart w:id="7" w:name="_Toc14132"/>
      <w:bookmarkStart w:id="8" w:name="_Toc12417"/>
      <w:bookmarkStart w:id="9" w:name="_Toc29372"/>
      <w:bookmarkStart w:id="10" w:name="_Toc18726"/>
      <w:bookmarkStart w:id="11" w:name="_Toc11707"/>
      <w:r>
        <w:rPr>
          <w:rFonts w:hint="eastAsia" w:ascii="仿宋_GB2312" w:hAnsi="仿宋_GB2312" w:eastAsia="仿宋_GB2312" w:cs="仿宋_GB2312"/>
          <w:b w:val="0"/>
          <w:bCs w:val="0"/>
          <w:kern w:val="2"/>
          <w:sz w:val="32"/>
          <w:szCs w:val="32"/>
        </w:rPr>
        <w:t>一、基本情况</w:t>
      </w:r>
      <w:bookmarkEnd w:id="0"/>
      <w:bookmarkEnd w:id="1"/>
      <w:bookmarkEnd w:id="2"/>
      <w:bookmarkEnd w:id="3"/>
      <w:bookmarkEnd w:id="4"/>
      <w:bookmarkEnd w:id="5"/>
      <w:bookmarkEnd w:id="6"/>
      <w:bookmarkEnd w:id="7"/>
      <w:bookmarkEnd w:id="8"/>
      <w:bookmarkEnd w:id="9"/>
      <w:bookmarkEnd w:id="10"/>
      <w:bookmarkEnd w:id="11"/>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立项背景及目的</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民健康是国家综合实力的重要体现，是经济社会发展进步的重要标志。《中华人民共和国体育法》要求：“体育工作坚持以开展全民健身活动为基础，实行普及与提高相结合，促进各类体育协调发展。”为了促进公共文化体育设施的建设，加强对公共文化体育设施的管理和保护，充分发挥公共文化体育设施的功能，繁荣文化体育事业，满足人民群众开展文化体育活动的基本需求。《公共文化体育设施条例》提出：“公共文化体育设施管理单位应当完善服务条件，建立、健全服务规范，开展与公共文化体育设施功能、特点相适应的服务，保障公共文化体育设施，用于开展文明、健康的文化体育活动。”</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伊金霍洛旗全民健身体育活动中心建筑占地6700平方米，建筑总高23.98米，总建筑面积38600平方米，其中地下9600平方米，地上29000平方米。分为比赛馆和训练馆。一层的比赛馆可供篮球、排球、手球、乒乓球、羽毛球、体操等运动项目比赛使用，观众坐席4408座，其中一层可以伸缩的活动座椅1696座，二层蓝白相间的固定座椅2712座。二层设计为公众休闲娱乐馆，设有多媒体中心、健身馆、桌球室等活动馆10类17处，暂为伊金霍洛旗文化馆的工作区域。三层的训练馆设有篮球、乒乓球、羽毛球、网球和排球等球类训练场地26处，体操训练场地1处。此活动中心地下一层为游泳馆看台；地下二层为游泳馆和保龄球馆，其中25米×50米的标准游泳池可以承揽国家级的各类比赛，观众坐席约616座。整个场馆可容纳观众人数为5000余人。该活动中心还有三大特点：独特的铝管幕墙建筑外形属目前国内第一；43米大悬挑空间钢结构上的两层活动场馆也属国际领先水平；71.2米的大跨度双索膜、保温、透光的膜结构也属国内第一。可以说，整个活动中心的设计、施工和管理难度均达到了国内领先水平，是建筑的结晶。活动中心自投入使用以来，已成功举办了多项国内、国际赛事。2012年8月28日“鄂尔多斯国际拳击挑战赛”在此成功举办，同时，国家体育总局授予此活动中心为“国家拳击跆拳道训练基地”；9月2日“首届中国马术大赛新闻发布会”在此隆重召开；2012年9月份以来，已成功举办了十多场各类大大小小的“361°乒乓球超级联赛”；今年3月份，“直通巴黎中国乒乓球女队选拔赛”也在此成功举办。该活动中心的建成为伊金霍洛旗全民健身事业的发展起到了提升和促进作用，也为伊金霍洛旗的体育事业奠定了基础。运营后的活动中心将以政府补贴市场化运作的模式进行使用。</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伊金霍洛旗体育事业发展中心为了使全民健身体育活动中心能够正常运营，更好的服务群众。向旗人民政府申请150万元，主要用于全民健身体育活动中心设备采购、设施改造、场馆人员劳务、能耗费用等维修维护运营费用，以及与鄂尔多斯市众康体育文化有限责任公司解除运营协议费用。</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主要内容及实施情况</w:t>
      </w:r>
    </w:p>
    <w:p>
      <w:pPr>
        <w:pStyle w:val="8"/>
        <w:pageBreakBefore w:val="0"/>
        <w:widowControl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8月18日，伊金霍洛旗体育事业发展中心召开专题会议，研究与鄂尔多斯市众康体育文化传播有限公司解除协议后，全民健身体育活动中心委托经营的相关事宜。决定委托鄂尔多斯市立育服务有限责任公司子公司优教谷培训学校有限责任公司临时运营管理全民健身活动中心，临时运营管理期间每月支付鄂尔多斯市立育服务有限责任公司子公司优教谷培训学校有限责任公司10万元场馆运营费。场馆运营费主要用于：支付所有人员工资及消防安全、设备设施维护（费用1000元以下）及年检、商业保险及维护场馆日常运用的其他费用。在委托运营管理期间，体育事业发展中心承担全民健身体育活动中心供暖费、水费、电费、天然气等费用。于2020年8月20日办理所有移交事宜，2020年8月31日与鄂尔多斯市优教谷培训学校有限责任公司签订合同。</w:t>
      </w:r>
    </w:p>
    <w:p>
      <w:pPr>
        <w:pStyle w:val="8"/>
        <w:pageBreakBefore w:val="0"/>
        <w:widowControl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2021年3月17日，伊金霍洛旗体育事业发展中心向旗人民政府提出申请，2021年5月10日体育事业发展中心向旗财政局请领了专项资金。</w:t>
      </w:r>
    </w:p>
    <w:p>
      <w:pPr>
        <w:pStyle w:val="8"/>
        <w:pageBreakBefore w:val="0"/>
        <w:widowControl w:val="0"/>
        <w:kinsoku/>
        <w:wordWrap/>
        <w:overflowPunct/>
        <w:topLinePunct w:val="0"/>
        <w:autoSpaceDE/>
        <w:autoSpaceDN/>
        <w:bidi w:val="0"/>
        <w:adjustRightInd w:val="0"/>
        <w:snapToGrid w:val="0"/>
        <w:spacing w:line="520" w:lineRule="exact"/>
        <w:ind w:firstLine="56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委托运营管理期间，体育事业发展中心组织实施了抢修暖气管道及维修摄像头路线、配电中心测试试验、电梯年检、电梯保养、更换游泳馆地胶、木地板维修、检修灭火器、购买信息处理主机、消防管道和中水管道改造咨询、信息技术改造、服务软件维修等。</w:t>
      </w:r>
    </w:p>
    <w:p>
      <w:pPr>
        <w:pStyle w:val="4"/>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bookmarkStart w:id="12" w:name="_Toc15227"/>
      <w:bookmarkStart w:id="13" w:name="_Toc17889"/>
      <w:bookmarkStart w:id="14" w:name="_Toc6833"/>
      <w:bookmarkStart w:id="15" w:name="_Toc6652"/>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w:t>
      </w:r>
      <w:bookmarkEnd w:id="12"/>
      <w:r>
        <w:rPr>
          <w:rFonts w:hint="eastAsia" w:ascii="仿宋_GB2312" w:hAnsi="仿宋_GB2312" w:eastAsia="仿宋_GB2312" w:cs="仿宋_GB2312"/>
          <w:b w:val="0"/>
          <w:bCs w:val="0"/>
          <w:sz w:val="32"/>
          <w:szCs w:val="32"/>
        </w:rPr>
        <w:t>综合评价分析情况及评价结论</w:t>
      </w:r>
      <w:bookmarkEnd w:id="13"/>
      <w:bookmarkEnd w:id="14"/>
      <w:bookmarkEnd w:id="15"/>
    </w:p>
    <w:p>
      <w:pPr>
        <w:pStyle w:val="5"/>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16" w:name="_Toc438552074"/>
      <w:bookmarkStart w:id="17" w:name="_Toc438552132"/>
      <w:bookmarkStart w:id="18" w:name="_Toc464"/>
      <w:bookmarkStart w:id="19" w:name="_Toc31667"/>
      <w:bookmarkStart w:id="20" w:name="_Toc26536"/>
      <w:r>
        <w:rPr>
          <w:rFonts w:hint="eastAsia" w:ascii="仿宋_GB2312" w:hAnsi="仿宋_GB2312" w:eastAsia="仿宋_GB2312" w:cs="仿宋_GB2312"/>
          <w:b w:val="0"/>
          <w:bCs w:val="0"/>
          <w:sz w:val="32"/>
          <w:szCs w:val="32"/>
        </w:rPr>
        <w:t>（一）</w:t>
      </w:r>
      <w:bookmarkEnd w:id="16"/>
      <w:bookmarkEnd w:id="17"/>
      <w:r>
        <w:rPr>
          <w:rFonts w:hint="eastAsia" w:ascii="仿宋_GB2312" w:hAnsi="仿宋_GB2312" w:eastAsia="仿宋_GB2312" w:cs="仿宋_GB2312"/>
          <w:b w:val="0"/>
          <w:bCs w:val="0"/>
          <w:sz w:val="32"/>
          <w:szCs w:val="32"/>
        </w:rPr>
        <w:t>综合评价分析情况</w:t>
      </w:r>
      <w:bookmarkEnd w:id="18"/>
      <w:bookmarkEnd w:id="19"/>
      <w:bookmarkEnd w:id="20"/>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伊金霍洛旗体育事业发展中心2021年全民健身体育活动中心补贴项目总体绩效情况为优，项目决策方面，项目立项依据充分、立项程序规范；项目过程方面，各项管理制度健全；项目产出方面，数量指标、质量指标、时效指标、成本指标实现程度高；项目效益方面，社会效益、可持续影响指标较高，服务对象满意度较高。但该项目存在目标编制不够合理、缺少项目预算测算依据、资金分配不够合理、资金使用不规范、缺乏制度执行有效性的问题。</w:t>
      </w:r>
    </w:p>
    <w:p>
      <w:pPr>
        <w:pStyle w:val="5"/>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21" w:name="_Toc30191"/>
      <w:bookmarkStart w:id="22" w:name="_Toc2160"/>
      <w:bookmarkStart w:id="23" w:name="_Toc14280"/>
      <w:r>
        <w:rPr>
          <w:rFonts w:hint="eastAsia" w:ascii="仿宋_GB2312" w:hAnsi="仿宋_GB2312" w:eastAsia="仿宋_GB2312" w:cs="仿宋_GB2312"/>
          <w:b w:val="0"/>
          <w:bCs w:val="0"/>
          <w:sz w:val="32"/>
          <w:szCs w:val="32"/>
        </w:rPr>
        <w:t>（二）评价结论</w:t>
      </w:r>
      <w:bookmarkEnd w:id="21"/>
      <w:bookmarkEnd w:id="22"/>
      <w:bookmarkEnd w:id="23"/>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运用由项目组设计并经相关部门确认的评价指标体系及评分标准，通过数据采集、问卷调查及访谈，对伊金霍洛旗体育事业发展中心2021年全民健身体育活动中心补贴项目绩效进行客观评价，最终评分结果为90.16分，绩效评级为“优”。</w:t>
      </w: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pacing w:val="-11"/>
          <w:sz w:val="32"/>
          <w:szCs w:val="32"/>
        </w:rPr>
      </w:pPr>
      <w:r>
        <w:rPr>
          <w:rFonts w:hint="eastAsia" w:ascii="仿宋_GB2312" w:hAnsi="仿宋_GB2312" w:eastAsia="仿宋_GB2312" w:cs="仿宋_GB2312"/>
          <w:b w:val="0"/>
          <w:bCs w:val="0"/>
          <w:spacing w:val="-11"/>
          <w:sz w:val="28"/>
          <w:szCs w:val="28"/>
        </w:rPr>
        <w:t>2021年全民健身体育活动中心补贴项目</w:t>
      </w:r>
      <w:r>
        <w:rPr>
          <w:rFonts w:hint="eastAsia" w:ascii="仿宋_GB2312" w:hAnsi="仿宋_GB2312" w:eastAsia="仿宋_GB2312" w:cs="仿宋_GB2312"/>
          <w:b w:val="0"/>
          <w:bCs w:val="0"/>
          <w:spacing w:val="-17"/>
          <w:sz w:val="28"/>
          <w:szCs w:val="28"/>
        </w:rPr>
        <w:t>绩效评分汇总表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547"/>
        <w:gridCol w:w="1455"/>
        <w:gridCol w:w="144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 标</w:t>
            </w:r>
          </w:p>
        </w:tc>
        <w:tc>
          <w:tcPr>
            <w:tcW w:w="1421"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项目决策类</w:t>
            </w:r>
          </w:p>
        </w:tc>
        <w:tc>
          <w:tcPr>
            <w:tcW w:w="1547"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项目过程类</w:t>
            </w:r>
          </w:p>
        </w:tc>
        <w:tc>
          <w:tcPr>
            <w:tcW w:w="1455"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项目产出类</w:t>
            </w:r>
          </w:p>
        </w:tc>
        <w:tc>
          <w:tcPr>
            <w:tcW w:w="1440"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项目效益类</w:t>
            </w:r>
          </w:p>
        </w:tc>
        <w:tc>
          <w:tcPr>
            <w:tcW w:w="1238" w:type="dxa"/>
            <w:tcBorders>
              <w:top w:val="single" w:color="auto" w:sz="4" w:space="0"/>
            </w:tcBorders>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权 重</w:t>
            </w:r>
          </w:p>
        </w:tc>
        <w:tc>
          <w:tcPr>
            <w:tcW w:w="1421"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w:t>
            </w:r>
          </w:p>
        </w:tc>
        <w:tc>
          <w:tcPr>
            <w:tcW w:w="1547"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w:t>
            </w:r>
          </w:p>
        </w:tc>
        <w:tc>
          <w:tcPr>
            <w:tcW w:w="1455"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30</w:t>
            </w:r>
          </w:p>
        </w:tc>
        <w:tc>
          <w:tcPr>
            <w:tcW w:w="1440"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30</w:t>
            </w:r>
          </w:p>
        </w:tc>
        <w:tc>
          <w:tcPr>
            <w:tcW w:w="1238"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得 分</w:t>
            </w:r>
          </w:p>
        </w:tc>
        <w:tc>
          <w:tcPr>
            <w:tcW w:w="1421"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14.5</w:t>
            </w:r>
          </w:p>
        </w:tc>
        <w:tc>
          <w:tcPr>
            <w:tcW w:w="1547"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17</w:t>
            </w:r>
          </w:p>
        </w:tc>
        <w:tc>
          <w:tcPr>
            <w:tcW w:w="1455"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30</w:t>
            </w:r>
          </w:p>
        </w:tc>
        <w:tc>
          <w:tcPr>
            <w:tcW w:w="1440"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28.66</w:t>
            </w:r>
          </w:p>
        </w:tc>
        <w:tc>
          <w:tcPr>
            <w:tcW w:w="1238" w:type="dxa"/>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90.16</w:t>
            </w:r>
          </w:p>
        </w:tc>
      </w:tr>
    </w:tbl>
    <w:p>
      <w:pPr>
        <w:pStyle w:val="4"/>
        <w:keepNext w:val="0"/>
        <w:keepLines w:val="0"/>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bookmarkStart w:id="24" w:name="_Toc19558"/>
      <w:bookmarkStart w:id="25" w:name="_Toc8287"/>
      <w:bookmarkStart w:id="26" w:name="_Toc9121"/>
      <w:bookmarkStart w:id="27" w:name="_Toc30617"/>
      <w:bookmarkStart w:id="28" w:name="_Toc13315"/>
      <w:bookmarkStart w:id="29" w:name="_Toc29369"/>
      <w:bookmarkStart w:id="30" w:name="_Toc28640"/>
      <w:bookmarkStart w:id="31" w:name="_Toc32394"/>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、主要经验及做法、存在的问题</w:t>
      </w:r>
      <w:bookmarkEnd w:id="24"/>
      <w:bookmarkEnd w:id="25"/>
      <w:bookmarkEnd w:id="26"/>
      <w:bookmarkEnd w:id="27"/>
      <w:bookmarkEnd w:id="28"/>
      <w:r>
        <w:rPr>
          <w:rFonts w:hint="eastAsia" w:ascii="仿宋_GB2312" w:hAnsi="仿宋_GB2312" w:eastAsia="仿宋_GB2312" w:cs="仿宋_GB2312"/>
          <w:b w:val="0"/>
          <w:bCs w:val="0"/>
          <w:sz w:val="32"/>
          <w:szCs w:val="32"/>
        </w:rPr>
        <w:t>及原因分析</w:t>
      </w:r>
      <w:bookmarkEnd w:id="29"/>
      <w:bookmarkEnd w:id="30"/>
      <w:bookmarkEnd w:id="31"/>
    </w:p>
    <w:p>
      <w:pPr>
        <w:pStyle w:val="5"/>
        <w:keepNext w:val="0"/>
        <w:keepLines w:val="0"/>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32" w:name="_Toc438552078"/>
      <w:bookmarkStart w:id="33" w:name="_Toc438552136"/>
      <w:bookmarkStart w:id="34" w:name="_Toc18071"/>
      <w:bookmarkStart w:id="35" w:name="_Toc28116"/>
      <w:bookmarkStart w:id="36" w:name="_Toc9899"/>
      <w:bookmarkStart w:id="37" w:name="_Toc15742"/>
      <w:bookmarkStart w:id="38" w:name="_Toc8431"/>
      <w:bookmarkStart w:id="39" w:name="_Toc6499"/>
      <w:bookmarkStart w:id="40" w:name="_Toc24400"/>
      <w:bookmarkStart w:id="41" w:name="_Toc4328"/>
      <w:r>
        <w:rPr>
          <w:rFonts w:hint="eastAsia" w:ascii="仿宋_GB2312" w:hAnsi="仿宋_GB2312" w:eastAsia="仿宋_GB2312" w:cs="仿宋_GB2312"/>
          <w:b w:val="0"/>
          <w:bCs w:val="0"/>
          <w:sz w:val="32"/>
          <w:szCs w:val="32"/>
        </w:rPr>
        <w:t>（一）</w:t>
      </w:r>
      <w:bookmarkEnd w:id="32"/>
      <w:bookmarkEnd w:id="33"/>
      <w:r>
        <w:rPr>
          <w:rFonts w:hint="eastAsia" w:ascii="仿宋_GB2312" w:hAnsi="仿宋_GB2312" w:eastAsia="仿宋_GB2312" w:cs="仿宋_GB2312"/>
          <w:b w:val="0"/>
          <w:bCs w:val="0"/>
          <w:sz w:val="32"/>
          <w:szCs w:val="32"/>
        </w:rPr>
        <w:t>主要经验及做法</w:t>
      </w:r>
      <w:bookmarkEnd w:id="34"/>
      <w:bookmarkEnd w:id="35"/>
      <w:bookmarkEnd w:id="36"/>
      <w:bookmarkEnd w:id="37"/>
      <w:bookmarkEnd w:id="38"/>
      <w:bookmarkEnd w:id="39"/>
      <w:bookmarkEnd w:id="40"/>
      <w:bookmarkEnd w:id="41"/>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多种形式相结合，提升市民关注度，打造体育欢乐嘉年华</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伊金霍洛旗通过举办了多项国内、国际赛事、市民业余比赛等方式，将业余赛事与国际大赛相结合、将全民健身与竞技体育相结合、将草根体育与职业体育相结合，起到提高群众对市民运动会的关注度的效果。另外，在注重满足大众项目需求的同时，兼顾提升小众项目的参与度，办出了伊金霍洛旗体育特色与风采，打造出体育欢乐嘉年华。</w:t>
      </w:r>
    </w:p>
    <w:p>
      <w:pPr>
        <w:pStyle w:val="5"/>
        <w:keepNext w:val="0"/>
        <w:keepLines w:val="0"/>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bookmarkStart w:id="42" w:name="_Toc438552079"/>
      <w:bookmarkStart w:id="43" w:name="_Toc438552137"/>
      <w:bookmarkStart w:id="44" w:name="_Toc26378"/>
      <w:bookmarkStart w:id="45" w:name="_Toc9717981"/>
      <w:bookmarkStart w:id="46" w:name="_Toc20666"/>
      <w:bookmarkStart w:id="47" w:name="_Toc11721"/>
      <w:bookmarkStart w:id="48" w:name="_Toc11669"/>
      <w:bookmarkStart w:id="49" w:name="_Toc24677"/>
      <w:bookmarkStart w:id="50" w:name="_Toc20929"/>
      <w:bookmarkStart w:id="51" w:name="_Toc5712"/>
      <w:r>
        <w:rPr>
          <w:rFonts w:hint="eastAsia" w:ascii="仿宋_GB2312" w:hAnsi="仿宋_GB2312" w:eastAsia="仿宋_GB2312" w:cs="仿宋_GB2312"/>
          <w:b w:val="0"/>
          <w:bCs w:val="0"/>
          <w:sz w:val="32"/>
          <w:szCs w:val="32"/>
        </w:rPr>
        <w:t>（二）</w:t>
      </w:r>
      <w:bookmarkEnd w:id="42"/>
      <w:bookmarkEnd w:id="43"/>
      <w:r>
        <w:rPr>
          <w:rFonts w:hint="eastAsia" w:ascii="仿宋_GB2312" w:hAnsi="仿宋_GB2312" w:eastAsia="仿宋_GB2312" w:cs="仿宋_GB2312"/>
          <w:b w:val="0"/>
          <w:bCs w:val="0"/>
          <w:sz w:val="32"/>
          <w:szCs w:val="32"/>
        </w:rPr>
        <w:t>存在的问题</w:t>
      </w:r>
      <w:bookmarkEnd w:id="44"/>
      <w:bookmarkEnd w:id="45"/>
      <w:bookmarkEnd w:id="46"/>
      <w:bookmarkEnd w:id="47"/>
      <w:bookmarkEnd w:id="48"/>
      <w:r>
        <w:rPr>
          <w:rFonts w:hint="eastAsia" w:ascii="仿宋_GB2312" w:hAnsi="仿宋_GB2312" w:eastAsia="仿宋_GB2312" w:cs="仿宋_GB2312"/>
          <w:b w:val="0"/>
          <w:bCs w:val="0"/>
          <w:sz w:val="32"/>
          <w:szCs w:val="32"/>
        </w:rPr>
        <w:t>及原因分析</w:t>
      </w:r>
      <w:bookmarkEnd w:id="49"/>
      <w:bookmarkEnd w:id="50"/>
      <w:bookmarkEnd w:id="51"/>
    </w:p>
    <w:p>
      <w:pPr>
        <w:pStyle w:val="2"/>
        <w:pageBreakBefore w:val="0"/>
        <w:widowControl w:val="0"/>
        <w:kinsoku/>
        <w:wordWrap/>
        <w:overflowPunct/>
        <w:topLinePunct w:val="0"/>
        <w:autoSpaceDE/>
        <w:autoSpaceDN/>
        <w:bidi w:val="0"/>
        <w:adjustRightInd w:val="0"/>
        <w:snapToGrid w:val="0"/>
        <w:spacing w:after="0"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1.预算绩效管理工作有待进一步加强</w:t>
      </w:r>
    </w:p>
    <w:p>
      <w:pPr>
        <w:pStyle w:val="2"/>
        <w:pageBreakBefore w:val="0"/>
        <w:widowControl w:val="0"/>
        <w:kinsoku/>
        <w:wordWrap/>
        <w:overflowPunct/>
        <w:topLinePunct w:val="0"/>
        <w:autoSpaceDE/>
        <w:autoSpaceDN/>
        <w:bidi w:val="0"/>
        <w:adjustRightInd w:val="0"/>
        <w:snapToGrid w:val="0"/>
        <w:spacing w:after="0"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一是项目绩效目标、绩效指标设定不合理。项目绩效目标细化分解为具体的绩效指标；但不能够</w:t>
      </w:r>
      <w:r>
        <w:rPr>
          <w:rFonts w:hint="eastAsia" w:ascii="仿宋_GB2312" w:hAnsi="仿宋_GB2312" w:eastAsia="仿宋_GB2312" w:cs="仿宋_GB2312"/>
          <w:b w:val="0"/>
          <w:bCs w:val="0"/>
          <w:sz w:val="32"/>
          <w:szCs w:val="32"/>
          <w:lang w:val="en-US" w:eastAsia="zh-CN"/>
        </w:rPr>
        <w:t>将</w:t>
      </w:r>
      <w:r>
        <w:rPr>
          <w:rFonts w:hint="eastAsia" w:ascii="仿宋_GB2312" w:hAnsi="仿宋_GB2312" w:eastAsia="仿宋_GB2312" w:cs="仿宋_GB2312"/>
          <w:b w:val="0"/>
          <w:bCs w:val="0"/>
          <w:sz w:val="32"/>
          <w:szCs w:val="32"/>
        </w:rPr>
        <w:t>清晰、可衡量的指标值予以体现，部分指标与项目目标任务数不相对应；如数量指标、成本指标设置不够细化量化，数量指标中缺少设备采购、临时委托经营管理单位数量、供暖面积；成本指标中设置了运营费和维护费，未按照申请资金文件对成本进行量化；满意度指标中设置了群众满意度和青少年满意度，群众</w:t>
      </w:r>
      <w:r>
        <w:rPr>
          <w:rFonts w:hint="eastAsia" w:ascii="仿宋_GB2312" w:hAnsi="仿宋_GB2312" w:cs="仿宋_GB2312"/>
          <w:b w:val="0"/>
          <w:bCs w:val="0"/>
          <w:sz w:val="32"/>
          <w:szCs w:val="32"/>
          <w:lang w:eastAsia="zh-CN"/>
        </w:rPr>
        <w:t>中</w:t>
      </w:r>
      <w:r>
        <w:rPr>
          <w:rFonts w:hint="eastAsia" w:ascii="仿宋_GB2312" w:hAnsi="仿宋_GB2312" w:eastAsia="仿宋_GB2312" w:cs="仿宋_GB2312"/>
          <w:b w:val="0"/>
          <w:bCs w:val="0"/>
          <w:sz w:val="32"/>
          <w:szCs w:val="32"/>
        </w:rPr>
        <w:t>包含青少年，不能反映项目具体任务计划的执行情况。二是项目绩效目标表与自评表不一致。如绩效目标表设置</w:t>
      </w:r>
      <w:r>
        <w:rPr>
          <w:rFonts w:hint="eastAsia" w:ascii="仿宋_GB2312" w:hAnsi="仿宋_GB2312" w:cs="仿宋_GB2312"/>
          <w:b w:val="0"/>
          <w:bCs w:val="0"/>
          <w:sz w:val="32"/>
          <w:szCs w:val="32"/>
          <w:lang w:eastAsia="zh-CN"/>
        </w:rPr>
        <w:t>的</w:t>
      </w:r>
      <w:r>
        <w:rPr>
          <w:rFonts w:hint="eastAsia" w:ascii="仿宋_GB2312" w:hAnsi="仿宋_GB2312" w:eastAsia="仿宋_GB2312" w:cs="仿宋_GB2312"/>
          <w:b w:val="0"/>
          <w:bCs w:val="0"/>
          <w:sz w:val="32"/>
          <w:szCs w:val="32"/>
        </w:rPr>
        <w:t>成本指标与自评表中成本指标</w:t>
      </w:r>
      <w:r>
        <w:rPr>
          <w:rFonts w:hint="eastAsia" w:ascii="仿宋_GB2312" w:hAnsi="仿宋_GB2312" w:cs="仿宋_GB2312"/>
          <w:b w:val="0"/>
          <w:bCs w:val="0"/>
          <w:sz w:val="32"/>
          <w:szCs w:val="32"/>
          <w:lang w:eastAsia="zh-CN"/>
        </w:rPr>
        <w:t>的</w:t>
      </w:r>
      <w:r>
        <w:rPr>
          <w:rFonts w:hint="eastAsia" w:ascii="仿宋_GB2312" w:hAnsi="仿宋_GB2312" w:eastAsia="仿宋_GB2312" w:cs="仿宋_GB2312"/>
          <w:b w:val="0"/>
          <w:bCs w:val="0"/>
          <w:sz w:val="32"/>
          <w:szCs w:val="32"/>
        </w:rPr>
        <w:t>指标值不一致；绩效目标中未设置经济效益指标，自评表中设置了经济效益指标；三是绩效自评工作不规范。填报自评表中未设置自评打分分值；自评报告内容过于简单，未对指标完成情况进行详细分析。</w:t>
      </w:r>
    </w:p>
    <w:p>
      <w:pPr>
        <w:pStyle w:val="2"/>
        <w:pageBreakBefore w:val="0"/>
        <w:widowControl w:val="0"/>
        <w:kinsoku/>
        <w:wordWrap/>
        <w:overflowPunct/>
        <w:topLinePunct w:val="0"/>
        <w:autoSpaceDE/>
        <w:autoSpaceDN/>
        <w:bidi w:val="0"/>
        <w:adjustRightInd w:val="0"/>
        <w:snapToGrid w:val="0"/>
        <w:spacing w:after="0" w:line="520" w:lineRule="exact"/>
        <w:ind w:firstLine="562"/>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2.预算额度测算依据不充分，资金分配额度不合理</w:t>
      </w:r>
      <w:r>
        <w:rPr>
          <w:rFonts w:hint="eastAsia" w:ascii="仿宋_GB2312" w:hAnsi="仿宋_GB2312" w:cs="仿宋_GB2312"/>
          <w:b w:val="0"/>
          <w:bCs w:val="0"/>
          <w:sz w:val="32"/>
          <w:szCs w:val="32"/>
          <w:lang w:eastAsia="zh-CN"/>
        </w:rPr>
        <w:t>。</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项目前期经过旗事业发展中心召开专题会议研究决定相关事宜，确定向旗政府申请资金，主要用于全民健身体育活动中心设备采购、设施改造、场馆人员劳务费、能耗费用等维修维护运营费用，以及与鄂尔多斯市众康体育文化有限责任公司解除运营协议费用，预算确定的项目资金量与工作任务相匹</w:t>
      </w:r>
      <w:r>
        <w:rPr>
          <w:rFonts w:hint="eastAsia" w:ascii="仿宋_GB2312" w:hAnsi="仿宋_GB2312" w:cs="仿宋_GB2312"/>
          <w:b w:val="0"/>
          <w:bCs w:val="0"/>
          <w:sz w:val="32"/>
          <w:szCs w:val="32"/>
          <w:lang w:eastAsia="zh-CN"/>
        </w:rPr>
        <w:t>配</w:t>
      </w:r>
      <w:r>
        <w:rPr>
          <w:rFonts w:hint="eastAsia" w:ascii="仿宋_GB2312" w:hAnsi="仿宋_GB2312" w:eastAsia="仿宋_GB2312" w:cs="仿宋_GB2312"/>
          <w:b w:val="0"/>
          <w:bCs w:val="0"/>
          <w:sz w:val="32"/>
          <w:szCs w:val="32"/>
        </w:rPr>
        <w:t>，但预算额度测算依据不够充分，缺少资金使用计划明细，资金分配不够合理。</w:t>
      </w:r>
    </w:p>
    <w:p>
      <w:pPr>
        <w:pStyle w:val="2"/>
        <w:pageBreakBefore w:val="0"/>
        <w:widowControl w:val="0"/>
        <w:numPr>
          <w:ilvl w:val="255"/>
          <w:numId w:val="0"/>
        </w:numPr>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3.资金使用不规范</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通过查阅凭证，项目单位存在资金使用不规范</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情况，主要是未严格按照会计制度的规定，对项目资金专款专用，造成资金使用不规范，如支付电梯年检、电梯保养、检修灭火器、全民活动中心保险等费用。</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4.缺乏制度执行有效性</w:t>
      </w:r>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伊金霍洛旗体育事业发展中心</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rPr>
        <w:t>与鄂尔多斯市优教谷培训学校有限责任公司签订《伊金霍洛旗全民健身体育活动中心临时委托经营管理协议》中约定，在委托运营管理期间，体育事业发展中心承担全民健身体育活动中心供暖费、水费、电费、天然气等费用。通过查阅凭证，在委托运营管理期间，体育事业发展中心承担了电梯年检、电梯保养、检修灭火器、全民活动中心保险等费用，不符合合同约定事宜，因此缺乏制度执行有效性。</w:t>
      </w:r>
    </w:p>
    <w:p>
      <w:pPr>
        <w:pStyle w:val="4"/>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 w:val="0"/>
          <w:bCs w:val="0"/>
          <w:sz w:val="32"/>
          <w:szCs w:val="32"/>
        </w:rPr>
      </w:pPr>
      <w:bookmarkStart w:id="52" w:name="_Toc15360"/>
      <w:bookmarkStart w:id="53" w:name="_Toc1963"/>
      <w:bookmarkStart w:id="54" w:name="_Toc10414"/>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有关建议</w:t>
      </w:r>
      <w:bookmarkEnd w:id="52"/>
      <w:bookmarkEnd w:id="53"/>
      <w:bookmarkEnd w:id="54"/>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加强预算绩效管理，提高预算绩效管理工作质量</w:t>
      </w:r>
      <w:r>
        <w:rPr>
          <w:rFonts w:hint="eastAsia" w:ascii="仿宋_GB2312" w:hAnsi="仿宋_GB2312" w:cs="仿宋_GB2312"/>
          <w:b w:val="0"/>
          <w:bCs w:val="0"/>
          <w:sz w:val="32"/>
          <w:szCs w:val="32"/>
          <w:lang w:eastAsia="zh-CN"/>
        </w:rPr>
        <w:t>。</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首先，绩效目标是建设项目库、编制部门预算、实施项目绩效监控、开展项目绩效评价的基础和依据，因此项目单位要根据政府关于预算编制的总体要求和部署、国民经济和社会发展规划、部门职责及事业发展规划，科学合理的测算资金需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行编制项目绩效目标。同时项目绩效目标的设定工作要围绕项目具体情况开展，一是要对项目的功能进行梳理，明确该项目支出的功能特性。二是要依据该项目的功能特性，确定该项目所要实现的总体绩效目标，并以定量和定性相结合的方式进行表述。三是要把项目划分为若干子项目，在梳理各子项目的主要活动和预期及效果的基础上，归纳项目总体绩效目标。四是要将项目支出的总体目标进行细化分解，从中总结提炼出关键性指标，并将其确定为相应的绩效指标。</w:t>
      </w:r>
    </w:p>
    <w:p>
      <w:pPr>
        <w:pStyle w:val="2"/>
        <w:pageBreakBefore w:val="0"/>
        <w:widowControl w:val="0"/>
        <w:kinsoku/>
        <w:wordWrap/>
        <w:overflowPunct/>
        <w:topLinePunct w:val="0"/>
        <w:autoSpaceDE/>
        <w:autoSpaceDN/>
        <w:bidi w:val="0"/>
        <w:adjustRightInd w:val="0"/>
        <w:snapToGrid w:val="0"/>
        <w:spacing w:after="0" w:line="52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其次，预算部门要按照“谁使用、谁评价”的原则，建立健全项目绩效自评工作机制，如实反映绩效目标实现结果，对绩效目标未达成或目标制定明显不合理的，要作出说明</w:t>
      </w:r>
      <w:r>
        <w:rPr>
          <w:rFonts w:hint="eastAsia" w:ascii="仿宋_GB2312" w:hAnsi="仿宋_GB2312" w:cs="仿宋_GB2312"/>
          <w:b w:val="0"/>
          <w:bCs w:val="0"/>
          <w:sz w:val="32"/>
          <w:szCs w:val="32"/>
          <w:lang w:eastAsia="zh-CN"/>
        </w:rPr>
        <w:t>并</w:t>
      </w:r>
      <w:r>
        <w:rPr>
          <w:rFonts w:hint="eastAsia" w:ascii="仿宋_GB2312" w:hAnsi="仿宋_GB2312" w:eastAsia="仿宋_GB2312" w:cs="仿宋_GB2312"/>
          <w:b w:val="0"/>
          <w:bCs w:val="0"/>
          <w:sz w:val="32"/>
          <w:szCs w:val="32"/>
        </w:rPr>
        <w:t>提出改进措施，逐步推进单位整体绩效自评工作，提高单位履职效能和公共服务质量，建立健全绩效评价常态</w:t>
      </w:r>
      <w:r>
        <w:rPr>
          <w:rFonts w:hint="eastAsia" w:ascii="仿宋_GB2312" w:hAnsi="仿宋_GB2312" w:cs="仿宋_GB2312"/>
          <w:b w:val="0"/>
          <w:bCs w:val="0"/>
          <w:sz w:val="32"/>
          <w:szCs w:val="32"/>
          <w:lang w:eastAsia="zh-CN"/>
        </w:rPr>
        <w:t>化</w:t>
      </w:r>
      <w:r>
        <w:rPr>
          <w:rFonts w:hint="eastAsia" w:ascii="仿宋_GB2312" w:hAnsi="仿宋_GB2312" w:eastAsia="仿宋_GB2312" w:cs="仿宋_GB2312"/>
          <w:b w:val="0"/>
          <w:bCs w:val="0"/>
          <w:sz w:val="32"/>
          <w:szCs w:val="32"/>
        </w:rPr>
        <w:t>机制，不断完善预算绩效管理工作，提高绩效自评质量。</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（二）</w:t>
      </w:r>
      <w:r>
        <w:rPr>
          <w:rFonts w:hint="eastAsia" w:ascii="仿宋_GB2312" w:hAnsi="仿宋_GB2312" w:eastAsia="仿宋_GB2312" w:cs="仿宋_GB2312"/>
          <w:b w:val="0"/>
          <w:bCs w:val="0"/>
          <w:color w:val="000000"/>
          <w:kern w:val="0"/>
          <w:sz w:val="32"/>
          <w:szCs w:val="32"/>
          <w:lang w:bidi="ar"/>
        </w:rPr>
        <w:t>科学合理编制预算，提高项目预算质量</w:t>
      </w:r>
      <w:r>
        <w:rPr>
          <w:rFonts w:hint="eastAsia" w:ascii="仿宋_GB2312" w:hAnsi="仿宋_GB2312" w:cs="仿宋_GB2312"/>
          <w:b w:val="0"/>
          <w:bCs w:val="0"/>
          <w:color w:val="000000"/>
          <w:kern w:val="0"/>
          <w:sz w:val="32"/>
          <w:szCs w:val="32"/>
          <w:lang w:eastAsia="zh-CN" w:bidi="ar"/>
        </w:rPr>
        <w:t>。</w:t>
      </w:r>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一是加大力度做好预算编制基础工作，通过科学化、标准化、精细化编制预算，从源头上增强预算执行的刚性和效果。二是</w:t>
      </w:r>
      <w:r>
        <w:rPr>
          <w:rFonts w:hint="eastAsia" w:ascii="仿宋_GB2312" w:hAnsi="仿宋_GB2312" w:eastAsia="仿宋_GB2312" w:cs="仿宋_GB2312"/>
          <w:b w:val="0"/>
          <w:bCs w:val="0"/>
          <w:color w:val="000000"/>
          <w:kern w:val="0"/>
          <w:sz w:val="32"/>
          <w:szCs w:val="32"/>
          <w:lang w:val="en-US" w:eastAsia="zh-CN" w:bidi="ar"/>
        </w:rPr>
        <w:t xml:space="preserve">既 </w:t>
      </w:r>
      <w:r>
        <w:rPr>
          <w:rFonts w:hint="eastAsia" w:ascii="仿宋_GB2312" w:hAnsi="仿宋_GB2312" w:eastAsia="仿宋_GB2312" w:cs="仿宋_GB2312"/>
          <w:b w:val="0"/>
          <w:bCs w:val="0"/>
          <w:color w:val="000000"/>
          <w:kern w:val="0"/>
          <w:sz w:val="32"/>
          <w:szCs w:val="32"/>
          <w:lang w:bidi="ar"/>
        </w:rPr>
        <w:t>。</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（三）</w:t>
      </w:r>
      <w:r>
        <w:rPr>
          <w:rFonts w:hint="eastAsia" w:ascii="仿宋_GB2312" w:hAnsi="仿宋_GB2312" w:eastAsia="仿宋_GB2312" w:cs="仿宋_GB2312"/>
          <w:b w:val="0"/>
          <w:bCs w:val="0"/>
          <w:color w:val="000000"/>
          <w:kern w:val="0"/>
          <w:sz w:val="32"/>
          <w:szCs w:val="32"/>
          <w:lang w:bidi="ar"/>
        </w:rPr>
        <w:t>规范资金使用，提高资金使用效益</w:t>
      </w:r>
      <w:r>
        <w:rPr>
          <w:rFonts w:hint="eastAsia" w:ascii="仿宋_GB2312" w:hAnsi="仿宋_GB2312" w:cs="仿宋_GB2312"/>
          <w:b w:val="0"/>
          <w:bCs w:val="0"/>
          <w:color w:val="000000"/>
          <w:kern w:val="0"/>
          <w:sz w:val="32"/>
          <w:szCs w:val="32"/>
          <w:lang w:eastAsia="zh-CN" w:bidi="ar"/>
        </w:rPr>
        <w:t>。</w:t>
      </w:r>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建议专项资金要按照会计制度的要求，应明确项目专项资金的政策意图、资金类别和性质。严格按照规定用途使用资金，做到专款专用，不截留、挤占、挪用专项资金。切实规范专项资金的管理，有效发挥财政资金使用效益。</w:t>
      </w:r>
    </w:p>
    <w:p>
      <w:pPr>
        <w:pageBreakBefore w:val="0"/>
        <w:widowControl w:val="0"/>
        <w:kinsoku/>
        <w:wordWrap/>
        <w:overflowPunct/>
        <w:topLinePunct w:val="0"/>
        <w:autoSpaceDE/>
        <w:autoSpaceDN/>
        <w:bidi w:val="0"/>
        <w:adjustRightInd w:val="0"/>
        <w:snapToGrid w:val="0"/>
        <w:spacing w:line="520" w:lineRule="exact"/>
        <w:ind w:firstLine="562"/>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（四）</w:t>
      </w:r>
      <w:r>
        <w:rPr>
          <w:rFonts w:hint="eastAsia" w:ascii="仿宋_GB2312" w:hAnsi="仿宋_GB2312" w:eastAsia="仿宋_GB2312" w:cs="仿宋_GB2312"/>
          <w:b w:val="0"/>
          <w:bCs w:val="0"/>
          <w:color w:val="000000"/>
          <w:kern w:val="0"/>
          <w:sz w:val="32"/>
          <w:szCs w:val="32"/>
          <w:lang w:bidi="ar"/>
        </w:rPr>
        <w:t>加强项目管理，提升制度执行有效性</w:t>
      </w:r>
      <w:r>
        <w:rPr>
          <w:rFonts w:hint="eastAsia" w:ascii="仿宋_GB2312" w:hAnsi="仿宋_GB2312" w:cs="仿宋_GB2312"/>
          <w:b w:val="0"/>
          <w:bCs w:val="0"/>
          <w:color w:val="000000"/>
          <w:kern w:val="0"/>
          <w:sz w:val="32"/>
          <w:szCs w:val="32"/>
          <w:lang w:eastAsia="zh-CN" w:bidi="ar"/>
        </w:rPr>
        <w:t>。</w:t>
      </w:r>
    </w:p>
    <w:p>
      <w:pPr>
        <w:pageBreakBefore w:val="0"/>
        <w:widowControl w:val="0"/>
        <w:kinsoku/>
        <w:wordWrap/>
        <w:overflowPunct/>
        <w:topLinePunct w:val="0"/>
        <w:autoSpaceDE/>
        <w:autoSpaceDN/>
        <w:bidi w:val="0"/>
        <w:adjustRightInd w:val="0"/>
        <w:snapToGrid w:val="0"/>
        <w:spacing w:line="520" w:lineRule="exact"/>
        <w:ind w:firstLine="560"/>
        <w:textAlignment w:val="auto"/>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建议项目单位按照《伊金霍洛旗全民健身体育活动中心临时委托经营管理协议》所规定条款，严格执行合同约定事项，履行合同义务，确保项目实施的规范性，加强项目管理，提升制度执行有效性。</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8"/>
                      <w:ind w:firstLine="360"/>
                      <w:rPr>
                        <w:rFonts w:eastAsia="仿宋"/>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59521C11"/>
    <w:rsid w:val="00251C28"/>
    <w:rsid w:val="00284930"/>
    <w:rsid w:val="00365304"/>
    <w:rsid w:val="00516800"/>
    <w:rsid w:val="0060070D"/>
    <w:rsid w:val="00E91045"/>
    <w:rsid w:val="02D3447D"/>
    <w:rsid w:val="04C73501"/>
    <w:rsid w:val="059E4E59"/>
    <w:rsid w:val="07515A4C"/>
    <w:rsid w:val="08A95698"/>
    <w:rsid w:val="08EC10AF"/>
    <w:rsid w:val="09CB1601"/>
    <w:rsid w:val="09EF1A44"/>
    <w:rsid w:val="0C6C63DB"/>
    <w:rsid w:val="0FC71C54"/>
    <w:rsid w:val="0FDA5AAF"/>
    <w:rsid w:val="0FF2331C"/>
    <w:rsid w:val="1037079D"/>
    <w:rsid w:val="10971F9C"/>
    <w:rsid w:val="109A6D59"/>
    <w:rsid w:val="1254626D"/>
    <w:rsid w:val="16C60E1A"/>
    <w:rsid w:val="16E15F9A"/>
    <w:rsid w:val="18003D99"/>
    <w:rsid w:val="18730D89"/>
    <w:rsid w:val="191D43DC"/>
    <w:rsid w:val="19F151FD"/>
    <w:rsid w:val="1BF654A9"/>
    <w:rsid w:val="1CCC467A"/>
    <w:rsid w:val="1DE40BDA"/>
    <w:rsid w:val="1E620301"/>
    <w:rsid w:val="1FBB647C"/>
    <w:rsid w:val="20B844F9"/>
    <w:rsid w:val="220740B8"/>
    <w:rsid w:val="22852193"/>
    <w:rsid w:val="24187183"/>
    <w:rsid w:val="251A4833"/>
    <w:rsid w:val="253A088C"/>
    <w:rsid w:val="258859BB"/>
    <w:rsid w:val="275777D1"/>
    <w:rsid w:val="2A1E680A"/>
    <w:rsid w:val="2AB202CA"/>
    <w:rsid w:val="2B170B6E"/>
    <w:rsid w:val="2C272ADD"/>
    <w:rsid w:val="2CC62B63"/>
    <w:rsid w:val="2D3F1F5E"/>
    <w:rsid w:val="2D9F1D00"/>
    <w:rsid w:val="2DBD187C"/>
    <w:rsid w:val="2ED91C2F"/>
    <w:rsid w:val="32D65A84"/>
    <w:rsid w:val="336256B3"/>
    <w:rsid w:val="35B660C1"/>
    <w:rsid w:val="372C2F2C"/>
    <w:rsid w:val="38F92413"/>
    <w:rsid w:val="398441BB"/>
    <w:rsid w:val="3C0F3B74"/>
    <w:rsid w:val="3D9144E5"/>
    <w:rsid w:val="3E9E4BB6"/>
    <w:rsid w:val="40090BA9"/>
    <w:rsid w:val="42B03820"/>
    <w:rsid w:val="4347568C"/>
    <w:rsid w:val="43D22710"/>
    <w:rsid w:val="447C09BD"/>
    <w:rsid w:val="44AA0457"/>
    <w:rsid w:val="45E50AA8"/>
    <w:rsid w:val="46454997"/>
    <w:rsid w:val="476B783C"/>
    <w:rsid w:val="47710B9B"/>
    <w:rsid w:val="4A156903"/>
    <w:rsid w:val="4A4B68CE"/>
    <w:rsid w:val="4C1372E7"/>
    <w:rsid w:val="4D207DC8"/>
    <w:rsid w:val="4D224BEE"/>
    <w:rsid w:val="4D5C3CD9"/>
    <w:rsid w:val="4DBA6291"/>
    <w:rsid w:val="4F22792C"/>
    <w:rsid w:val="4F6E1837"/>
    <w:rsid w:val="4F95500A"/>
    <w:rsid w:val="50DD5915"/>
    <w:rsid w:val="51A258E6"/>
    <w:rsid w:val="51B17308"/>
    <w:rsid w:val="5307380E"/>
    <w:rsid w:val="530C74BB"/>
    <w:rsid w:val="535F6445"/>
    <w:rsid w:val="53F37B20"/>
    <w:rsid w:val="541326B3"/>
    <w:rsid w:val="54AE3423"/>
    <w:rsid w:val="5616360D"/>
    <w:rsid w:val="56784085"/>
    <w:rsid w:val="593C3100"/>
    <w:rsid w:val="59521C11"/>
    <w:rsid w:val="5A33733B"/>
    <w:rsid w:val="5B7E66C9"/>
    <w:rsid w:val="5C796044"/>
    <w:rsid w:val="5FE569E8"/>
    <w:rsid w:val="604A1623"/>
    <w:rsid w:val="633F03AD"/>
    <w:rsid w:val="63D4445B"/>
    <w:rsid w:val="6484382A"/>
    <w:rsid w:val="64B50EC9"/>
    <w:rsid w:val="659659B4"/>
    <w:rsid w:val="66EE1EAE"/>
    <w:rsid w:val="670A6CE8"/>
    <w:rsid w:val="68545A49"/>
    <w:rsid w:val="69AA0848"/>
    <w:rsid w:val="6AAD45F7"/>
    <w:rsid w:val="6C926C46"/>
    <w:rsid w:val="6CFA2E68"/>
    <w:rsid w:val="6D65426F"/>
    <w:rsid w:val="6F962AC1"/>
    <w:rsid w:val="709F1F46"/>
    <w:rsid w:val="725456C1"/>
    <w:rsid w:val="725B32E7"/>
    <w:rsid w:val="727626E5"/>
    <w:rsid w:val="7330272F"/>
    <w:rsid w:val="75EC6A10"/>
    <w:rsid w:val="77F22CE0"/>
    <w:rsid w:val="78F25C1D"/>
    <w:rsid w:val="7A9902A2"/>
    <w:rsid w:val="7C1D5644"/>
    <w:rsid w:val="7D125E91"/>
    <w:rsid w:val="7D40373C"/>
    <w:rsid w:val="7D8D7FC8"/>
    <w:rsid w:val="7DE5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28"/>
      <w:szCs w:val="22"/>
      <w:lang w:val="en-US" w:eastAsia="zh-CN" w:bidi="ar-SA"/>
    </w:rPr>
  </w:style>
  <w:style w:type="paragraph" w:styleId="4">
    <w:name w:val="heading 1"/>
    <w:basedOn w:val="1"/>
    <w:next w:val="1"/>
    <w:qFormat/>
    <w:uiPriority w:val="9"/>
    <w:pPr>
      <w:keepNext/>
      <w:keepLines/>
      <w:outlineLvl w:val="0"/>
    </w:pPr>
    <w:rPr>
      <w:rFonts w:eastAsia="黑体"/>
      <w:bCs/>
      <w:kern w:val="44"/>
      <w:szCs w:val="44"/>
    </w:rPr>
  </w:style>
  <w:style w:type="paragraph" w:styleId="5">
    <w:name w:val="heading 2"/>
    <w:basedOn w:val="1"/>
    <w:next w:val="1"/>
    <w:qFormat/>
    <w:uiPriority w:val="9"/>
    <w:pPr>
      <w:keepNext/>
      <w:keepLines/>
      <w:outlineLvl w:val="1"/>
    </w:pPr>
    <w:rPr>
      <w:b/>
      <w:bCs/>
      <w:szCs w:val="32"/>
    </w:rPr>
  </w:style>
  <w:style w:type="paragraph" w:styleId="6">
    <w:name w:val="heading 3"/>
    <w:basedOn w:val="1"/>
    <w:next w:val="1"/>
    <w:qFormat/>
    <w:uiPriority w:val="9"/>
    <w:pPr>
      <w:keepNext/>
      <w:keepLines/>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9"/>
    <w:basedOn w:val="1"/>
    <w:next w:val="1"/>
    <w:qFormat/>
    <w:uiPriority w:val="0"/>
    <w:pPr>
      <w:ind w:left="1600" w:leftChars="16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styleId="18">
    <w:name w:val="List Paragraph"/>
    <w:basedOn w:val="1"/>
    <w:qFormat/>
    <w:uiPriority w:val="34"/>
    <w:pPr>
      <w:ind w:firstLine="420"/>
    </w:pPr>
  </w:style>
  <w:style w:type="character" w:customStyle="1" w:styleId="19">
    <w:name w:val="font11"/>
    <w:basedOn w:val="15"/>
    <w:qFormat/>
    <w:uiPriority w:val="0"/>
    <w:rPr>
      <w:rFonts w:hint="eastAsia" w:ascii="宋体" w:hAnsi="宋体" w:eastAsia="宋体" w:cs="宋体"/>
      <w:color w:val="000000"/>
      <w:sz w:val="24"/>
      <w:szCs w:val="24"/>
      <w:u w:val="none"/>
    </w:rPr>
  </w:style>
  <w:style w:type="paragraph" w:customStyle="1" w:styleId="20">
    <w:name w:val="制度名称"/>
    <w:basedOn w:val="1"/>
    <w:qFormat/>
    <w:uiPriority w:val="0"/>
    <w:pPr>
      <w:spacing w:before="240" w:after="240"/>
      <w:jc w:val="center"/>
      <w:outlineLvl w:val="0"/>
    </w:pPr>
    <w:rPr>
      <w:rFonts w:ascii="黑体" w:hAnsi="黑体" w:eastAsia="黑体"/>
      <w:b/>
      <w:sz w:val="36"/>
      <w:szCs w:val="36"/>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Revision"/>
    <w:hidden/>
    <w:semiHidden/>
    <w:qFormat/>
    <w:uiPriority w:val="99"/>
    <w:rPr>
      <w:rFonts w:ascii="Times New Roman" w:hAnsi="Times New Roman" w:eastAsia="仿宋_GB2312"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3988</Words>
  <Characters>4106</Characters>
  <Lines>200</Lines>
  <Paragraphs>56</Paragraphs>
  <TotalTime>73</TotalTime>
  <ScaleCrop>false</ScaleCrop>
  <LinksUpToDate>false</LinksUpToDate>
  <CharactersWithSpaces>4111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2021-09-23T08:09:00Z</dcterms:created>
  <dc:creator>Алкоголик</dc:creator>
  <cp:lastModifiedBy>杨勇</cp:lastModifiedBy>
  <dcterms:modified xsi:type="dcterms:W3CDTF">2023-01-19T10:29:34Z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FEDA606D6D2D4623B4856C4D57EEF184</vt:lpwstr>
  </property>
</Properties>
</file>