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156" w:beforeLines="50" w:line="360" w:lineRule="auto"/>
        <w:rPr>
          <w:rFonts w:hint="eastAsia" w:ascii="仿宋_GB2312" w:hAnsi="仿宋_GB2312" w:eastAsia="仿宋_GB2312" w:cs="仿宋_GB2312"/>
          <w:b w:val="0"/>
          <w:bCs/>
          <w:sz w:val="36"/>
          <w:szCs w:val="36"/>
          <w:lang w:bidi="ar"/>
        </w:rPr>
      </w:pPr>
    </w:p>
    <w:p>
      <w:pPr>
        <w:keepNext w:val="0"/>
        <w:keepLines w:val="0"/>
        <w:pageBreakBefore w:val="0"/>
        <w:widowControl/>
        <w:kinsoku/>
        <w:wordWrap/>
        <w:overflowPunct/>
        <w:topLinePunct w:val="0"/>
        <w:autoSpaceDE/>
        <w:autoSpaceDN/>
        <w:bidi w:val="0"/>
        <w:adjustRightInd w:val="0"/>
        <w:snapToGrid w:val="0"/>
        <w:spacing w:before="156" w:beforeLines="50" w:line="360" w:lineRule="auto"/>
        <w:rPr>
          <w:rFonts w:hint="eastAsia" w:ascii="仿宋_GB2312" w:hAnsi="仿宋_GB2312" w:eastAsia="仿宋_GB2312" w:cs="仿宋_GB2312"/>
          <w:b w:val="0"/>
          <w:bCs/>
          <w:sz w:val="36"/>
          <w:szCs w:val="36"/>
          <w:lang w:bidi="ar"/>
        </w:rPr>
      </w:pPr>
    </w:p>
    <w:p>
      <w:pPr>
        <w:keepNext w:val="0"/>
        <w:keepLines w:val="0"/>
        <w:pageBreakBefore w:val="0"/>
        <w:widowControl/>
        <w:kinsoku/>
        <w:wordWrap/>
        <w:overflowPunct/>
        <w:topLinePunct w:val="0"/>
        <w:autoSpaceDE/>
        <w:autoSpaceDN/>
        <w:bidi w:val="0"/>
        <w:adjustRightInd w:val="0"/>
        <w:snapToGrid w:val="0"/>
        <w:spacing w:before="156" w:beforeLines="50" w:line="360" w:lineRule="auto"/>
        <w:rPr>
          <w:rFonts w:hint="eastAsia" w:ascii="仿宋_GB2312" w:hAnsi="仿宋_GB2312" w:eastAsia="仿宋_GB2312" w:cs="仿宋_GB2312"/>
          <w:b w:val="0"/>
          <w:bCs/>
          <w:lang w:bidi="ar"/>
        </w:rPr>
      </w:pPr>
    </w:p>
    <w:p>
      <w:pPr>
        <w:keepNext w:val="0"/>
        <w:keepLines w:val="0"/>
        <w:pageBreakBefore w:val="0"/>
        <w:widowControl/>
        <w:kinsoku/>
        <w:wordWrap/>
        <w:overflowPunct/>
        <w:topLinePunct w:val="0"/>
        <w:autoSpaceDE/>
        <w:autoSpaceDN/>
        <w:bidi w:val="0"/>
        <w:adjustRightInd w:val="0"/>
        <w:snapToGrid w:val="0"/>
        <w:spacing w:before="156" w:beforeLines="50" w:line="520" w:lineRule="exact"/>
        <w:jc w:val="center"/>
        <w:textAlignment w:val="auto"/>
        <w:rPr>
          <w:rFonts w:hint="eastAsia" w:ascii="仿宋_GB2312" w:hAnsi="仿宋_GB2312" w:eastAsia="仿宋_GB2312" w:cs="仿宋_GB2312"/>
          <w:b w:val="0"/>
          <w:bCs/>
          <w:sz w:val="44"/>
          <w:szCs w:val="44"/>
          <w:lang w:bidi="ar"/>
        </w:rPr>
      </w:pPr>
      <w:r>
        <w:rPr>
          <w:rFonts w:hint="eastAsia" w:ascii="仿宋_GB2312" w:hAnsi="仿宋_GB2312" w:eastAsia="仿宋_GB2312" w:cs="仿宋_GB2312"/>
          <w:b w:val="0"/>
          <w:bCs/>
          <w:sz w:val="44"/>
          <w:szCs w:val="44"/>
          <w:lang w:bidi="ar"/>
        </w:rPr>
        <w:t>2021年度税务征收经费项目</w:t>
      </w:r>
    </w:p>
    <w:p>
      <w:pPr>
        <w:pStyle w:val="2"/>
        <w:keepNext w:val="0"/>
        <w:keepLines w:val="0"/>
        <w:pageBreakBefore w:val="0"/>
        <w:kinsoku/>
        <w:wordWrap/>
        <w:overflowPunct/>
        <w:topLinePunct w:val="0"/>
        <w:autoSpaceDE/>
        <w:autoSpaceDN/>
        <w:bidi w:val="0"/>
        <w:spacing w:line="520" w:lineRule="exact"/>
        <w:jc w:val="center"/>
        <w:textAlignment w:val="auto"/>
        <w:rPr>
          <w:rFonts w:hint="eastAsia" w:eastAsia="仿宋_GB2312"/>
          <w:lang w:eastAsia="zh-CN"/>
        </w:rPr>
      </w:pPr>
      <w:r>
        <w:rPr>
          <w:rFonts w:hint="eastAsia" w:ascii="仿宋_GB2312" w:hAnsi="仿宋_GB2312" w:eastAsia="仿宋_GB2312" w:cs="仿宋_GB2312"/>
          <w:b w:val="0"/>
          <w:bCs/>
          <w:sz w:val="44"/>
          <w:szCs w:val="44"/>
          <w:lang w:eastAsia="zh-CN" w:bidi="ar"/>
        </w:rPr>
        <w:t>绩</w:t>
      </w:r>
      <w:bookmarkStart w:id="44" w:name="_GoBack"/>
      <w:bookmarkEnd w:id="44"/>
      <w:r>
        <w:rPr>
          <w:rFonts w:hint="eastAsia" w:ascii="仿宋_GB2312" w:hAnsi="仿宋_GB2312" w:eastAsia="仿宋_GB2312" w:cs="仿宋_GB2312"/>
          <w:b w:val="0"/>
          <w:bCs/>
          <w:sz w:val="44"/>
          <w:szCs w:val="44"/>
          <w:lang w:eastAsia="zh-CN" w:bidi="ar"/>
        </w:rPr>
        <w:t>效评价简要报告</w:t>
      </w:r>
    </w:p>
    <w:p>
      <w:pPr>
        <w:pStyle w:val="2"/>
        <w:keepNext w:val="0"/>
        <w:keepLines w:val="0"/>
        <w:pageBreakBefore w:val="0"/>
        <w:kinsoku/>
        <w:wordWrap/>
        <w:overflowPunct/>
        <w:topLinePunct w:val="0"/>
        <w:autoSpaceDE/>
        <w:autoSpaceDN/>
        <w:bidi w:val="0"/>
        <w:adjustRightInd w:val="0"/>
        <w:snapToGrid w:val="0"/>
        <w:spacing w:line="360" w:lineRule="auto"/>
        <w:outlineLvl w:val="9"/>
        <w:rPr>
          <w:rFonts w:hint="eastAsia" w:ascii="仿宋_GB2312" w:hAnsi="仿宋_GB2312" w:eastAsia="仿宋_GB2312" w:cs="仿宋_GB2312"/>
          <w:b w:val="0"/>
          <w:bCs/>
        </w:rPr>
      </w:pPr>
    </w:p>
    <w:p>
      <w:pPr>
        <w:pStyle w:val="2"/>
        <w:keepNext w:val="0"/>
        <w:keepLines w:val="0"/>
        <w:pageBreakBefore w:val="0"/>
        <w:kinsoku/>
        <w:wordWrap/>
        <w:overflowPunct/>
        <w:topLinePunct w:val="0"/>
        <w:autoSpaceDE/>
        <w:autoSpaceDN/>
        <w:bidi w:val="0"/>
        <w:adjustRightInd w:val="0"/>
        <w:snapToGrid w:val="0"/>
        <w:spacing w:line="360" w:lineRule="auto"/>
        <w:outlineLvl w:val="9"/>
        <w:rPr>
          <w:rFonts w:hint="eastAsia" w:ascii="仿宋_GB2312" w:hAnsi="仿宋_GB2312" w:eastAsia="仿宋_GB2312" w:cs="仿宋_GB2312"/>
          <w:b w:val="0"/>
          <w:bCs/>
        </w:rPr>
      </w:pPr>
    </w:p>
    <w:p>
      <w:pPr>
        <w:keepNext w:val="0"/>
        <w:keepLines w:val="0"/>
        <w:pageBreakBefore w:val="0"/>
        <w:widowControl/>
        <w:kinsoku/>
        <w:wordWrap/>
        <w:overflowPunct/>
        <w:topLinePunct w:val="0"/>
        <w:autoSpaceDE/>
        <w:autoSpaceDN/>
        <w:bidi w:val="0"/>
        <w:adjustRightInd w:val="0"/>
        <w:snapToGrid w:val="0"/>
        <w:spacing w:before="156" w:beforeLines="50" w:after="156" w:afterLines="50" w:line="360" w:lineRule="auto"/>
        <w:jc w:val="center"/>
        <w:rPr>
          <w:rFonts w:hint="eastAsia" w:ascii="仿宋_GB2312" w:hAnsi="仿宋_GB2312" w:eastAsia="仿宋_GB2312" w:cs="仿宋_GB2312"/>
          <w:b w:val="0"/>
          <w:bCs/>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项目单位：</w:t>
      </w:r>
      <w:r>
        <w:rPr>
          <w:rFonts w:hint="eastAsia" w:ascii="仿宋_GB2312" w:hAnsi="仿宋_GB2312" w:eastAsia="仿宋_GB2312" w:cs="仿宋_GB2312"/>
          <w:b w:val="0"/>
          <w:bCs/>
          <w:sz w:val="32"/>
          <w:szCs w:val="32"/>
          <w:lang w:eastAsia="zh-CN"/>
        </w:rPr>
        <w:t>国家税务总局伊金霍洛旗税务局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委托部门：</w:t>
      </w:r>
      <w:r>
        <w:rPr>
          <w:rFonts w:hint="eastAsia" w:ascii="仿宋_GB2312" w:hAnsi="仿宋_GB2312" w:eastAsia="仿宋_GB2312" w:cs="仿宋_GB2312"/>
          <w:b w:val="0"/>
          <w:bCs/>
          <w:sz w:val="32"/>
          <w:szCs w:val="32"/>
          <w:lang w:val="en-US" w:eastAsia="zh-CN"/>
        </w:rPr>
        <w:t>伊金霍洛旗绩效评价税收服务中心</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评价机构：</w:t>
      </w:r>
      <w:r>
        <w:rPr>
          <w:rFonts w:hint="eastAsia" w:ascii="仿宋_GB2312" w:hAnsi="仿宋_GB2312" w:eastAsia="仿宋_GB2312" w:cs="仿宋_GB2312"/>
          <w:b w:val="0"/>
          <w:bCs/>
          <w:kern w:val="0"/>
          <w:sz w:val="32"/>
          <w:szCs w:val="32"/>
        </w:rPr>
        <w:t>内蒙古东衡政同咨询管理有限公司</w:t>
      </w:r>
    </w:p>
    <w:p>
      <w:pPr>
        <w:keepNext w:val="0"/>
        <w:keepLines w:val="0"/>
        <w:pageBreakBefore w:val="0"/>
        <w:widowControl/>
        <w:kinsoku/>
        <w:wordWrap/>
        <w:overflowPunct/>
        <w:topLinePunct w:val="0"/>
        <w:autoSpaceDE/>
        <w:autoSpaceDN/>
        <w:bidi w:val="0"/>
        <w:adjustRightInd w:val="0"/>
        <w:snapToGrid w:val="0"/>
        <w:spacing w:before="156" w:beforeLines="50" w:after="156" w:afterLines="50" w:line="360" w:lineRule="auto"/>
        <w:rPr>
          <w:rFonts w:hint="eastAsia" w:ascii="仿宋_GB2312" w:hAnsi="仿宋_GB2312" w:eastAsia="仿宋_GB2312" w:cs="仿宋_GB2312"/>
          <w:b w:val="0"/>
          <w:bCs/>
          <w:sz w:val="32"/>
          <w:szCs w:val="32"/>
        </w:rPr>
      </w:pPr>
    </w:p>
    <w:p>
      <w:pPr>
        <w:keepNext w:val="0"/>
        <w:keepLines w:val="0"/>
        <w:pageBreakBefore w:val="0"/>
        <w:widowControl/>
        <w:kinsoku/>
        <w:wordWrap/>
        <w:overflowPunct/>
        <w:topLinePunct w:val="0"/>
        <w:autoSpaceDE/>
        <w:autoSpaceDN/>
        <w:bidi w:val="0"/>
        <w:adjustRightInd w:val="0"/>
        <w:snapToGrid w:val="0"/>
        <w:spacing w:before="156" w:beforeLines="50" w:after="156" w:afterLines="50" w:line="360" w:lineRule="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b w:val="0"/>
          <w:bCs/>
        </w:rPr>
      </w:pPr>
    </w:p>
    <w:p>
      <w:pPr>
        <w:pStyle w:val="2"/>
        <w:rPr>
          <w:rFonts w:hint="eastAsia" w:ascii="仿宋_GB2312" w:hAnsi="仿宋_GB2312" w:eastAsia="仿宋_GB2312" w:cs="仿宋_GB2312"/>
          <w:b w:val="0"/>
          <w:bCs/>
        </w:rPr>
      </w:pPr>
    </w:p>
    <w:p>
      <w:pPr>
        <w:rPr>
          <w:rFonts w:hint="eastAsia" w:ascii="仿宋_GB2312" w:hAnsi="仿宋_GB2312" w:eastAsia="仿宋_GB2312" w:cs="仿宋_GB2312"/>
          <w:b w:val="0"/>
          <w:bCs/>
        </w:rPr>
      </w:pPr>
    </w:p>
    <w:p>
      <w:pPr>
        <w:pStyle w:val="2"/>
        <w:rPr>
          <w:rFonts w:hint="eastAsia" w:ascii="仿宋_GB2312" w:hAnsi="仿宋_GB2312" w:eastAsia="仿宋_GB2312" w:cs="仿宋_GB2312"/>
          <w:b w:val="0"/>
          <w:bCs/>
        </w:rPr>
      </w:pPr>
    </w:p>
    <w:p>
      <w:pPr>
        <w:rPr>
          <w:rFonts w:hint="eastAsia"/>
        </w:rPr>
      </w:pPr>
    </w:p>
    <w:p>
      <w:pPr>
        <w:keepNext w:val="0"/>
        <w:keepLines w:val="0"/>
        <w:pageBreakBefore w:val="0"/>
        <w:kinsoku/>
        <w:wordWrap/>
        <w:overflowPunct/>
        <w:topLinePunct w:val="0"/>
        <w:autoSpaceDE/>
        <w:autoSpaceDN/>
        <w:bidi w:val="0"/>
        <w:adjustRightInd w:val="0"/>
        <w:snapToGrid w:val="0"/>
        <w:spacing w:line="520" w:lineRule="exact"/>
        <w:jc w:val="center"/>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2021年度税务征收经费项目绩效评价</w:t>
      </w:r>
      <w:r>
        <w:rPr>
          <w:rFonts w:hint="eastAsia" w:ascii="仿宋_GB2312" w:hAnsi="仿宋_GB2312" w:eastAsia="仿宋_GB2312" w:cs="仿宋_GB2312"/>
          <w:b w:val="0"/>
          <w:bCs/>
          <w:kern w:val="0"/>
          <w:sz w:val="32"/>
          <w:szCs w:val="32"/>
          <w:lang w:eastAsia="zh-CN"/>
        </w:rPr>
        <w:t>简要</w:t>
      </w:r>
      <w:r>
        <w:rPr>
          <w:rFonts w:hint="eastAsia" w:ascii="仿宋_GB2312" w:hAnsi="仿宋_GB2312" w:eastAsia="仿宋_GB2312" w:cs="仿宋_GB2312"/>
          <w:b w:val="0"/>
          <w:bCs/>
          <w:kern w:val="0"/>
          <w:sz w:val="32"/>
          <w:szCs w:val="32"/>
        </w:rPr>
        <w:t>报告</w:t>
      </w:r>
    </w:p>
    <w:p>
      <w:pPr>
        <w:pStyle w:val="2"/>
        <w:keepNext w:val="0"/>
        <w:keepLines w:val="0"/>
        <w:pageBreakBefore w:val="0"/>
        <w:kinsoku/>
        <w:wordWrap/>
        <w:overflowPunct/>
        <w:topLinePunct w:val="0"/>
        <w:autoSpaceDE/>
        <w:autoSpaceDN/>
        <w:bidi w:val="0"/>
        <w:spacing w:before="0" w:after="0" w:line="520" w:lineRule="exact"/>
        <w:outlineLvl w:val="9"/>
        <w:rPr>
          <w:rFonts w:hint="eastAsia" w:ascii="仿宋_GB2312" w:hAnsi="仿宋_GB2312" w:eastAsia="仿宋_GB2312" w:cs="仿宋_GB2312"/>
          <w:b w:val="0"/>
          <w:bCs/>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0"/>
        <w:rPr>
          <w:rFonts w:hint="eastAsia" w:ascii="仿宋_GB2312" w:hAnsi="仿宋_GB2312" w:eastAsia="仿宋_GB2312" w:cs="仿宋_GB2312"/>
          <w:b w:val="0"/>
          <w:bCs/>
          <w:sz w:val="32"/>
          <w:szCs w:val="32"/>
        </w:rPr>
      </w:pPr>
      <w:bookmarkStart w:id="0" w:name="_Toc17266"/>
      <w:bookmarkStart w:id="1" w:name="_Toc7949"/>
      <w:bookmarkStart w:id="2" w:name="_Toc4783"/>
      <w:r>
        <w:rPr>
          <w:rFonts w:hint="eastAsia" w:ascii="仿宋_GB2312" w:hAnsi="仿宋_GB2312" w:eastAsia="仿宋_GB2312" w:cs="仿宋_GB2312"/>
          <w:b w:val="0"/>
          <w:bCs/>
          <w:sz w:val="32"/>
          <w:szCs w:val="32"/>
        </w:rPr>
        <w:t>一、基本情况</w:t>
      </w:r>
      <w:bookmarkEnd w:id="0"/>
      <w:bookmarkEnd w:id="1"/>
      <w:bookmarkEnd w:id="2"/>
    </w:p>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kern w:val="0"/>
          <w:sz w:val="32"/>
          <w:szCs w:val="32"/>
        </w:rPr>
      </w:pPr>
      <w:bookmarkStart w:id="3" w:name="_Toc36216435"/>
      <w:bookmarkStart w:id="4" w:name="_Toc14527"/>
      <w:bookmarkStart w:id="5" w:name="_Toc14811"/>
      <w:bookmarkStart w:id="6" w:name="_Toc8369"/>
      <w:r>
        <w:rPr>
          <w:rFonts w:hint="eastAsia" w:ascii="仿宋_GB2312" w:hAnsi="仿宋_GB2312" w:eastAsia="仿宋_GB2312" w:cs="仿宋_GB2312"/>
          <w:b w:val="0"/>
          <w:bCs/>
          <w:kern w:val="0"/>
          <w:sz w:val="32"/>
          <w:szCs w:val="32"/>
        </w:rPr>
        <w:t>（一）</w:t>
      </w:r>
      <w:bookmarkEnd w:id="3"/>
      <w:bookmarkEnd w:id="4"/>
      <w:bookmarkEnd w:id="5"/>
      <w:bookmarkEnd w:id="6"/>
      <w:bookmarkStart w:id="7" w:name="_Toc55497454"/>
      <w:bookmarkStart w:id="8" w:name="_Toc52144063"/>
      <w:r>
        <w:rPr>
          <w:rFonts w:hint="eastAsia" w:ascii="仿宋_GB2312" w:hAnsi="仿宋_GB2312" w:eastAsia="仿宋_GB2312" w:cs="仿宋_GB2312"/>
          <w:b w:val="0"/>
          <w:bCs/>
          <w:kern w:val="0"/>
          <w:sz w:val="32"/>
          <w:szCs w:val="32"/>
        </w:rPr>
        <w:t>项目背景</w:t>
      </w:r>
      <w:bookmarkEnd w:id="7"/>
      <w:bookmarkEnd w:id="8"/>
    </w:p>
    <w:p>
      <w:pPr>
        <w:keepNext w:val="0"/>
        <w:keepLines w:val="0"/>
        <w:pageBreakBefore w:val="0"/>
        <w:kinsoku/>
        <w:wordWrap/>
        <w:overflowPunct/>
        <w:topLinePunct w:val="0"/>
        <w:autoSpaceDE/>
        <w:autoSpaceDN/>
        <w:bidi w:val="0"/>
        <w:adjustRightInd w:val="0"/>
        <w:snapToGrid w:val="0"/>
        <w:spacing w:line="52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税务局是具有行政执法权和行政管理权的国家行政机关，根据《中华人民共和国税收征收管理法》第五条“各地国家税务局和地方税务局应当按照国务院规定的税收征收管理范围分别进行征收管理”。税务局依法执行伊金霍洛旗（以下简称“伊旗”）辖区内的税收及非税收入征收管理工作。税务局担负着“为国聚财、为民收税”的重任，而税费征收管理和纳税服务是一项基础性、长期性的工作。随着税收工作的不断发展，税收业务范围逐步扩大，为了保证税收工作的正常开展，解决税务机构日常经费问题，旗财政局安排了税务征收经费。</w:t>
      </w:r>
      <w:bookmarkStart w:id="9" w:name="_Toc52144064"/>
      <w:bookmarkStart w:id="10" w:name="_Toc55497455"/>
    </w:p>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eastAsia="zh-CN"/>
        </w:rPr>
        <w:t>（二）</w:t>
      </w:r>
      <w:r>
        <w:rPr>
          <w:rFonts w:hint="eastAsia" w:ascii="仿宋_GB2312" w:hAnsi="仿宋_GB2312" w:eastAsia="仿宋_GB2312" w:cs="仿宋_GB2312"/>
          <w:b w:val="0"/>
          <w:bCs/>
          <w:kern w:val="0"/>
          <w:sz w:val="32"/>
          <w:szCs w:val="32"/>
        </w:rPr>
        <w:t>主要内容</w:t>
      </w:r>
      <w:bookmarkEnd w:id="9"/>
      <w:r>
        <w:rPr>
          <w:rFonts w:hint="eastAsia" w:ascii="仿宋_GB2312" w:hAnsi="仿宋_GB2312" w:eastAsia="仿宋_GB2312" w:cs="仿宋_GB2312"/>
          <w:b w:val="0"/>
          <w:bCs/>
          <w:kern w:val="0"/>
          <w:sz w:val="32"/>
          <w:szCs w:val="32"/>
        </w:rPr>
        <w:t>及实施情况</w:t>
      </w:r>
      <w:bookmarkEnd w:id="10"/>
    </w:p>
    <w:p>
      <w:pPr>
        <w:pStyle w:val="2"/>
        <w:keepNext w:val="0"/>
        <w:keepLines w:val="0"/>
        <w:pageBreakBefore w:val="0"/>
        <w:kinsoku/>
        <w:wordWrap/>
        <w:overflowPunct/>
        <w:topLinePunct w:val="0"/>
        <w:autoSpaceDE/>
        <w:autoSpaceDN/>
        <w:bidi w:val="0"/>
        <w:adjustRightInd w:val="0"/>
        <w:snapToGrid w:val="0"/>
        <w:spacing w:before="0" w:after="0" w:line="520" w:lineRule="exact"/>
        <w:ind w:firstLine="640" w:firstLineChars="200"/>
        <w:jc w:val="both"/>
        <w:outlineLvl w:val="9"/>
        <w:rPr>
          <w:rFonts w:hint="eastAsia" w:ascii="仿宋_GB2312" w:hAnsi="仿宋_GB2312" w:eastAsia="仿宋_GB2312" w:cs="仿宋_GB2312"/>
          <w:b w:val="0"/>
          <w:bCs/>
          <w:kern w:val="0"/>
        </w:rPr>
      </w:pPr>
      <w:bookmarkStart w:id="11" w:name="_Toc9148"/>
      <w:r>
        <w:rPr>
          <w:rFonts w:hint="eastAsia" w:ascii="仿宋_GB2312" w:hAnsi="仿宋_GB2312" w:eastAsia="仿宋_GB2312" w:cs="仿宋_GB2312"/>
          <w:b w:val="0"/>
          <w:bCs/>
          <w:kern w:val="0"/>
        </w:rPr>
        <w:t>2021年度税务局的税务征收项目主要开展了如下工作：</w:t>
      </w:r>
      <w:bookmarkEnd w:id="11"/>
    </w:p>
    <w:p>
      <w:pPr>
        <w:pStyle w:val="2"/>
        <w:keepNext w:val="0"/>
        <w:keepLines w:val="0"/>
        <w:pageBreakBefore w:val="0"/>
        <w:kinsoku/>
        <w:wordWrap/>
        <w:overflowPunct/>
        <w:topLinePunct w:val="0"/>
        <w:autoSpaceDE/>
        <w:autoSpaceDN/>
        <w:bidi w:val="0"/>
        <w:adjustRightInd w:val="0"/>
        <w:snapToGrid w:val="0"/>
        <w:spacing w:before="0" w:after="0" w:line="520" w:lineRule="exact"/>
        <w:ind w:firstLine="640" w:firstLineChars="200"/>
        <w:jc w:val="both"/>
        <w:outlineLvl w:val="9"/>
        <w:rPr>
          <w:rFonts w:hint="eastAsia" w:ascii="仿宋_GB2312" w:hAnsi="仿宋_GB2312" w:eastAsia="仿宋_GB2312" w:cs="仿宋_GB2312"/>
          <w:b w:val="0"/>
          <w:bCs/>
          <w:kern w:val="0"/>
          <w:lang w:eastAsia="zh-CN"/>
        </w:rPr>
      </w:pPr>
      <w:bookmarkStart w:id="12" w:name="_Toc19338"/>
      <w:r>
        <w:rPr>
          <w:rFonts w:hint="eastAsia" w:ascii="仿宋_GB2312" w:hAnsi="仿宋_GB2312" w:eastAsia="仿宋_GB2312" w:cs="仿宋_GB2312"/>
          <w:b w:val="0"/>
          <w:bCs/>
          <w:kern w:val="0"/>
        </w:rPr>
        <w:t>（1）依法组织税费征收工作。2021年全年完成各项税费收入339.92亿元，同比增收103.14亿元，增幅43.56%。其中，税收收入完成290.36亿元，同比增收68.98亿元，增幅31.16%；社保费、非税和其他收入完成49.56亿元，增收34.16亿元，增幅221.82%</w:t>
      </w:r>
      <w:r>
        <w:rPr>
          <w:rFonts w:hint="eastAsia" w:ascii="仿宋_GB2312" w:hAnsi="仿宋_GB2312" w:eastAsia="仿宋_GB2312" w:cs="仿宋_GB2312"/>
          <w:b w:val="0"/>
          <w:bCs/>
          <w:kern w:val="0"/>
          <w:lang w:eastAsia="zh-CN"/>
        </w:rPr>
        <w:t>；</w:t>
      </w:r>
      <w:bookmarkEnd w:id="12"/>
    </w:p>
    <w:p>
      <w:pPr>
        <w:pStyle w:val="2"/>
        <w:keepNext w:val="0"/>
        <w:keepLines w:val="0"/>
        <w:pageBreakBefore w:val="0"/>
        <w:kinsoku/>
        <w:wordWrap/>
        <w:overflowPunct/>
        <w:topLinePunct w:val="0"/>
        <w:autoSpaceDE/>
        <w:autoSpaceDN/>
        <w:bidi w:val="0"/>
        <w:adjustRightInd w:val="0"/>
        <w:snapToGrid w:val="0"/>
        <w:spacing w:before="0" w:after="0" w:line="520" w:lineRule="exact"/>
        <w:ind w:firstLine="640" w:firstLineChars="200"/>
        <w:jc w:val="both"/>
        <w:outlineLvl w:val="9"/>
        <w:rPr>
          <w:rFonts w:hint="eastAsia" w:ascii="仿宋_GB2312" w:hAnsi="仿宋_GB2312" w:eastAsia="仿宋_GB2312" w:cs="仿宋_GB2312"/>
          <w:b w:val="0"/>
          <w:bCs/>
          <w:kern w:val="0"/>
          <w:lang w:eastAsia="zh-CN"/>
        </w:rPr>
      </w:pPr>
      <w:bookmarkStart w:id="13" w:name="_Toc32129"/>
      <w:r>
        <w:rPr>
          <w:rFonts w:hint="eastAsia" w:ascii="仿宋_GB2312" w:hAnsi="仿宋_GB2312" w:eastAsia="仿宋_GB2312" w:cs="仿宋_GB2312"/>
          <w:b w:val="0"/>
          <w:bCs/>
          <w:kern w:val="0"/>
        </w:rPr>
        <w:t>（2）落实各项减税降费政策。2021年全年新增减税降费超38亿元，持续为全旗各类市场主体减负</w:t>
      </w:r>
      <w:r>
        <w:rPr>
          <w:rFonts w:hint="eastAsia" w:ascii="仿宋_GB2312" w:hAnsi="仿宋_GB2312" w:eastAsia="仿宋_GB2312" w:cs="仿宋_GB2312"/>
          <w:b w:val="0"/>
          <w:bCs/>
          <w:kern w:val="0"/>
          <w:lang w:eastAsia="zh-CN"/>
        </w:rPr>
        <w:t>；</w:t>
      </w:r>
      <w:bookmarkEnd w:id="13"/>
    </w:p>
    <w:p>
      <w:pPr>
        <w:pStyle w:val="2"/>
        <w:keepNext w:val="0"/>
        <w:keepLines w:val="0"/>
        <w:pageBreakBefore w:val="0"/>
        <w:kinsoku/>
        <w:wordWrap/>
        <w:overflowPunct/>
        <w:topLinePunct w:val="0"/>
        <w:autoSpaceDE/>
        <w:autoSpaceDN/>
        <w:bidi w:val="0"/>
        <w:adjustRightInd w:val="0"/>
        <w:snapToGrid w:val="0"/>
        <w:spacing w:before="0" w:after="0" w:line="520" w:lineRule="exact"/>
        <w:ind w:firstLine="640" w:firstLineChars="200"/>
        <w:jc w:val="both"/>
        <w:outlineLvl w:val="9"/>
        <w:rPr>
          <w:rFonts w:hint="eastAsia" w:ascii="仿宋_GB2312" w:hAnsi="仿宋_GB2312" w:eastAsia="仿宋_GB2312" w:cs="仿宋_GB2312"/>
          <w:b w:val="0"/>
          <w:bCs/>
          <w:kern w:val="0"/>
        </w:rPr>
      </w:pPr>
      <w:bookmarkStart w:id="14" w:name="_Toc104"/>
      <w:r>
        <w:rPr>
          <w:rFonts w:hint="eastAsia" w:ascii="仿宋_GB2312" w:hAnsi="仿宋_GB2312" w:eastAsia="仿宋_GB2312" w:cs="仿宋_GB2312"/>
          <w:b w:val="0"/>
          <w:bCs/>
          <w:kern w:val="0"/>
        </w:rPr>
        <w:t>（3）坚持依法治税，开展专项整治工作。税务局2021年累计追损挽损入库税款及滞纳金11.73亿元。</w:t>
      </w:r>
      <w:bookmarkEnd w:id="14"/>
    </w:p>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0"/>
        <w:rPr>
          <w:rFonts w:hint="eastAsia" w:ascii="仿宋_GB2312" w:hAnsi="仿宋_GB2312" w:eastAsia="仿宋_GB2312" w:cs="仿宋_GB2312"/>
          <w:b w:val="0"/>
          <w:bCs/>
          <w:sz w:val="32"/>
          <w:szCs w:val="32"/>
        </w:rPr>
      </w:pPr>
      <w:bookmarkStart w:id="15" w:name="_Toc43914270"/>
      <w:bookmarkStart w:id="16" w:name="_Toc31733"/>
      <w:bookmarkStart w:id="17" w:name="_Toc55486327"/>
      <w:bookmarkStart w:id="18" w:name="_Toc25217"/>
      <w:r>
        <w:rPr>
          <w:rFonts w:hint="eastAsia" w:ascii="仿宋_GB2312" w:hAnsi="仿宋_GB2312" w:eastAsia="仿宋_GB2312" w:cs="仿宋_GB2312"/>
          <w:b w:val="0"/>
          <w:bCs/>
          <w:kern w:val="0"/>
          <w:sz w:val="32"/>
          <w:szCs w:val="32"/>
          <w:lang w:eastAsia="zh-CN"/>
        </w:rPr>
        <w:t>二</w:t>
      </w:r>
      <w:r>
        <w:rPr>
          <w:rFonts w:hint="eastAsia" w:ascii="仿宋_GB2312" w:hAnsi="仿宋_GB2312" w:eastAsia="仿宋_GB2312" w:cs="仿宋_GB2312"/>
          <w:b w:val="0"/>
          <w:bCs/>
          <w:sz w:val="32"/>
          <w:szCs w:val="32"/>
        </w:rPr>
        <w:t>、综合评价</w:t>
      </w:r>
      <w:bookmarkEnd w:id="15"/>
      <w:r>
        <w:rPr>
          <w:rFonts w:hint="eastAsia" w:ascii="仿宋_GB2312" w:hAnsi="仿宋_GB2312" w:eastAsia="仿宋_GB2312" w:cs="仿宋_GB2312"/>
          <w:b w:val="0"/>
          <w:bCs/>
          <w:sz w:val="32"/>
          <w:szCs w:val="32"/>
        </w:rPr>
        <w:t>情况及评价结论</w:t>
      </w:r>
      <w:bookmarkEnd w:id="16"/>
      <w:bookmarkEnd w:id="17"/>
      <w:bookmarkEnd w:id="18"/>
    </w:p>
    <w:p>
      <w:pPr>
        <w:keepNext w:val="0"/>
        <w:keepLines w:val="0"/>
        <w:pageBreakBefore w:val="0"/>
        <w:kinsoku/>
        <w:wordWrap/>
        <w:overflowPunct/>
        <w:topLinePunct w:val="0"/>
        <w:autoSpaceDE/>
        <w:autoSpaceDN/>
        <w:bidi w:val="0"/>
        <w:adjustRightInd w:val="0"/>
        <w:snapToGrid w:val="0"/>
        <w:spacing w:line="520" w:lineRule="exact"/>
        <w:ind w:firstLine="640" w:firstLineChars="200"/>
        <w:rPr>
          <w:rFonts w:hint="eastAsia" w:ascii="仿宋_GB2312" w:hAnsi="仿宋_GB2312" w:eastAsia="仿宋_GB2312" w:cs="仿宋_GB2312"/>
          <w:b w:val="0"/>
          <w:bCs/>
          <w:sz w:val="32"/>
          <w:szCs w:val="32"/>
          <w:shd w:val="clear" w:color="auto" w:fill="CCE8CF" w:themeFill="background1"/>
        </w:rPr>
      </w:pPr>
      <w:r>
        <w:rPr>
          <w:rFonts w:hint="eastAsia" w:ascii="仿宋_GB2312" w:hAnsi="仿宋_GB2312" w:eastAsia="仿宋_GB2312" w:cs="仿宋_GB2312"/>
          <w:b w:val="0"/>
          <w:bCs/>
          <w:sz w:val="32"/>
          <w:szCs w:val="32"/>
          <w:shd w:val="clear" w:color="auto" w:fill="CCE8CF" w:themeFill="background1"/>
        </w:rPr>
        <w:t>在项目开展过程中，税务局确保了本年度税收工作依法征收、应收尽收，落实落细了减税降费政策，坚持依法治税，征管质效不断提升。但评价也发现，目前项目还存在预算编制不完善、部分工作未制定实施方案、绩效目标制定不够科学等情况，一定程度上影响了税务征收项目实施效果。本项目绩效评价得分为89分，评价级别为“良”。</w:t>
      </w:r>
    </w:p>
    <w:p>
      <w:pPr>
        <w:keepNext w:val="0"/>
        <w:keepLines w:val="0"/>
        <w:pageBreakBefore w:val="0"/>
        <w:kinsoku/>
        <w:wordWrap/>
        <w:overflowPunct/>
        <w:topLinePunct w:val="0"/>
        <w:autoSpaceDE/>
        <w:autoSpaceDN/>
        <w:bidi w:val="0"/>
        <w:adjustRightInd w:val="0"/>
        <w:snapToGrid w:val="0"/>
        <w:spacing w:line="520" w:lineRule="exact"/>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8"/>
          <w:szCs w:val="28"/>
        </w:rPr>
        <w:t>绩效评价得分总体情况表</w:t>
      </w:r>
    </w:p>
    <w:tbl>
      <w:tblPr>
        <w:tblStyle w:val="20"/>
        <w:tblW w:w="5000" w:type="pct"/>
        <w:jc w:val="center"/>
        <w:tblLayout w:type="autofit"/>
        <w:tblCellMar>
          <w:top w:w="0" w:type="dxa"/>
          <w:left w:w="108" w:type="dxa"/>
          <w:bottom w:w="0" w:type="dxa"/>
          <w:right w:w="108" w:type="dxa"/>
        </w:tblCellMar>
      </w:tblPr>
      <w:tblGrid>
        <w:gridCol w:w="3496"/>
        <w:gridCol w:w="1507"/>
        <w:gridCol w:w="1510"/>
        <w:gridCol w:w="2009"/>
      </w:tblGrid>
      <w:tr>
        <w:tblPrEx>
          <w:tblCellMar>
            <w:top w:w="0" w:type="dxa"/>
            <w:left w:w="108" w:type="dxa"/>
            <w:bottom w:w="0" w:type="dxa"/>
            <w:right w:w="108" w:type="dxa"/>
          </w:tblCellMar>
        </w:tblPrEx>
        <w:trPr>
          <w:cantSplit/>
          <w:trHeight w:val="397" w:hRule="atLeast"/>
          <w:tblHeader/>
          <w:jc w:val="center"/>
        </w:trPr>
        <w:tc>
          <w:tcPr>
            <w:tcW w:w="2051" w:type="pct"/>
            <w:tcBorders>
              <w:top w:val="single" w:color="auto" w:sz="8" w:space="0"/>
              <w:left w:val="single" w:color="auto" w:sz="8" w:space="0"/>
              <w:bottom w:val="single" w:color="auto" w:sz="8" w:space="0"/>
              <w:right w:val="single" w:color="auto" w:sz="8"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rPr>
                <w:rFonts w:hint="eastAsia" w:ascii="仿宋_GB2312" w:hAnsi="仿宋_GB2312" w:eastAsia="仿宋_GB2312" w:cs="仿宋_GB2312"/>
                <w:b w:val="0"/>
                <w:bCs/>
                <w:kern w:val="0"/>
                <w:sz w:val="24"/>
                <w:szCs w:val="24"/>
              </w:rPr>
            </w:pPr>
            <w:bookmarkStart w:id="19" w:name="_Toc43914272"/>
            <w:r>
              <w:rPr>
                <w:rFonts w:hint="eastAsia" w:ascii="仿宋_GB2312" w:hAnsi="仿宋_GB2312" w:eastAsia="仿宋_GB2312" w:cs="仿宋_GB2312"/>
                <w:b w:val="0"/>
                <w:bCs/>
                <w:kern w:val="0"/>
                <w:sz w:val="24"/>
                <w:szCs w:val="24"/>
              </w:rPr>
              <w:t>一级指标</w:t>
            </w:r>
          </w:p>
        </w:tc>
        <w:tc>
          <w:tcPr>
            <w:tcW w:w="884" w:type="pct"/>
            <w:tcBorders>
              <w:top w:val="single" w:color="auto" w:sz="8" w:space="0"/>
              <w:left w:val="nil"/>
              <w:bottom w:val="single" w:color="auto" w:sz="8" w:space="0"/>
              <w:right w:val="single" w:color="auto" w:sz="8"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分值</w:t>
            </w:r>
          </w:p>
        </w:tc>
        <w:tc>
          <w:tcPr>
            <w:tcW w:w="886" w:type="pct"/>
            <w:tcBorders>
              <w:top w:val="single" w:color="auto" w:sz="8" w:space="0"/>
              <w:left w:val="nil"/>
              <w:bottom w:val="single" w:color="auto" w:sz="8" w:space="0"/>
              <w:right w:val="single" w:color="auto" w:sz="8"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得分</w:t>
            </w:r>
          </w:p>
        </w:tc>
        <w:tc>
          <w:tcPr>
            <w:tcW w:w="1179" w:type="pct"/>
            <w:tcBorders>
              <w:top w:val="single" w:color="auto" w:sz="8" w:space="0"/>
              <w:left w:val="nil"/>
              <w:bottom w:val="single" w:color="auto" w:sz="8" w:space="0"/>
              <w:right w:val="single" w:color="auto" w:sz="8"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得分率</w:t>
            </w:r>
          </w:p>
        </w:tc>
      </w:tr>
      <w:tr>
        <w:tblPrEx>
          <w:tblCellMar>
            <w:top w:w="0" w:type="dxa"/>
            <w:left w:w="108" w:type="dxa"/>
            <w:bottom w:w="0" w:type="dxa"/>
            <w:right w:w="108" w:type="dxa"/>
          </w:tblCellMar>
        </w:tblPrEx>
        <w:trPr>
          <w:cantSplit/>
          <w:trHeight w:val="397"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决策</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19</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12.20</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64.21%</w:t>
            </w:r>
          </w:p>
        </w:tc>
      </w:tr>
      <w:tr>
        <w:tblPrEx>
          <w:tblCellMar>
            <w:top w:w="0" w:type="dxa"/>
            <w:left w:w="108" w:type="dxa"/>
            <w:bottom w:w="0" w:type="dxa"/>
            <w:right w:w="108" w:type="dxa"/>
          </w:tblCellMar>
        </w:tblPrEx>
        <w:trPr>
          <w:cantSplit/>
          <w:trHeight w:val="397"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过程</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21</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20.92</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99.62%</w:t>
            </w:r>
          </w:p>
        </w:tc>
      </w:tr>
      <w:tr>
        <w:tblPrEx>
          <w:tblCellMar>
            <w:top w:w="0" w:type="dxa"/>
            <w:left w:w="108" w:type="dxa"/>
            <w:bottom w:w="0" w:type="dxa"/>
            <w:right w:w="108" w:type="dxa"/>
          </w:tblCellMar>
        </w:tblPrEx>
        <w:trPr>
          <w:cantSplit/>
          <w:trHeight w:val="397"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产出</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30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29.01</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96.70%</w:t>
            </w:r>
          </w:p>
        </w:tc>
      </w:tr>
      <w:tr>
        <w:tblPrEx>
          <w:tblCellMar>
            <w:top w:w="0" w:type="dxa"/>
            <w:left w:w="108" w:type="dxa"/>
            <w:bottom w:w="0" w:type="dxa"/>
            <w:right w:w="108" w:type="dxa"/>
          </w:tblCellMar>
        </w:tblPrEx>
        <w:trPr>
          <w:cantSplit/>
          <w:trHeight w:val="397"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效益</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30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26.63</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88.77%</w:t>
            </w:r>
          </w:p>
        </w:tc>
      </w:tr>
      <w:tr>
        <w:tblPrEx>
          <w:tblCellMar>
            <w:top w:w="0" w:type="dxa"/>
            <w:left w:w="108" w:type="dxa"/>
            <w:bottom w:w="0" w:type="dxa"/>
            <w:right w:w="108" w:type="dxa"/>
          </w:tblCellMar>
        </w:tblPrEx>
        <w:trPr>
          <w:cantSplit/>
          <w:trHeight w:val="397"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总分</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100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88.76</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88.76%</w:t>
            </w:r>
          </w:p>
        </w:tc>
      </w:tr>
      <w:tr>
        <w:tblPrEx>
          <w:tblCellMar>
            <w:top w:w="0" w:type="dxa"/>
            <w:left w:w="108" w:type="dxa"/>
            <w:bottom w:w="0" w:type="dxa"/>
            <w:right w:w="108" w:type="dxa"/>
          </w:tblCellMar>
        </w:tblPrEx>
        <w:trPr>
          <w:cantSplit/>
          <w:trHeight w:val="397"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总分（取整）</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100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89.00</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89.00%</w:t>
            </w:r>
          </w:p>
        </w:tc>
      </w:tr>
      <w:tr>
        <w:tblPrEx>
          <w:tblCellMar>
            <w:top w:w="0" w:type="dxa"/>
            <w:left w:w="108" w:type="dxa"/>
            <w:bottom w:w="0" w:type="dxa"/>
            <w:right w:w="108" w:type="dxa"/>
          </w:tblCellMar>
        </w:tblPrEx>
        <w:trPr>
          <w:cantSplit/>
          <w:trHeight w:val="397" w:hRule="atLeast"/>
          <w:jc w:val="center"/>
        </w:trPr>
        <w:tc>
          <w:tcPr>
            <w:tcW w:w="2935" w:type="pct"/>
            <w:gridSpan w:val="2"/>
            <w:tcBorders>
              <w:top w:val="single" w:color="000000" w:sz="8" w:space="0"/>
              <w:left w:val="single" w:color="auto" w:sz="8" w:space="0"/>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综合评价等级</w:t>
            </w:r>
          </w:p>
        </w:tc>
        <w:tc>
          <w:tcPr>
            <w:tcW w:w="2065" w:type="pct"/>
            <w:gridSpan w:val="2"/>
            <w:tcBorders>
              <w:top w:val="single" w:color="000000"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良</w:t>
            </w:r>
          </w:p>
        </w:tc>
      </w:tr>
      <w:bookmarkEnd w:id="19"/>
    </w:tbl>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0"/>
        <w:rPr>
          <w:rFonts w:hint="eastAsia" w:ascii="仿宋_GB2312" w:hAnsi="仿宋_GB2312" w:eastAsia="仿宋_GB2312" w:cs="仿宋_GB2312"/>
          <w:b w:val="0"/>
          <w:bCs/>
          <w:sz w:val="32"/>
          <w:szCs w:val="32"/>
        </w:rPr>
      </w:pPr>
      <w:bookmarkStart w:id="20" w:name="_Toc43914273"/>
      <w:bookmarkStart w:id="21" w:name="_Toc55486356"/>
      <w:bookmarkStart w:id="22" w:name="_Toc14297"/>
      <w:bookmarkStart w:id="23" w:name="_Toc29218"/>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、存在问题和建议</w:t>
      </w:r>
      <w:bookmarkEnd w:id="20"/>
      <w:bookmarkEnd w:id="21"/>
      <w:bookmarkEnd w:id="22"/>
      <w:bookmarkEnd w:id="23"/>
    </w:p>
    <w:p>
      <w:pPr>
        <w:pStyle w:val="4"/>
        <w:keepNext w:val="0"/>
        <w:keepLines w:val="0"/>
        <w:pageBreakBefore w:val="0"/>
        <w:kinsoku/>
        <w:wordWrap/>
        <w:overflowPunct/>
        <w:topLinePunct w:val="0"/>
        <w:autoSpaceDE/>
        <w:autoSpaceDN/>
        <w:bidi w:val="0"/>
        <w:adjustRightInd w:val="0"/>
        <w:snapToGrid w:val="0"/>
        <w:spacing w:before="0" w:after="0" w:line="520" w:lineRule="exact"/>
        <w:ind w:firstLine="640" w:firstLineChars="200"/>
        <w:rPr>
          <w:rFonts w:hint="eastAsia" w:ascii="仿宋_GB2312" w:hAnsi="仿宋_GB2312" w:eastAsia="仿宋_GB2312" w:cs="仿宋_GB2312"/>
          <w:b w:val="0"/>
          <w:bCs/>
        </w:rPr>
      </w:pPr>
      <w:bookmarkStart w:id="24" w:name="_Toc30792"/>
      <w:bookmarkStart w:id="25" w:name="_Toc16025"/>
      <w:bookmarkStart w:id="26" w:name="_Toc55486357"/>
      <w:bookmarkStart w:id="27" w:name="_Toc52144080"/>
      <w:r>
        <w:rPr>
          <w:rFonts w:hint="eastAsia" w:ascii="仿宋_GB2312" w:hAnsi="仿宋_GB2312" w:eastAsia="仿宋_GB2312" w:cs="仿宋_GB2312"/>
          <w:b w:val="0"/>
          <w:bCs/>
        </w:rPr>
        <w:t>（一）存在问题</w:t>
      </w:r>
      <w:bookmarkEnd w:id="24"/>
      <w:bookmarkEnd w:id="25"/>
      <w:bookmarkEnd w:id="26"/>
    </w:p>
    <w:bookmarkEnd w:id="27"/>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kern w:val="0"/>
          <w:sz w:val="32"/>
          <w:szCs w:val="32"/>
        </w:rPr>
      </w:pPr>
      <w:bookmarkStart w:id="28" w:name="_Toc55486362"/>
      <w:bookmarkStart w:id="29" w:name="_Toc52144086"/>
      <w:r>
        <w:rPr>
          <w:rFonts w:hint="eastAsia" w:ascii="仿宋_GB2312" w:hAnsi="仿宋_GB2312" w:eastAsia="仿宋_GB2312" w:cs="仿宋_GB2312"/>
          <w:b w:val="0"/>
          <w:bCs/>
          <w:kern w:val="0"/>
          <w:sz w:val="32"/>
          <w:szCs w:val="32"/>
        </w:rPr>
        <w:t>1.预算编制工作有待加强</w:t>
      </w:r>
    </w:p>
    <w:p>
      <w:pPr>
        <w:pStyle w:val="2"/>
        <w:keepNext w:val="0"/>
        <w:keepLines w:val="0"/>
        <w:pageBreakBefore w:val="0"/>
        <w:kinsoku/>
        <w:wordWrap/>
        <w:overflowPunct/>
        <w:topLinePunct w:val="0"/>
        <w:autoSpaceDE/>
        <w:autoSpaceDN/>
        <w:bidi w:val="0"/>
        <w:adjustRightInd w:val="0"/>
        <w:snapToGrid w:val="0"/>
        <w:spacing w:before="0" w:after="0" w:line="520" w:lineRule="exact"/>
        <w:ind w:firstLine="640" w:firstLineChars="200"/>
        <w:jc w:val="both"/>
        <w:outlineLvl w:val="9"/>
        <w:rPr>
          <w:rFonts w:hint="eastAsia" w:ascii="仿宋_GB2312" w:hAnsi="仿宋_GB2312" w:eastAsia="仿宋_GB2312" w:cs="仿宋_GB2312"/>
          <w:b w:val="0"/>
          <w:bCs/>
          <w:kern w:val="0"/>
        </w:rPr>
      </w:pPr>
      <w:bookmarkStart w:id="30" w:name="_Toc24187"/>
      <w:bookmarkStart w:id="31" w:name="_Toc15612"/>
      <w:bookmarkStart w:id="32" w:name="_Toc7843"/>
      <w:bookmarkStart w:id="33" w:name="_Toc17144"/>
      <w:r>
        <w:rPr>
          <w:rFonts w:hint="eastAsia" w:ascii="仿宋_GB2312" w:hAnsi="仿宋_GB2312" w:eastAsia="仿宋_GB2312" w:cs="仿宋_GB2312"/>
          <w:b w:val="0"/>
          <w:bCs/>
          <w:shd w:val="clear" w:color="auto" w:fill="CCE8CF" w:themeFill="background1"/>
        </w:rPr>
        <w:t>评价工作组查阅税务局向旗财政局申请项目经费的请示文件发现，除了总额度的申请之外，未见预算编制相关文件，预算测算过程不够明确，预算编制工作有待加强。</w:t>
      </w:r>
      <w:bookmarkEnd w:id="30"/>
      <w:bookmarkEnd w:id="31"/>
      <w:bookmarkEnd w:id="32"/>
      <w:bookmarkEnd w:id="33"/>
    </w:p>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2.项目部分重点工作未制定实施方案</w:t>
      </w:r>
    </w:p>
    <w:p>
      <w:pPr>
        <w:pStyle w:val="2"/>
        <w:keepNext w:val="0"/>
        <w:keepLines w:val="0"/>
        <w:pageBreakBefore w:val="0"/>
        <w:kinsoku/>
        <w:wordWrap/>
        <w:overflowPunct/>
        <w:topLinePunct w:val="0"/>
        <w:autoSpaceDE/>
        <w:autoSpaceDN/>
        <w:bidi w:val="0"/>
        <w:adjustRightInd w:val="0"/>
        <w:snapToGrid w:val="0"/>
        <w:spacing w:before="0" w:after="0" w:line="520" w:lineRule="exact"/>
        <w:ind w:firstLine="640" w:firstLineChars="200"/>
        <w:jc w:val="both"/>
        <w:outlineLvl w:val="9"/>
        <w:rPr>
          <w:rFonts w:hint="eastAsia" w:ascii="仿宋_GB2312" w:hAnsi="仿宋_GB2312" w:eastAsia="仿宋_GB2312" w:cs="仿宋_GB2312"/>
          <w:b w:val="0"/>
          <w:bCs/>
          <w:shd w:val="clear" w:color="auto" w:fill="CCE8CF" w:themeFill="background1"/>
        </w:rPr>
      </w:pPr>
      <w:bookmarkStart w:id="34" w:name="_Toc30754"/>
      <w:bookmarkStart w:id="35" w:name="_Toc17156"/>
      <w:bookmarkStart w:id="36" w:name="_Toc17359"/>
      <w:bookmarkStart w:id="37" w:name="_Toc10746"/>
      <w:r>
        <w:rPr>
          <w:rFonts w:hint="eastAsia" w:ascii="仿宋_GB2312" w:hAnsi="仿宋_GB2312" w:eastAsia="仿宋_GB2312" w:cs="仿宋_GB2312"/>
          <w:b w:val="0"/>
          <w:bCs/>
          <w:shd w:val="clear" w:color="auto" w:fill="CCE8CF" w:themeFill="background1"/>
        </w:rPr>
        <w:t>税务局针对2021年度减税降费政策宣传工作制定了《国家税务总局伊金霍洛旗税务局减税降费宣传方案》，但是针对解决办税缴费难点问题工作以及开展专项整治任务未在项目开展前制定项目实施方案，项目管理有待完善。</w:t>
      </w:r>
      <w:bookmarkEnd w:id="34"/>
    </w:p>
    <w:bookmarkEnd w:id="35"/>
    <w:bookmarkEnd w:id="36"/>
    <w:bookmarkEnd w:id="37"/>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rPr>
        <w:t>3.绩效目标</w:t>
      </w:r>
      <w:r>
        <w:rPr>
          <w:rFonts w:hint="eastAsia" w:ascii="仿宋_GB2312" w:hAnsi="仿宋_GB2312" w:eastAsia="仿宋_GB2312" w:cs="仿宋_GB2312"/>
          <w:b w:val="0"/>
          <w:bCs/>
          <w:kern w:val="0"/>
          <w:sz w:val="32"/>
          <w:szCs w:val="32"/>
          <w:lang w:val="en-US" w:eastAsia="zh-CN"/>
        </w:rPr>
        <w:t>设置不合理</w:t>
      </w:r>
    </w:p>
    <w:p>
      <w:pPr>
        <w:pStyle w:val="2"/>
        <w:keepNext w:val="0"/>
        <w:keepLines w:val="0"/>
        <w:pageBreakBefore w:val="0"/>
        <w:kinsoku/>
        <w:wordWrap/>
        <w:overflowPunct/>
        <w:topLinePunct w:val="0"/>
        <w:autoSpaceDE/>
        <w:autoSpaceDN/>
        <w:bidi w:val="0"/>
        <w:adjustRightInd w:val="0"/>
        <w:snapToGrid w:val="0"/>
        <w:spacing w:before="0" w:after="0" w:line="520" w:lineRule="exact"/>
        <w:ind w:firstLine="640" w:firstLineChars="200"/>
        <w:jc w:val="both"/>
        <w:outlineLvl w:val="9"/>
        <w:rPr>
          <w:rFonts w:hint="eastAsia" w:ascii="仿宋_GB2312" w:hAnsi="仿宋_GB2312" w:eastAsia="仿宋_GB2312" w:cs="仿宋_GB2312"/>
          <w:b w:val="0"/>
          <w:bCs/>
          <w:shd w:val="clear" w:color="auto" w:fill="CCE8CF" w:themeFill="background1"/>
        </w:rPr>
      </w:pPr>
      <w:bookmarkStart w:id="38" w:name="_Toc11620"/>
      <w:r>
        <w:rPr>
          <w:rFonts w:hint="eastAsia" w:ascii="仿宋_GB2312" w:hAnsi="仿宋_GB2312" w:eastAsia="仿宋_GB2312" w:cs="仿宋_GB2312"/>
          <w:b w:val="0"/>
          <w:bCs/>
          <w:shd w:val="clear" w:color="auto" w:fill="CCE8CF" w:themeFill="background1"/>
        </w:rPr>
        <w:t>税务局通过</w:t>
      </w:r>
      <w:r>
        <w:rPr>
          <w:rFonts w:hint="eastAsia" w:ascii="仿宋_GB2312" w:hAnsi="仿宋_GB2312" w:eastAsia="仿宋_GB2312" w:cs="仿宋_GB2312"/>
          <w:b w:val="0"/>
          <w:bCs/>
          <w:shd w:val="clear" w:color="auto" w:fill="CCE8CF" w:themeFill="background1"/>
          <w:lang w:val="en-US" w:eastAsia="zh-CN"/>
        </w:rPr>
        <w:t>合理的</w:t>
      </w:r>
      <w:r>
        <w:rPr>
          <w:rFonts w:hint="eastAsia" w:ascii="仿宋_GB2312" w:hAnsi="仿宋_GB2312" w:eastAsia="仿宋_GB2312" w:cs="仿宋_GB2312"/>
          <w:b w:val="0"/>
          <w:bCs/>
          <w:shd w:val="clear" w:color="auto" w:fill="CCE8CF" w:themeFill="background1"/>
        </w:rPr>
        <w:t>绩效监控以及绩效自评对预算执行情况和绩效目标完成情况进行</w:t>
      </w:r>
      <w:r>
        <w:rPr>
          <w:rFonts w:hint="eastAsia" w:ascii="仿宋_GB2312" w:hAnsi="仿宋_GB2312" w:eastAsia="仿宋_GB2312" w:cs="仿宋_GB2312"/>
          <w:b w:val="0"/>
          <w:bCs/>
          <w:shd w:val="clear" w:color="auto" w:fill="CCE8CF" w:themeFill="background1"/>
          <w:lang w:eastAsia="zh-CN"/>
        </w:rPr>
        <w:t>了</w:t>
      </w:r>
      <w:r>
        <w:rPr>
          <w:rFonts w:hint="eastAsia" w:ascii="仿宋_GB2312" w:hAnsi="仿宋_GB2312" w:eastAsia="仿宋_GB2312" w:cs="仿宋_GB2312"/>
          <w:b w:val="0"/>
          <w:bCs/>
          <w:shd w:val="clear" w:color="auto" w:fill="CCE8CF" w:themeFill="background1"/>
        </w:rPr>
        <w:t>监督检查</w:t>
      </w:r>
      <w:r>
        <w:rPr>
          <w:rFonts w:hint="eastAsia" w:ascii="仿宋_GB2312" w:hAnsi="仿宋_GB2312" w:eastAsia="仿宋_GB2312" w:cs="仿宋_GB2312"/>
          <w:b w:val="0"/>
          <w:bCs/>
          <w:shd w:val="clear" w:color="auto" w:fill="CCE8CF" w:themeFill="background1"/>
          <w:lang w:eastAsia="zh-CN"/>
        </w:rPr>
        <w:t>。</w:t>
      </w:r>
      <w:r>
        <w:rPr>
          <w:rFonts w:hint="eastAsia" w:ascii="仿宋_GB2312" w:hAnsi="仿宋_GB2312" w:eastAsia="仿宋_GB2312" w:cs="仿宋_GB2312"/>
          <w:b w:val="0"/>
          <w:bCs/>
          <w:shd w:val="clear" w:color="auto" w:fill="CCE8CF" w:themeFill="background1"/>
          <w:lang w:val="en-US" w:eastAsia="zh-CN"/>
        </w:rPr>
        <w:t>但绩效目标设置不合理，</w:t>
      </w:r>
      <w:r>
        <w:rPr>
          <w:rFonts w:hint="eastAsia" w:ascii="仿宋_GB2312" w:hAnsi="仿宋_GB2312" w:eastAsia="仿宋_GB2312" w:cs="仿宋_GB2312"/>
          <w:b w:val="0"/>
          <w:bCs/>
          <w:shd w:val="clear" w:color="auto" w:fill="CCE8CF" w:themeFill="background1"/>
        </w:rPr>
        <w:t>一是绩效目标。项目设置了绩效目标且目标覆盖全面，但是目标中“完成税费收入任务”与项目实际情况不符，根据评价工作组访谈得知2021年度上级部门取消了税收任务，且设定的绩效目标未细化、量化。二是绩效指标。项目绩效目标细化分解为绩效指标，但绩效指标存在以下问题：第一，绩效指标计划数不明确，指标可衡量性不足。第二，时效指标设置不能准确反映项目预期工作进度。第三，指标设置不符合项目实际情况。</w:t>
      </w:r>
      <w:bookmarkEnd w:id="38"/>
    </w:p>
    <w:p>
      <w:pPr>
        <w:pStyle w:val="4"/>
        <w:keepNext w:val="0"/>
        <w:keepLines w:val="0"/>
        <w:pageBreakBefore w:val="0"/>
        <w:kinsoku/>
        <w:wordWrap/>
        <w:overflowPunct/>
        <w:topLinePunct w:val="0"/>
        <w:autoSpaceDE/>
        <w:autoSpaceDN/>
        <w:bidi w:val="0"/>
        <w:adjustRightInd w:val="0"/>
        <w:snapToGrid w:val="0"/>
        <w:spacing w:before="0" w:after="0" w:line="520" w:lineRule="exact"/>
        <w:ind w:firstLine="640" w:firstLineChars="200"/>
        <w:rPr>
          <w:rFonts w:hint="eastAsia" w:ascii="仿宋_GB2312" w:hAnsi="仿宋_GB2312" w:eastAsia="仿宋_GB2312" w:cs="仿宋_GB2312"/>
          <w:b w:val="0"/>
          <w:bCs/>
        </w:rPr>
      </w:pPr>
      <w:bookmarkStart w:id="39" w:name="_Toc4621"/>
      <w:bookmarkStart w:id="40" w:name="_Toc19007"/>
      <w:r>
        <w:rPr>
          <w:rFonts w:hint="eastAsia" w:ascii="仿宋_GB2312" w:hAnsi="仿宋_GB2312" w:eastAsia="仿宋_GB2312" w:cs="仿宋_GB2312"/>
          <w:b w:val="0"/>
          <w:bCs/>
        </w:rPr>
        <w:t>（二）有关建议</w:t>
      </w:r>
      <w:bookmarkEnd w:id="28"/>
      <w:bookmarkEnd w:id="39"/>
      <w:bookmarkEnd w:id="40"/>
    </w:p>
    <w:bookmarkEnd w:id="29"/>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kern w:val="0"/>
          <w:sz w:val="32"/>
          <w:szCs w:val="32"/>
        </w:rPr>
      </w:pPr>
      <w:bookmarkStart w:id="41" w:name="_Toc8387"/>
      <w:r>
        <w:rPr>
          <w:rFonts w:hint="eastAsia" w:ascii="仿宋_GB2312" w:hAnsi="仿宋_GB2312" w:eastAsia="仿宋_GB2312" w:cs="仿宋_GB2312"/>
          <w:b w:val="0"/>
          <w:bCs/>
          <w:kern w:val="0"/>
          <w:sz w:val="32"/>
          <w:szCs w:val="32"/>
        </w:rPr>
        <w:t>1.加强预算编制工作</w:t>
      </w:r>
    </w:p>
    <w:p>
      <w:pPr>
        <w:pStyle w:val="2"/>
        <w:keepNext w:val="0"/>
        <w:keepLines w:val="0"/>
        <w:pageBreakBefore w:val="0"/>
        <w:kinsoku/>
        <w:wordWrap/>
        <w:overflowPunct/>
        <w:topLinePunct w:val="0"/>
        <w:autoSpaceDE/>
        <w:autoSpaceDN/>
        <w:bidi w:val="0"/>
        <w:adjustRightInd w:val="0"/>
        <w:snapToGrid w:val="0"/>
        <w:spacing w:before="0" w:after="0" w:line="520" w:lineRule="exact"/>
        <w:ind w:firstLine="640" w:firstLineChars="200"/>
        <w:jc w:val="left"/>
        <w:outlineLvl w:val="9"/>
        <w:rPr>
          <w:rFonts w:hint="eastAsia" w:ascii="仿宋_GB2312" w:hAnsi="仿宋_GB2312" w:eastAsia="仿宋_GB2312" w:cs="仿宋_GB2312"/>
          <w:b w:val="0"/>
          <w:bCs/>
          <w:kern w:val="0"/>
        </w:rPr>
      </w:pPr>
      <w:bookmarkStart w:id="42" w:name="_Toc3770"/>
      <w:r>
        <w:rPr>
          <w:rFonts w:hint="eastAsia" w:ascii="仿宋_GB2312" w:hAnsi="仿宋_GB2312" w:eastAsia="仿宋_GB2312" w:cs="仿宋_GB2312"/>
          <w:b w:val="0"/>
          <w:bCs/>
          <w:kern w:val="0"/>
        </w:rPr>
        <w:t>科学、准确的预算编制可以避免财政资金使用无效、低效的问题。建议税务局在向</w:t>
      </w:r>
      <w:r>
        <w:rPr>
          <w:rFonts w:hint="eastAsia" w:ascii="仿宋_GB2312" w:hAnsi="仿宋_GB2312" w:eastAsia="仿宋_GB2312" w:cs="仿宋_GB2312"/>
          <w:b w:val="0"/>
          <w:bCs/>
          <w:shd w:val="clear" w:color="auto" w:fill="CCE8CF" w:themeFill="background1"/>
        </w:rPr>
        <w:t>旗财政局申请项目经费的请示文件中后附预算编制明细、预算额度测算过程资料，加强预算编制工作</w:t>
      </w:r>
      <w:r>
        <w:rPr>
          <w:rFonts w:hint="eastAsia" w:ascii="仿宋_GB2312" w:hAnsi="仿宋_GB2312" w:eastAsia="仿宋_GB2312" w:cs="仿宋_GB2312"/>
          <w:b w:val="0"/>
          <w:bCs/>
          <w:kern w:val="0"/>
        </w:rPr>
        <w:t>，使得申请资金额度有据可依。</w:t>
      </w:r>
      <w:bookmarkEnd w:id="42"/>
    </w:p>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2.提高项目计划的科学性，详细编制项目实施方案</w:t>
      </w:r>
      <w:r>
        <w:rPr>
          <w:rFonts w:hint="eastAsia" w:ascii="仿宋_GB2312" w:hAnsi="仿宋_GB2312" w:eastAsia="仿宋_GB2312" w:cs="仿宋_GB2312"/>
          <w:b w:val="0"/>
          <w:bCs/>
          <w:kern w:val="0"/>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before="0" w:after="0" w:line="520" w:lineRule="exact"/>
        <w:ind w:firstLine="640" w:firstLineChars="200"/>
        <w:jc w:val="both"/>
        <w:outlineLvl w:val="9"/>
        <w:rPr>
          <w:rFonts w:hint="eastAsia" w:ascii="仿宋_GB2312" w:hAnsi="仿宋_GB2312" w:eastAsia="仿宋_GB2312" w:cs="仿宋_GB2312"/>
          <w:b w:val="0"/>
          <w:bCs/>
        </w:rPr>
      </w:pPr>
      <w:bookmarkStart w:id="43" w:name="_Toc12522"/>
      <w:r>
        <w:rPr>
          <w:rFonts w:hint="eastAsia" w:ascii="仿宋_GB2312" w:hAnsi="仿宋_GB2312" w:eastAsia="仿宋_GB2312" w:cs="仿宋_GB2312"/>
          <w:b w:val="0"/>
          <w:bCs/>
          <w:kern w:val="0"/>
        </w:rPr>
        <w:t>实施方案是项目逐步开展的前提条件以及各项工作开展的重要依据。建议税务局在项目开展之前制定明确的项目实施方案，明确项目领导小组、项目分工、项目具体工作内容、项目资金安排和项目计划明细等内容。让项目实施有据可依，项目责任可追溯，加强项目计划管理。</w:t>
      </w:r>
      <w:bookmarkEnd w:id="43"/>
    </w:p>
    <w:p>
      <w:pPr>
        <w:keepNext w:val="0"/>
        <w:keepLines w:val="0"/>
        <w:pageBreakBefore w:val="0"/>
        <w:kinsoku/>
        <w:wordWrap/>
        <w:overflowPunct/>
        <w:topLinePunct w:val="0"/>
        <w:autoSpaceDE/>
        <w:autoSpaceDN/>
        <w:bidi w:val="0"/>
        <w:adjustRightInd w:val="0"/>
        <w:snapToGrid w:val="0"/>
        <w:spacing w:line="520" w:lineRule="exact"/>
        <w:ind w:firstLine="640" w:firstLineChars="200"/>
        <w:outlineLvl w:val="2"/>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3.提高绩效目标编制水平</w:t>
      </w:r>
    </w:p>
    <w:p>
      <w:pPr>
        <w:keepNext w:val="0"/>
        <w:keepLines w:val="0"/>
        <w:pageBreakBefore w:val="0"/>
        <w:kinsoku/>
        <w:wordWrap/>
        <w:overflowPunct/>
        <w:topLinePunct w:val="0"/>
        <w:autoSpaceDE/>
        <w:autoSpaceDN/>
        <w:bidi w:val="0"/>
        <w:adjustRightInd w:val="0"/>
        <w:snapToGrid w:val="0"/>
        <w:spacing w:line="520" w:lineRule="exact"/>
        <w:ind w:firstLine="640" w:firstLineChars="200"/>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预算绩效目标管理是全过程预算绩效管理的基础，是实行中期绩效运行监控和开展绩效自评的重要依据。建议税务局依据部门职责和事业发展要求，设定明确、科学可行的绩效目标，绩效目标内容尽量明确并量化本年度项目工作任务。同时将绩效目标分解为具体的绩效指标，绩效指标设定要遵循“指向明确、细化量化、合理可行、相应匹配”的原则。</w:t>
      </w:r>
      <w:bookmarkEnd w:id="4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20"/>
      <w:jc w:val="center"/>
      <w:rPr>
        <w:rFonts w:ascii="仿宋" w:hAnsi="仿宋"/>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7FA2DCC"/>
    <w:rsid w:val="0000280C"/>
    <w:rsid w:val="0001746C"/>
    <w:rsid w:val="00024803"/>
    <w:rsid w:val="00033319"/>
    <w:rsid w:val="00051D7A"/>
    <w:rsid w:val="00052EC0"/>
    <w:rsid w:val="0005434D"/>
    <w:rsid w:val="000567E2"/>
    <w:rsid w:val="0006486E"/>
    <w:rsid w:val="00067158"/>
    <w:rsid w:val="00081E60"/>
    <w:rsid w:val="0009075B"/>
    <w:rsid w:val="00091F20"/>
    <w:rsid w:val="000B06A5"/>
    <w:rsid w:val="000B3D49"/>
    <w:rsid w:val="000D1486"/>
    <w:rsid w:val="000D1B03"/>
    <w:rsid w:val="000E3A09"/>
    <w:rsid w:val="000F395D"/>
    <w:rsid w:val="000F3E81"/>
    <w:rsid w:val="00100CF2"/>
    <w:rsid w:val="00120705"/>
    <w:rsid w:val="0012540F"/>
    <w:rsid w:val="0012546D"/>
    <w:rsid w:val="0013429D"/>
    <w:rsid w:val="0013478E"/>
    <w:rsid w:val="001365CD"/>
    <w:rsid w:val="00140069"/>
    <w:rsid w:val="00143C6A"/>
    <w:rsid w:val="0014405A"/>
    <w:rsid w:val="00153D38"/>
    <w:rsid w:val="001600D3"/>
    <w:rsid w:val="00162AA0"/>
    <w:rsid w:val="001660EA"/>
    <w:rsid w:val="0016746C"/>
    <w:rsid w:val="0017107B"/>
    <w:rsid w:val="00177211"/>
    <w:rsid w:val="0019599B"/>
    <w:rsid w:val="001A036D"/>
    <w:rsid w:val="001B08EF"/>
    <w:rsid w:val="001B6284"/>
    <w:rsid w:val="001F14D1"/>
    <w:rsid w:val="00230858"/>
    <w:rsid w:val="00232FEA"/>
    <w:rsid w:val="00240BB1"/>
    <w:rsid w:val="00255E6C"/>
    <w:rsid w:val="0026141E"/>
    <w:rsid w:val="00273F24"/>
    <w:rsid w:val="002840B6"/>
    <w:rsid w:val="00287CF6"/>
    <w:rsid w:val="002933A2"/>
    <w:rsid w:val="002A0CC2"/>
    <w:rsid w:val="002A2EE9"/>
    <w:rsid w:val="002B6923"/>
    <w:rsid w:val="002C6017"/>
    <w:rsid w:val="002E3DCE"/>
    <w:rsid w:val="002E68B6"/>
    <w:rsid w:val="002F23B6"/>
    <w:rsid w:val="003440B9"/>
    <w:rsid w:val="00351FC8"/>
    <w:rsid w:val="0035216A"/>
    <w:rsid w:val="00355623"/>
    <w:rsid w:val="00387997"/>
    <w:rsid w:val="00394F62"/>
    <w:rsid w:val="003A245F"/>
    <w:rsid w:val="003B72D6"/>
    <w:rsid w:val="003B7700"/>
    <w:rsid w:val="003C22C4"/>
    <w:rsid w:val="003D08E1"/>
    <w:rsid w:val="003E2C21"/>
    <w:rsid w:val="00404653"/>
    <w:rsid w:val="00407B5F"/>
    <w:rsid w:val="0041054A"/>
    <w:rsid w:val="00414884"/>
    <w:rsid w:val="00426F71"/>
    <w:rsid w:val="00431716"/>
    <w:rsid w:val="00435274"/>
    <w:rsid w:val="0045217D"/>
    <w:rsid w:val="004523D1"/>
    <w:rsid w:val="00477304"/>
    <w:rsid w:val="004804BF"/>
    <w:rsid w:val="00485793"/>
    <w:rsid w:val="004874E2"/>
    <w:rsid w:val="00490B80"/>
    <w:rsid w:val="00497153"/>
    <w:rsid w:val="004A1443"/>
    <w:rsid w:val="004A4E6D"/>
    <w:rsid w:val="004A5DE6"/>
    <w:rsid w:val="004B0201"/>
    <w:rsid w:val="004B043B"/>
    <w:rsid w:val="004B4C56"/>
    <w:rsid w:val="004C6A4F"/>
    <w:rsid w:val="004D578A"/>
    <w:rsid w:val="004E410C"/>
    <w:rsid w:val="004F13E8"/>
    <w:rsid w:val="00512237"/>
    <w:rsid w:val="00516DA4"/>
    <w:rsid w:val="00520D0F"/>
    <w:rsid w:val="0052102E"/>
    <w:rsid w:val="005234C0"/>
    <w:rsid w:val="00531F84"/>
    <w:rsid w:val="00534D36"/>
    <w:rsid w:val="00542406"/>
    <w:rsid w:val="0055599D"/>
    <w:rsid w:val="0056254D"/>
    <w:rsid w:val="00563CC4"/>
    <w:rsid w:val="005655E4"/>
    <w:rsid w:val="0057154F"/>
    <w:rsid w:val="00581B23"/>
    <w:rsid w:val="005922F2"/>
    <w:rsid w:val="00593217"/>
    <w:rsid w:val="005B6A5F"/>
    <w:rsid w:val="005C1FC1"/>
    <w:rsid w:val="005C4F75"/>
    <w:rsid w:val="005D2854"/>
    <w:rsid w:val="005E385C"/>
    <w:rsid w:val="005F1982"/>
    <w:rsid w:val="0061176A"/>
    <w:rsid w:val="00613211"/>
    <w:rsid w:val="00624669"/>
    <w:rsid w:val="00634241"/>
    <w:rsid w:val="00643DAE"/>
    <w:rsid w:val="00647237"/>
    <w:rsid w:val="006472A6"/>
    <w:rsid w:val="006475AF"/>
    <w:rsid w:val="00653AB7"/>
    <w:rsid w:val="0066135E"/>
    <w:rsid w:val="00662F82"/>
    <w:rsid w:val="00665321"/>
    <w:rsid w:val="0066749E"/>
    <w:rsid w:val="006845F4"/>
    <w:rsid w:val="00687A64"/>
    <w:rsid w:val="0069072E"/>
    <w:rsid w:val="0069744B"/>
    <w:rsid w:val="006A541A"/>
    <w:rsid w:val="006C5487"/>
    <w:rsid w:val="006C6377"/>
    <w:rsid w:val="006D5E7B"/>
    <w:rsid w:val="006E4306"/>
    <w:rsid w:val="006E61F6"/>
    <w:rsid w:val="006F2BD1"/>
    <w:rsid w:val="00710D19"/>
    <w:rsid w:val="00734175"/>
    <w:rsid w:val="00741F45"/>
    <w:rsid w:val="00745F15"/>
    <w:rsid w:val="00750FCB"/>
    <w:rsid w:val="00753EC9"/>
    <w:rsid w:val="00755FA5"/>
    <w:rsid w:val="00783B01"/>
    <w:rsid w:val="007A4DD4"/>
    <w:rsid w:val="007A7B18"/>
    <w:rsid w:val="007B3564"/>
    <w:rsid w:val="007C33A7"/>
    <w:rsid w:val="007C4951"/>
    <w:rsid w:val="007E33A7"/>
    <w:rsid w:val="00800053"/>
    <w:rsid w:val="008002D4"/>
    <w:rsid w:val="00805894"/>
    <w:rsid w:val="0081365E"/>
    <w:rsid w:val="0081730B"/>
    <w:rsid w:val="0082374E"/>
    <w:rsid w:val="008303DA"/>
    <w:rsid w:val="00837892"/>
    <w:rsid w:val="00837CA0"/>
    <w:rsid w:val="008460E8"/>
    <w:rsid w:val="00854D6F"/>
    <w:rsid w:val="00866873"/>
    <w:rsid w:val="00875051"/>
    <w:rsid w:val="008836DE"/>
    <w:rsid w:val="00895907"/>
    <w:rsid w:val="008A4EBD"/>
    <w:rsid w:val="008C3BDA"/>
    <w:rsid w:val="008C634D"/>
    <w:rsid w:val="008D2549"/>
    <w:rsid w:val="00923831"/>
    <w:rsid w:val="009370B7"/>
    <w:rsid w:val="0094305E"/>
    <w:rsid w:val="009629E8"/>
    <w:rsid w:val="00962A9D"/>
    <w:rsid w:val="00986D3A"/>
    <w:rsid w:val="00993C75"/>
    <w:rsid w:val="00994128"/>
    <w:rsid w:val="009A5928"/>
    <w:rsid w:val="009A6F55"/>
    <w:rsid w:val="009A7CE9"/>
    <w:rsid w:val="009B65A0"/>
    <w:rsid w:val="009B7287"/>
    <w:rsid w:val="009C4A33"/>
    <w:rsid w:val="009F40CC"/>
    <w:rsid w:val="009F7FA0"/>
    <w:rsid w:val="00A07C22"/>
    <w:rsid w:val="00A161CC"/>
    <w:rsid w:val="00A23679"/>
    <w:rsid w:val="00A30BC8"/>
    <w:rsid w:val="00A47648"/>
    <w:rsid w:val="00A47654"/>
    <w:rsid w:val="00A4776E"/>
    <w:rsid w:val="00A5171B"/>
    <w:rsid w:val="00A51AC2"/>
    <w:rsid w:val="00A61A38"/>
    <w:rsid w:val="00A633D0"/>
    <w:rsid w:val="00A8144A"/>
    <w:rsid w:val="00A90279"/>
    <w:rsid w:val="00A9692A"/>
    <w:rsid w:val="00AA0455"/>
    <w:rsid w:val="00AA1119"/>
    <w:rsid w:val="00AA3811"/>
    <w:rsid w:val="00AD114F"/>
    <w:rsid w:val="00AD171C"/>
    <w:rsid w:val="00AD23B1"/>
    <w:rsid w:val="00AE302E"/>
    <w:rsid w:val="00B137B2"/>
    <w:rsid w:val="00B654D6"/>
    <w:rsid w:val="00B6625C"/>
    <w:rsid w:val="00B75406"/>
    <w:rsid w:val="00B832D1"/>
    <w:rsid w:val="00B9271A"/>
    <w:rsid w:val="00BA520C"/>
    <w:rsid w:val="00BC04DC"/>
    <w:rsid w:val="00BC620A"/>
    <w:rsid w:val="00BF3605"/>
    <w:rsid w:val="00C1061C"/>
    <w:rsid w:val="00C16916"/>
    <w:rsid w:val="00C200E8"/>
    <w:rsid w:val="00C37347"/>
    <w:rsid w:val="00C4669F"/>
    <w:rsid w:val="00C6663B"/>
    <w:rsid w:val="00C91E11"/>
    <w:rsid w:val="00C95CD5"/>
    <w:rsid w:val="00CB478D"/>
    <w:rsid w:val="00CB47B1"/>
    <w:rsid w:val="00CC0353"/>
    <w:rsid w:val="00CD1686"/>
    <w:rsid w:val="00CD2A1E"/>
    <w:rsid w:val="00CD5BDE"/>
    <w:rsid w:val="00CF49C0"/>
    <w:rsid w:val="00CF6FAE"/>
    <w:rsid w:val="00D04BDA"/>
    <w:rsid w:val="00D07741"/>
    <w:rsid w:val="00D17320"/>
    <w:rsid w:val="00D32E77"/>
    <w:rsid w:val="00D3415D"/>
    <w:rsid w:val="00D66350"/>
    <w:rsid w:val="00D675C6"/>
    <w:rsid w:val="00D7229A"/>
    <w:rsid w:val="00D810A4"/>
    <w:rsid w:val="00D93592"/>
    <w:rsid w:val="00DA0F1A"/>
    <w:rsid w:val="00DA6B30"/>
    <w:rsid w:val="00DA7F6F"/>
    <w:rsid w:val="00DB6EB9"/>
    <w:rsid w:val="00DD24FB"/>
    <w:rsid w:val="00DD5128"/>
    <w:rsid w:val="00DD723D"/>
    <w:rsid w:val="00DF0AAF"/>
    <w:rsid w:val="00DF1F1B"/>
    <w:rsid w:val="00DF33BD"/>
    <w:rsid w:val="00DF5B04"/>
    <w:rsid w:val="00E00A37"/>
    <w:rsid w:val="00E06ADE"/>
    <w:rsid w:val="00E12043"/>
    <w:rsid w:val="00E14F09"/>
    <w:rsid w:val="00E40880"/>
    <w:rsid w:val="00E439E1"/>
    <w:rsid w:val="00E45222"/>
    <w:rsid w:val="00E47F18"/>
    <w:rsid w:val="00E71019"/>
    <w:rsid w:val="00E81B3B"/>
    <w:rsid w:val="00E84081"/>
    <w:rsid w:val="00E945DA"/>
    <w:rsid w:val="00EA255C"/>
    <w:rsid w:val="00EA636A"/>
    <w:rsid w:val="00EB0649"/>
    <w:rsid w:val="00EB1822"/>
    <w:rsid w:val="00EC16A1"/>
    <w:rsid w:val="00ED5608"/>
    <w:rsid w:val="00EF43E6"/>
    <w:rsid w:val="00F017FA"/>
    <w:rsid w:val="00F11ECF"/>
    <w:rsid w:val="00F122B5"/>
    <w:rsid w:val="00F2466F"/>
    <w:rsid w:val="00F25C2D"/>
    <w:rsid w:val="00F26AE5"/>
    <w:rsid w:val="00F3568C"/>
    <w:rsid w:val="00F416E8"/>
    <w:rsid w:val="00F50DF1"/>
    <w:rsid w:val="00F64709"/>
    <w:rsid w:val="00F80960"/>
    <w:rsid w:val="00F86F9B"/>
    <w:rsid w:val="00F92222"/>
    <w:rsid w:val="00FA0931"/>
    <w:rsid w:val="00FC1DA9"/>
    <w:rsid w:val="00FC25FC"/>
    <w:rsid w:val="00FF2DB9"/>
    <w:rsid w:val="01080A12"/>
    <w:rsid w:val="010A29DC"/>
    <w:rsid w:val="015A77FE"/>
    <w:rsid w:val="01A3073B"/>
    <w:rsid w:val="01A73D87"/>
    <w:rsid w:val="01F3521E"/>
    <w:rsid w:val="02071371"/>
    <w:rsid w:val="0216715F"/>
    <w:rsid w:val="02BC1AB4"/>
    <w:rsid w:val="03133E39"/>
    <w:rsid w:val="04950B1C"/>
    <w:rsid w:val="04F96FF0"/>
    <w:rsid w:val="05614B95"/>
    <w:rsid w:val="057C552B"/>
    <w:rsid w:val="05F477B7"/>
    <w:rsid w:val="060E53C0"/>
    <w:rsid w:val="065A3BA0"/>
    <w:rsid w:val="06656A25"/>
    <w:rsid w:val="066C249E"/>
    <w:rsid w:val="06854192"/>
    <w:rsid w:val="06896151"/>
    <w:rsid w:val="068B011B"/>
    <w:rsid w:val="06A967F3"/>
    <w:rsid w:val="06B8420F"/>
    <w:rsid w:val="06F10BD8"/>
    <w:rsid w:val="07B54E27"/>
    <w:rsid w:val="07B809AD"/>
    <w:rsid w:val="07B94814"/>
    <w:rsid w:val="07C2098E"/>
    <w:rsid w:val="07D73420"/>
    <w:rsid w:val="07FA2DCC"/>
    <w:rsid w:val="080261BB"/>
    <w:rsid w:val="08674270"/>
    <w:rsid w:val="086A3D60"/>
    <w:rsid w:val="086F1377"/>
    <w:rsid w:val="08752E31"/>
    <w:rsid w:val="08A54D99"/>
    <w:rsid w:val="08B17BE1"/>
    <w:rsid w:val="08B82D1E"/>
    <w:rsid w:val="08EB30F3"/>
    <w:rsid w:val="08EE4992"/>
    <w:rsid w:val="093876D2"/>
    <w:rsid w:val="09907B5F"/>
    <w:rsid w:val="099415D2"/>
    <w:rsid w:val="09AD65FB"/>
    <w:rsid w:val="09C000DC"/>
    <w:rsid w:val="09C57CDC"/>
    <w:rsid w:val="0A02173F"/>
    <w:rsid w:val="0A2715C2"/>
    <w:rsid w:val="0A4651A8"/>
    <w:rsid w:val="0AAA49FF"/>
    <w:rsid w:val="0AAC240E"/>
    <w:rsid w:val="0ADD081A"/>
    <w:rsid w:val="0B280612"/>
    <w:rsid w:val="0B393978"/>
    <w:rsid w:val="0B4D5C4A"/>
    <w:rsid w:val="0B901D30"/>
    <w:rsid w:val="0BAD4690"/>
    <w:rsid w:val="0BF027CF"/>
    <w:rsid w:val="0C2A53A4"/>
    <w:rsid w:val="0C2D3A23"/>
    <w:rsid w:val="0C8B45C5"/>
    <w:rsid w:val="0D0C53E6"/>
    <w:rsid w:val="0D0E5602"/>
    <w:rsid w:val="0D47459F"/>
    <w:rsid w:val="0D556D8D"/>
    <w:rsid w:val="0D6C23C2"/>
    <w:rsid w:val="0D9378B6"/>
    <w:rsid w:val="0DDE3227"/>
    <w:rsid w:val="0DEA1320"/>
    <w:rsid w:val="0E213113"/>
    <w:rsid w:val="0E651252"/>
    <w:rsid w:val="0E9D4E90"/>
    <w:rsid w:val="0EC41FFC"/>
    <w:rsid w:val="0EF928D2"/>
    <w:rsid w:val="0F4B6B3E"/>
    <w:rsid w:val="0F6E05DA"/>
    <w:rsid w:val="0F8E2A2A"/>
    <w:rsid w:val="0F9F2542"/>
    <w:rsid w:val="100E1FAE"/>
    <w:rsid w:val="10B169D0"/>
    <w:rsid w:val="10C20BDE"/>
    <w:rsid w:val="10D95F27"/>
    <w:rsid w:val="10F163D1"/>
    <w:rsid w:val="11676236"/>
    <w:rsid w:val="117B189C"/>
    <w:rsid w:val="119F4A7B"/>
    <w:rsid w:val="11A958FA"/>
    <w:rsid w:val="11B36778"/>
    <w:rsid w:val="11FD5C45"/>
    <w:rsid w:val="12100E2A"/>
    <w:rsid w:val="122B73ED"/>
    <w:rsid w:val="127203E1"/>
    <w:rsid w:val="129C5330"/>
    <w:rsid w:val="12C34036"/>
    <w:rsid w:val="12CD4B8E"/>
    <w:rsid w:val="136F66CF"/>
    <w:rsid w:val="13CF0236"/>
    <w:rsid w:val="14063642"/>
    <w:rsid w:val="14B46A8F"/>
    <w:rsid w:val="15003A82"/>
    <w:rsid w:val="150F1F18"/>
    <w:rsid w:val="15382E94"/>
    <w:rsid w:val="15673B02"/>
    <w:rsid w:val="157D3325"/>
    <w:rsid w:val="15A765F4"/>
    <w:rsid w:val="164107F7"/>
    <w:rsid w:val="16713237"/>
    <w:rsid w:val="1674297A"/>
    <w:rsid w:val="167B7F56"/>
    <w:rsid w:val="17092996"/>
    <w:rsid w:val="174C7453"/>
    <w:rsid w:val="1768590F"/>
    <w:rsid w:val="176C3651"/>
    <w:rsid w:val="17946704"/>
    <w:rsid w:val="17AC17AA"/>
    <w:rsid w:val="17AF79E2"/>
    <w:rsid w:val="17E256C1"/>
    <w:rsid w:val="18730A0F"/>
    <w:rsid w:val="18932E60"/>
    <w:rsid w:val="18C71D79"/>
    <w:rsid w:val="18D25DD1"/>
    <w:rsid w:val="18D314AE"/>
    <w:rsid w:val="18E436BB"/>
    <w:rsid w:val="1903628A"/>
    <w:rsid w:val="19666ACC"/>
    <w:rsid w:val="19BB441C"/>
    <w:rsid w:val="19C309E9"/>
    <w:rsid w:val="1A115BEE"/>
    <w:rsid w:val="1A2F6BB8"/>
    <w:rsid w:val="1A646862"/>
    <w:rsid w:val="1A8557E0"/>
    <w:rsid w:val="1A8A0ABA"/>
    <w:rsid w:val="1A977CCC"/>
    <w:rsid w:val="1B6F21DF"/>
    <w:rsid w:val="1B774B6E"/>
    <w:rsid w:val="1B7A5C97"/>
    <w:rsid w:val="1BAF4C56"/>
    <w:rsid w:val="1BB13F2B"/>
    <w:rsid w:val="1C427076"/>
    <w:rsid w:val="1C7B4336"/>
    <w:rsid w:val="1CE850F9"/>
    <w:rsid w:val="1CFE7FA7"/>
    <w:rsid w:val="1D13456F"/>
    <w:rsid w:val="1D191D4F"/>
    <w:rsid w:val="1DA32615"/>
    <w:rsid w:val="1DD957B9"/>
    <w:rsid w:val="1DE94421"/>
    <w:rsid w:val="1E287DDE"/>
    <w:rsid w:val="1E4010DC"/>
    <w:rsid w:val="1E5A4E6D"/>
    <w:rsid w:val="1F071EB1"/>
    <w:rsid w:val="1F6B41EE"/>
    <w:rsid w:val="1FF32C52"/>
    <w:rsid w:val="20300A4D"/>
    <w:rsid w:val="203217DD"/>
    <w:rsid w:val="2063580D"/>
    <w:rsid w:val="2067748F"/>
    <w:rsid w:val="206A6B6A"/>
    <w:rsid w:val="20E93F65"/>
    <w:rsid w:val="20E97F0B"/>
    <w:rsid w:val="214B42D7"/>
    <w:rsid w:val="21631979"/>
    <w:rsid w:val="217952E8"/>
    <w:rsid w:val="21D01A0F"/>
    <w:rsid w:val="22925F36"/>
    <w:rsid w:val="22C04851"/>
    <w:rsid w:val="233B037C"/>
    <w:rsid w:val="235C0A1E"/>
    <w:rsid w:val="23D70C27"/>
    <w:rsid w:val="24062738"/>
    <w:rsid w:val="243E0123"/>
    <w:rsid w:val="244F1F32"/>
    <w:rsid w:val="2452597D"/>
    <w:rsid w:val="245C3574"/>
    <w:rsid w:val="24633A6E"/>
    <w:rsid w:val="2483647E"/>
    <w:rsid w:val="249C23B7"/>
    <w:rsid w:val="25252AAD"/>
    <w:rsid w:val="252E1FE6"/>
    <w:rsid w:val="253634F0"/>
    <w:rsid w:val="253A4D8F"/>
    <w:rsid w:val="25C91C6F"/>
    <w:rsid w:val="25E122A6"/>
    <w:rsid w:val="25E8465C"/>
    <w:rsid w:val="26153106"/>
    <w:rsid w:val="26773DC1"/>
    <w:rsid w:val="26BB1EFF"/>
    <w:rsid w:val="27135B8A"/>
    <w:rsid w:val="277A5D5C"/>
    <w:rsid w:val="27A0379B"/>
    <w:rsid w:val="288D78CB"/>
    <w:rsid w:val="28910FDA"/>
    <w:rsid w:val="289E73E3"/>
    <w:rsid w:val="28AA222B"/>
    <w:rsid w:val="28B13F3D"/>
    <w:rsid w:val="28B409B4"/>
    <w:rsid w:val="28CF1C92"/>
    <w:rsid w:val="28EF5E90"/>
    <w:rsid w:val="291C47AB"/>
    <w:rsid w:val="292C0E92"/>
    <w:rsid w:val="29D11A3A"/>
    <w:rsid w:val="2A0140CD"/>
    <w:rsid w:val="2A261106"/>
    <w:rsid w:val="2A465F84"/>
    <w:rsid w:val="2A510485"/>
    <w:rsid w:val="2B1A4D1A"/>
    <w:rsid w:val="2B5B780D"/>
    <w:rsid w:val="2B603FF6"/>
    <w:rsid w:val="2B702BC3"/>
    <w:rsid w:val="2BB00F1C"/>
    <w:rsid w:val="2BB30718"/>
    <w:rsid w:val="2BC57E9D"/>
    <w:rsid w:val="2BF35C97"/>
    <w:rsid w:val="2C1B0D4A"/>
    <w:rsid w:val="2C5524AE"/>
    <w:rsid w:val="2C9C00DD"/>
    <w:rsid w:val="2CAF2500"/>
    <w:rsid w:val="2CE7184D"/>
    <w:rsid w:val="2CF359EA"/>
    <w:rsid w:val="2CFB67B4"/>
    <w:rsid w:val="2DD65871"/>
    <w:rsid w:val="2E662095"/>
    <w:rsid w:val="2F5B0402"/>
    <w:rsid w:val="2FCF0CBB"/>
    <w:rsid w:val="2FD227CE"/>
    <w:rsid w:val="30327EB1"/>
    <w:rsid w:val="306255EF"/>
    <w:rsid w:val="310149B3"/>
    <w:rsid w:val="3135465C"/>
    <w:rsid w:val="31413F5F"/>
    <w:rsid w:val="318D6246"/>
    <w:rsid w:val="31C0486E"/>
    <w:rsid w:val="31DB6D47"/>
    <w:rsid w:val="31EC6A73"/>
    <w:rsid w:val="32096215"/>
    <w:rsid w:val="3216623C"/>
    <w:rsid w:val="32200454"/>
    <w:rsid w:val="32335040"/>
    <w:rsid w:val="327F0285"/>
    <w:rsid w:val="3281196A"/>
    <w:rsid w:val="32943604"/>
    <w:rsid w:val="32A001FB"/>
    <w:rsid w:val="3344327C"/>
    <w:rsid w:val="33487CDB"/>
    <w:rsid w:val="33DE6A1F"/>
    <w:rsid w:val="34206BA6"/>
    <w:rsid w:val="34641F04"/>
    <w:rsid w:val="34853B4C"/>
    <w:rsid w:val="357716E7"/>
    <w:rsid w:val="3593380B"/>
    <w:rsid w:val="35AA5F01"/>
    <w:rsid w:val="35B241BA"/>
    <w:rsid w:val="35E84393"/>
    <w:rsid w:val="35FF58F7"/>
    <w:rsid w:val="36080591"/>
    <w:rsid w:val="361E6007"/>
    <w:rsid w:val="36451685"/>
    <w:rsid w:val="366C0B20"/>
    <w:rsid w:val="374C0952"/>
    <w:rsid w:val="37645C9B"/>
    <w:rsid w:val="37B87D95"/>
    <w:rsid w:val="37ED3EE3"/>
    <w:rsid w:val="38194CD8"/>
    <w:rsid w:val="383C4522"/>
    <w:rsid w:val="38547ABE"/>
    <w:rsid w:val="385E6B8E"/>
    <w:rsid w:val="38BF4372"/>
    <w:rsid w:val="39004409"/>
    <w:rsid w:val="3940454C"/>
    <w:rsid w:val="39A71E6F"/>
    <w:rsid w:val="39E3734B"/>
    <w:rsid w:val="39F257E0"/>
    <w:rsid w:val="39FD5F33"/>
    <w:rsid w:val="3A44746D"/>
    <w:rsid w:val="3A695377"/>
    <w:rsid w:val="3A900B55"/>
    <w:rsid w:val="3A993EAE"/>
    <w:rsid w:val="3AB17449"/>
    <w:rsid w:val="3B0D6767"/>
    <w:rsid w:val="3B554279"/>
    <w:rsid w:val="3B714E2B"/>
    <w:rsid w:val="3C215F09"/>
    <w:rsid w:val="3C570397"/>
    <w:rsid w:val="3C6540A7"/>
    <w:rsid w:val="3C6A31BE"/>
    <w:rsid w:val="3C90340B"/>
    <w:rsid w:val="3CD37D88"/>
    <w:rsid w:val="3D0715A3"/>
    <w:rsid w:val="3D291D78"/>
    <w:rsid w:val="3D363C36"/>
    <w:rsid w:val="3D3659E4"/>
    <w:rsid w:val="3D7E5238"/>
    <w:rsid w:val="3DF17B5D"/>
    <w:rsid w:val="3E154F4E"/>
    <w:rsid w:val="3E402602"/>
    <w:rsid w:val="3E646581"/>
    <w:rsid w:val="3E78359D"/>
    <w:rsid w:val="3E88226F"/>
    <w:rsid w:val="3EA36D4F"/>
    <w:rsid w:val="3ECD2378"/>
    <w:rsid w:val="3EF832DD"/>
    <w:rsid w:val="3F0264C5"/>
    <w:rsid w:val="3F1D32FF"/>
    <w:rsid w:val="3F23468E"/>
    <w:rsid w:val="3F5E7474"/>
    <w:rsid w:val="3F6B4807"/>
    <w:rsid w:val="3F8929E3"/>
    <w:rsid w:val="3F966C0E"/>
    <w:rsid w:val="403542CB"/>
    <w:rsid w:val="406F4D54"/>
    <w:rsid w:val="40AE1266"/>
    <w:rsid w:val="40C41559"/>
    <w:rsid w:val="40E8793D"/>
    <w:rsid w:val="415E7BFF"/>
    <w:rsid w:val="41872CB2"/>
    <w:rsid w:val="41BD2B78"/>
    <w:rsid w:val="41C04416"/>
    <w:rsid w:val="41D34149"/>
    <w:rsid w:val="41DF3DE9"/>
    <w:rsid w:val="42063F87"/>
    <w:rsid w:val="4214206C"/>
    <w:rsid w:val="423B07EC"/>
    <w:rsid w:val="42976F25"/>
    <w:rsid w:val="430640AA"/>
    <w:rsid w:val="430974B4"/>
    <w:rsid w:val="43252782"/>
    <w:rsid w:val="43880F63"/>
    <w:rsid w:val="43C57AC2"/>
    <w:rsid w:val="44147E9F"/>
    <w:rsid w:val="44297C2F"/>
    <w:rsid w:val="444067D7"/>
    <w:rsid w:val="44543B2A"/>
    <w:rsid w:val="44943EDE"/>
    <w:rsid w:val="44AB6CB7"/>
    <w:rsid w:val="44B71B00"/>
    <w:rsid w:val="45725A27"/>
    <w:rsid w:val="45A32084"/>
    <w:rsid w:val="45E9583A"/>
    <w:rsid w:val="46207231"/>
    <w:rsid w:val="462502EF"/>
    <w:rsid w:val="462F1B6A"/>
    <w:rsid w:val="46A726A9"/>
    <w:rsid w:val="46DB46A7"/>
    <w:rsid w:val="46EE5581"/>
    <w:rsid w:val="46F96400"/>
    <w:rsid w:val="470E352E"/>
    <w:rsid w:val="470E467E"/>
    <w:rsid w:val="474D2188"/>
    <w:rsid w:val="47685334"/>
    <w:rsid w:val="47B51938"/>
    <w:rsid w:val="47E0136E"/>
    <w:rsid w:val="48054931"/>
    <w:rsid w:val="480768FB"/>
    <w:rsid w:val="482839A9"/>
    <w:rsid w:val="48480CC1"/>
    <w:rsid w:val="48687E42"/>
    <w:rsid w:val="488B59BE"/>
    <w:rsid w:val="48DC7C03"/>
    <w:rsid w:val="48E704DA"/>
    <w:rsid w:val="48F414A2"/>
    <w:rsid w:val="492D007B"/>
    <w:rsid w:val="4A02381D"/>
    <w:rsid w:val="4A077EC8"/>
    <w:rsid w:val="4A3E34AD"/>
    <w:rsid w:val="4A6F2535"/>
    <w:rsid w:val="4B83273C"/>
    <w:rsid w:val="4B8478E3"/>
    <w:rsid w:val="4B8C5FF9"/>
    <w:rsid w:val="4B9009B5"/>
    <w:rsid w:val="4B995CBB"/>
    <w:rsid w:val="4BA12BC2"/>
    <w:rsid w:val="4BBF129A"/>
    <w:rsid w:val="4BE92CA6"/>
    <w:rsid w:val="4C020F9F"/>
    <w:rsid w:val="4C03387D"/>
    <w:rsid w:val="4C5A4C61"/>
    <w:rsid w:val="4C87625C"/>
    <w:rsid w:val="4CC21869"/>
    <w:rsid w:val="4CE27936"/>
    <w:rsid w:val="4D16313C"/>
    <w:rsid w:val="4D3A1DE7"/>
    <w:rsid w:val="4D6D36A4"/>
    <w:rsid w:val="4DB15289"/>
    <w:rsid w:val="4E7D7917"/>
    <w:rsid w:val="4EFD45B3"/>
    <w:rsid w:val="4F713882"/>
    <w:rsid w:val="4FA45676"/>
    <w:rsid w:val="4FE15C83"/>
    <w:rsid w:val="4FEE214E"/>
    <w:rsid w:val="4FF359B6"/>
    <w:rsid w:val="4FFF162B"/>
    <w:rsid w:val="5023004A"/>
    <w:rsid w:val="504927D3"/>
    <w:rsid w:val="50761921"/>
    <w:rsid w:val="50FE2DA2"/>
    <w:rsid w:val="5153657F"/>
    <w:rsid w:val="515B3813"/>
    <w:rsid w:val="516721B8"/>
    <w:rsid w:val="518F170F"/>
    <w:rsid w:val="5233653E"/>
    <w:rsid w:val="52552958"/>
    <w:rsid w:val="52A64F62"/>
    <w:rsid w:val="52E42669"/>
    <w:rsid w:val="530C3017"/>
    <w:rsid w:val="532760A3"/>
    <w:rsid w:val="53683CC5"/>
    <w:rsid w:val="537D2167"/>
    <w:rsid w:val="53A019B1"/>
    <w:rsid w:val="53CA35C0"/>
    <w:rsid w:val="53DA4EC3"/>
    <w:rsid w:val="54752E3E"/>
    <w:rsid w:val="54815C87"/>
    <w:rsid w:val="54A77A85"/>
    <w:rsid w:val="556E7FB9"/>
    <w:rsid w:val="55853555"/>
    <w:rsid w:val="55A42FCF"/>
    <w:rsid w:val="564B3E56"/>
    <w:rsid w:val="564D4072"/>
    <w:rsid w:val="56F049FE"/>
    <w:rsid w:val="571406EC"/>
    <w:rsid w:val="579730CB"/>
    <w:rsid w:val="579B2BBB"/>
    <w:rsid w:val="57D24E6C"/>
    <w:rsid w:val="58247055"/>
    <w:rsid w:val="586F75F6"/>
    <w:rsid w:val="58CB74D0"/>
    <w:rsid w:val="58EA51A6"/>
    <w:rsid w:val="595B6AA6"/>
    <w:rsid w:val="59A541C5"/>
    <w:rsid w:val="59BB7545"/>
    <w:rsid w:val="59C503C4"/>
    <w:rsid w:val="59D423B5"/>
    <w:rsid w:val="59E93963"/>
    <w:rsid w:val="5A490FF5"/>
    <w:rsid w:val="5A6B2AF2"/>
    <w:rsid w:val="5AA275A9"/>
    <w:rsid w:val="5AAD6225"/>
    <w:rsid w:val="5AF1748C"/>
    <w:rsid w:val="5AF30F60"/>
    <w:rsid w:val="5B3C2907"/>
    <w:rsid w:val="5B7D0F0A"/>
    <w:rsid w:val="5BCA4758"/>
    <w:rsid w:val="5C8364F4"/>
    <w:rsid w:val="5CDF3DB8"/>
    <w:rsid w:val="5D25287B"/>
    <w:rsid w:val="5D465377"/>
    <w:rsid w:val="5D7E66C2"/>
    <w:rsid w:val="5D8F4F70"/>
    <w:rsid w:val="5D964B16"/>
    <w:rsid w:val="5DAB78D0"/>
    <w:rsid w:val="5DCA244C"/>
    <w:rsid w:val="5DCD292C"/>
    <w:rsid w:val="5DE75469"/>
    <w:rsid w:val="5E1E00A2"/>
    <w:rsid w:val="5E3C09B7"/>
    <w:rsid w:val="5E48511F"/>
    <w:rsid w:val="5E881C36"/>
    <w:rsid w:val="5EB34C8F"/>
    <w:rsid w:val="5EC7073A"/>
    <w:rsid w:val="5F3538F6"/>
    <w:rsid w:val="5F8C7086"/>
    <w:rsid w:val="5FA663EA"/>
    <w:rsid w:val="5FB505C6"/>
    <w:rsid w:val="602776E2"/>
    <w:rsid w:val="604444BB"/>
    <w:rsid w:val="609900AC"/>
    <w:rsid w:val="60AB523B"/>
    <w:rsid w:val="612403E3"/>
    <w:rsid w:val="615362B5"/>
    <w:rsid w:val="61BA27D8"/>
    <w:rsid w:val="61DB71A3"/>
    <w:rsid w:val="61E73B01"/>
    <w:rsid w:val="621B2B53"/>
    <w:rsid w:val="625642AF"/>
    <w:rsid w:val="62744BB2"/>
    <w:rsid w:val="62CA4B80"/>
    <w:rsid w:val="63A6651F"/>
    <w:rsid w:val="645C1924"/>
    <w:rsid w:val="649231D1"/>
    <w:rsid w:val="654A6C2F"/>
    <w:rsid w:val="65806304"/>
    <w:rsid w:val="658A426F"/>
    <w:rsid w:val="65C37EAD"/>
    <w:rsid w:val="65FC516D"/>
    <w:rsid w:val="66047DC8"/>
    <w:rsid w:val="661078A4"/>
    <w:rsid w:val="662206CF"/>
    <w:rsid w:val="66595F9E"/>
    <w:rsid w:val="668313EA"/>
    <w:rsid w:val="66A40009"/>
    <w:rsid w:val="66C94252"/>
    <w:rsid w:val="66F607E2"/>
    <w:rsid w:val="670C5CED"/>
    <w:rsid w:val="67514D9C"/>
    <w:rsid w:val="678C0773"/>
    <w:rsid w:val="678D2017"/>
    <w:rsid w:val="67D85766"/>
    <w:rsid w:val="681C65E4"/>
    <w:rsid w:val="68437083"/>
    <w:rsid w:val="689E69AF"/>
    <w:rsid w:val="68A67612"/>
    <w:rsid w:val="691722BE"/>
    <w:rsid w:val="693702C1"/>
    <w:rsid w:val="69734A2D"/>
    <w:rsid w:val="699640FF"/>
    <w:rsid w:val="699F478D"/>
    <w:rsid w:val="6A4F22BD"/>
    <w:rsid w:val="6A7C0940"/>
    <w:rsid w:val="6AC1094B"/>
    <w:rsid w:val="6B0521DE"/>
    <w:rsid w:val="6BAF3D96"/>
    <w:rsid w:val="6BC20340"/>
    <w:rsid w:val="6C1B4B1F"/>
    <w:rsid w:val="6C24541E"/>
    <w:rsid w:val="6C675135"/>
    <w:rsid w:val="6CDE4366"/>
    <w:rsid w:val="6CE10C19"/>
    <w:rsid w:val="6CE1330F"/>
    <w:rsid w:val="6D34343E"/>
    <w:rsid w:val="6D520358"/>
    <w:rsid w:val="6DAC6228"/>
    <w:rsid w:val="6DCE167C"/>
    <w:rsid w:val="6DCF760B"/>
    <w:rsid w:val="6DE2733E"/>
    <w:rsid w:val="6E750E09"/>
    <w:rsid w:val="6ED053E9"/>
    <w:rsid w:val="6EDD3662"/>
    <w:rsid w:val="6EEA1AC9"/>
    <w:rsid w:val="6EFD0431"/>
    <w:rsid w:val="6F125A01"/>
    <w:rsid w:val="6F1928EC"/>
    <w:rsid w:val="6F3D5B6E"/>
    <w:rsid w:val="6F56248C"/>
    <w:rsid w:val="6FD64C81"/>
    <w:rsid w:val="6FE13EFD"/>
    <w:rsid w:val="6FEC6C26"/>
    <w:rsid w:val="6FFB1EA2"/>
    <w:rsid w:val="7036127C"/>
    <w:rsid w:val="70A5201F"/>
    <w:rsid w:val="70D9752D"/>
    <w:rsid w:val="70EA4403"/>
    <w:rsid w:val="70F74EAF"/>
    <w:rsid w:val="718801FD"/>
    <w:rsid w:val="71C56D5B"/>
    <w:rsid w:val="71EC360E"/>
    <w:rsid w:val="72273572"/>
    <w:rsid w:val="73282E3D"/>
    <w:rsid w:val="732B3D6D"/>
    <w:rsid w:val="733777E5"/>
    <w:rsid w:val="73652BD4"/>
    <w:rsid w:val="73875954"/>
    <w:rsid w:val="73F1793E"/>
    <w:rsid w:val="7439758C"/>
    <w:rsid w:val="747E1443"/>
    <w:rsid w:val="748B37A2"/>
    <w:rsid w:val="74C32380"/>
    <w:rsid w:val="74DF7565"/>
    <w:rsid w:val="755521A4"/>
    <w:rsid w:val="75AF5D58"/>
    <w:rsid w:val="75D34876"/>
    <w:rsid w:val="75E874BC"/>
    <w:rsid w:val="75FC6AC3"/>
    <w:rsid w:val="76393874"/>
    <w:rsid w:val="766C1E9B"/>
    <w:rsid w:val="76FF297C"/>
    <w:rsid w:val="775766A7"/>
    <w:rsid w:val="778C46A5"/>
    <w:rsid w:val="77C12FAA"/>
    <w:rsid w:val="78381DDB"/>
    <w:rsid w:val="783C764B"/>
    <w:rsid w:val="7890335D"/>
    <w:rsid w:val="78C53AE4"/>
    <w:rsid w:val="78D14237"/>
    <w:rsid w:val="78EC091E"/>
    <w:rsid w:val="79472DD7"/>
    <w:rsid w:val="797352EE"/>
    <w:rsid w:val="79927E6B"/>
    <w:rsid w:val="79A33B99"/>
    <w:rsid w:val="79DF3A4E"/>
    <w:rsid w:val="7A057EBE"/>
    <w:rsid w:val="7A301431"/>
    <w:rsid w:val="7A5B4CCD"/>
    <w:rsid w:val="7A8D418E"/>
    <w:rsid w:val="7B0C5AFE"/>
    <w:rsid w:val="7B514A3D"/>
    <w:rsid w:val="7B7B169E"/>
    <w:rsid w:val="7B973F47"/>
    <w:rsid w:val="7BA75723"/>
    <w:rsid w:val="7C104697"/>
    <w:rsid w:val="7C3D3992"/>
    <w:rsid w:val="7C5C58E8"/>
    <w:rsid w:val="7C8810B1"/>
    <w:rsid w:val="7C986B35"/>
    <w:rsid w:val="7CA13F21"/>
    <w:rsid w:val="7CC73677"/>
    <w:rsid w:val="7D0050EB"/>
    <w:rsid w:val="7D7C2B3E"/>
    <w:rsid w:val="7DBB3D99"/>
    <w:rsid w:val="7E054413"/>
    <w:rsid w:val="7E214107"/>
    <w:rsid w:val="7E663674"/>
    <w:rsid w:val="7E867872"/>
    <w:rsid w:val="7E876B10"/>
    <w:rsid w:val="7EEA1BAF"/>
    <w:rsid w:val="7F0910E3"/>
    <w:rsid w:val="7F322511"/>
    <w:rsid w:val="7F3624E4"/>
    <w:rsid w:val="7F594F87"/>
    <w:rsid w:val="7FAF7FC6"/>
    <w:rsid w:val="7FB672CD"/>
    <w:rsid w:val="7FDD5BB8"/>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6">
    <w:name w:val="annotation text"/>
    <w:basedOn w:val="1"/>
    <w:link w:val="39"/>
    <w:qFormat/>
    <w:uiPriority w:val="0"/>
    <w:pPr>
      <w:jc w:val="left"/>
    </w:pPr>
  </w:style>
  <w:style w:type="paragraph" w:styleId="7">
    <w:name w:val="Body Text"/>
    <w:basedOn w:val="1"/>
    <w:next w:val="8"/>
    <w:qFormat/>
    <w:uiPriority w:val="0"/>
    <w:pPr>
      <w:spacing w:after="120"/>
    </w:pPr>
    <w:rPr>
      <w:rFonts w:ascii="Calibri" w:hAnsi="Calibri" w:eastAsia="宋体" w:cs="Times New Roman"/>
    </w:rPr>
  </w:style>
  <w:style w:type="paragraph" w:styleId="8">
    <w:name w:val="index 9"/>
    <w:basedOn w:val="1"/>
    <w:next w:val="1"/>
    <w:qFormat/>
    <w:uiPriority w:val="0"/>
    <w:pPr>
      <w:ind w:left="3360"/>
    </w:pPr>
  </w:style>
  <w:style w:type="paragraph" w:styleId="9">
    <w:name w:val="Body Text Indent"/>
    <w:basedOn w:val="1"/>
    <w:unhideWhenUsed/>
    <w:qFormat/>
    <w:uiPriority w:val="99"/>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Balloon Text"/>
    <w:basedOn w:val="1"/>
    <w:link w:val="28"/>
    <w:qFormat/>
    <w:uiPriority w:val="0"/>
    <w:rPr>
      <w:sz w:val="18"/>
      <w:szCs w:val="18"/>
    </w:rPr>
  </w:style>
  <w:style w:type="paragraph" w:styleId="12">
    <w:name w:val="footer"/>
    <w:basedOn w:val="1"/>
    <w:unhideWhenUsed/>
    <w:qFormat/>
    <w:uiPriority w:val="99"/>
    <w:pPr>
      <w:tabs>
        <w:tab w:val="center" w:pos="4153"/>
        <w:tab w:val="right" w:pos="8306"/>
      </w:tabs>
      <w:snapToGrid w:val="0"/>
      <w:ind w:firstLine="200" w:firstLineChars="200"/>
      <w:jc w:val="left"/>
    </w:pPr>
    <w:rPr>
      <w:rFonts w:ascii="Calibri" w:hAnsi="Calibri" w:eastAsia="仿宋" w:cs="Times New Roman"/>
      <w:sz w:val="18"/>
      <w:szCs w:val="18"/>
    </w:rPr>
  </w:style>
  <w:style w:type="paragraph" w:styleId="13">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302"/>
      </w:tabs>
    </w:pPr>
    <w:rPr>
      <w:rFonts w:ascii="仿宋" w:hAnsi="仿宋" w:eastAsia="仿宋" w:cs="Times New Roman"/>
      <w:b/>
      <w:sz w:val="28"/>
      <w:szCs w:val="28"/>
    </w:rPr>
  </w:style>
  <w:style w:type="paragraph" w:styleId="15">
    <w:name w:val="footnote text"/>
    <w:basedOn w:val="1"/>
    <w:qFormat/>
    <w:uiPriority w:val="0"/>
    <w:pPr>
      <w:snapToGrid w:val="0"/>
      <w:jc w:val="left"/>
    </w:pPr>
    <w:rPr>
      <w:sz w:val="18"/>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8">
    <w:name w:val="annotation subject"/>
    <w:basedOn w:val="6"/>
    <w:next w:val="6"/>
    <w:link w:val="40"/>
    <w:qFormat/>
    <w:uiPriority w:val="0"/>
    <w:rPr>
      <w:b/>
      <w:bCs/>
    </w:rPr>
  </w:style>
  <w:style w:type="paragraph" w:styleId="19">
    <w:name w:val="Body Text First Indent 2"/>
    <w:basedOn w:val="9"/>
    <w:qFormat/>
    <w:uiPriority w:val="6"/>
    <w:pPr>
      <w:ind w:firstLine="420"/>
    </w:pPr>
    <w:rPr>
      <w:rFonts w:cs="Times New Roman"/>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uiPriority w:val="99"/>
    <w:rPr>
      <w:color w:val="0563C1" w:themeColor="hyperlink"/>
      <w:u w:val="single"/>
      <w14:textFill>
        <w14:solidFill>
          <w14:schemeClr w14:val="hlink"/>
        </w14:solidFill>
      </w14:textFill>
    </w:rPr>
  </w:style>
  <w:style w:type="character" w:styleId="24">
    <w:name w:val="annotation reference"/>
    <w:basedOn w:val="22"/>
    <w:qFormat/>
    <w:uiPriority w:val="0"/>
    <w:rPr>
      <w:sz w:val="21"/>
      <w:szCs w:val="21"/>
    </w:rPr>
  </w:style>
  <w:style w:type="character" w:styleId="25">
    <w:name w:val="footnote reference"/>
    <w:basedOn w:val="22"/>
    <w:qFormat/>
    <w:uiPriority w:val="0"/>
    <w:rPr>
      <w:vertAlign w:val="superscript"/>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页眉 字符"/>
    <w:basedOn w:val="22"/>
    <w:link w:val="13"/>
    <w:qFormat/>
    <w:uiPriority w:val="0"/>
    <w:rPr>
      <w:rFonts w:asciiTheme="minorHAnsi" w:hAnsiTheme="minorHAnsi" w:eastAsiaTheme="minorEastAsia" w:cstheme="minorBidi"/>
      <w:kern w:val="2"/>
      <w:sz w:val="18"/>
      <w:szCs w:val="18"/>
    </w:rPr>
  </w:style>
  <w:style w:type="character" w:customStyle="1" w:styleId="28">
    <w:name w:val="批注框文本 字符"/>
    <w:basedOn w:val="22"/>
    <w:link w:val="11"/>
    <w:qFormat/>
    <w:uiPriority w:val="0"/>
    <w:rPr>
      <w:rFonts w:asciiTheme="minorHAnsi" w:hAnsiTheme="minorHAnsi" w:eastAsiaTheme="minorEastAsia" w:cstheme="minorBidi"/>
      <w:kern w:val="2"/>
      <w:sz w:val="18"/>
      <w:szCs w:val="18"/>
    </w:rPr>
  </w:style>
  <w:style w:type="paragraph" w:customStyle="1" w:styleId="29">
    <w:name w:val="_Style 21"/>
    <w:basedOn w:val="1"/>
    <w:next w:val="1"/>
    <w:qFormat/>
    <w:uiPriority w:val="0"/>
    <w:pPr>
      <w:pBdr>
        <w:bottom w:val="single" w:color="auto" w:sz="6" w:space="1"/>
      </w:pBdr>
      <w:jc w:val="center"/>
    </w:pPr>
    <w:rPr>
      <w:rFonts w:ascii="Arial" w:eastAsia="宋体"/>
      <w:vanish/>
      <w:sz w:val="16"/>
    </w:rPr>
  </w:style>
  <w:style w:type="paragraph" w:customStyle="1" w:styleId="30">
    <w:name w:val="_Style 22"/>
    <w:basedOn w:val="1"/>
    <w:next w:val="1"/>
    <w:qFormat/>
    <w:uiPriority w:val="0"/>
    <w:pPr>
      <w:pBdr>
        <w:top w:val="single" w:color="auto" w:sz="6" w:space="1"/>
      </w:pBdr>
      <w:jc w:val="center"/>
    </w:pPr>
    <w:rPr>
      <w:rFonts w:ascii="Arial" w:eastAsia="宋体"/>
      <w:vanish/>
      <w:sz w:val="16"/>
    </w:rPr>
  </w:style>
  <w:style w:type="character" w:customStyle="1" w:styleId="31">
    <w:name w:val="font41"/>
    <w:basedOn w:val="22"/>
    <w:qFormat/>
    <w:uiPriority w:val="0"/>
    <w:rPr>
      <w:rFonts w:hint="eastAsia" w:ascii="等线" w:hAnsi="等线" w:eastAsia="等线" w:cs="等线"/>
      <w:color w:val="FF0000"/>
      <w:sz w:val="22"/>
      <w:szCs w:val="22"/>
      <w:u w:val="none"/>
    </w:rPr>
  </w:style>
  <w:style w:type="character" w:customStyle="1" w:styleId="32">
    <w:name w:val="font11"/>
    <w:basedOn w:val="22"/>
    <w:qFormat/>
    <w:uiPriority w:val="0"/>
    <w:rPr>
      <w:rFonts w:hint="eastAsia" w:ascii="等线" w:hAnsi="等线" w:eastAsia="等线" w:cs="等线"/>
      <w:color w:val="000000"/>
      <w:sz w:val="22"/>
      <w:szCs w:val="22"/>
      <w:u w:val="none"/>
    </w:rPr>
  </w:style>
  <w:style w:type="paragraph" w:styleId="33">
    <w:name w:val="List Paragraph"/>
    <w:basedOn w:val="1"/>
    <w:qFormat/>
    <w:uiPriority w:val="34"/>
    <w:pPr>
      <w:ind w:firstLine="420" w:firstLineChars="200"/>
    </w:pPr>
    <w:rPr>
      <w:rFonts w:ascii="Calibri" w:hAnsi="Calibri" w:eastAsia="仿宋" w:cs="Times New Roman"/>
      <w:sz w:val="32"/>
      <w:szCs w:val="22"/>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7">
    <w:name w:val="font21"/>
    <w:basedOn w:val="22"/>
    <w:qFormat/>
    <w:uiPriority w:val="0"/>
    <w:rPr>
      <w:rFonts w:hint="eastAsia" w:ascii="宋体" w:hAnsi="宋体" w:eastAsia="宋体" w:cs="宋体"/>
      <w:color w:val="000000"/>
      <w:sz w:val="22"/>
      <w:szCs w:val="22"/>
      <w:u w:val="none"/>
    </w:rPr>
  </w:style>
  <w:style w:type="character" w:customStyle="1" w:styleId="38">
    <w:name w:val="font51"/>
    <w:basedOn w:val="22"/>
    <w:qFormat/>
    <w:uiPriority w:val="0"/>
    <w:rPr>
      <w:rFonts w:hint="eastAsia" w:ascii="宋体" w:hAnsi="宋体" w:eastAsia="宋体" w:cs="宋体"/>
      <w:color w:val="FF0000"/>
      <w:sz w:val="22"/>
      <w:szCs w:val="22"/>
      <w:u w:val="none"/>
    </w:rPr>
  </w:style>
  <w:style w:type="character" w:customStyle="1" w:styleId="39">
    <w:name w:val="批注文字 字符"/>
    <w:basedOn w:val="22"/>
    <w:link w:val="6"/>
    <w:qFormat/>
    <w:uiPriority w:val="0"/>
    <w:rPr>
      <w:rFonts w:asciiTheme="minorHAnsi" w:hAnsiTheme="minorHAnsi" w:eastAsiaTheme="minorEastAsia" w:cstheme="minorBidi"/>
      <w:kern w:val="2"/>
      <w:sz w:val="21"/>
      <w:szCs w:val="24"/>
    </w:rPr>
  </w:style>
  <w:style w:type="character" w:customStyle="1" w:styleId="40">
    <w:name w:val="批注主题 字符"/>
    <w:basedOn w:val="39"/>
    <w:link w:val="18"/>
    <w:qFormat/>
    <w:uiPriority w:val="0"/>
    <w:rPr>
      <w:rFonts w:asciiTheme="minorHAnsi" w:hAnsiTheme="minorHAnsi" w:eastAsiaTheme="minorEastAsia" w:cstheme="minorBidi"/>
      <w:b/>
      <w:bCs/>
      <w:kern w:val="2"/>
      <w:sz w:val="21"/>
      <w:szCs w:val="24"/>
    </w:rPr>
  </w:style>
  <w:style w:type="character" w:customStyle="1" w:styleId="41">
    <w:name w:val="font31"/>
    <w:basedOn w:val="22"/>
    <w:qFormat/>
    <w:uiPriority w:val="0"/>
    <w:rPr>
      <w:rFonts w:hint="eastAsia" w:ascii="宋体" w:hAnsi="宋体" w:eastAsia="宋体" w:cs="宋体"/>
      <w:color w:val="000000"/>
      <w:sz w:val="18"/>
      <w:szCs w:val="18"/>
      <w:u w:val="none"/>
    </w:rPr>
  </w:style>
  <w:style w:type="paragraph" w:customStyle="1" w:styleId="42">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B1E80-AB41-467E-B893-071112F2B209}">
  <ds:schemaRefs/>
</ds:datastoreItem>
</file>

<file path=docProps/app.xml><?xml version="1.0" encoding="utf-8"?>
<Properties xmlns="http://schemas.openxmlformats.org/officeDocument/2006/extended-properties" xmlns:vt="http://schemas.openxmlformats.org/officeDocument/2006/docPropsVTypes">
  <Template>Normal</Template>
  <Pages>5</Pages>
  <Words>1672</Words>
  <Characters>1813</Characters>
  <Lines>130</Lines>
  <Paragraphs>36</Paragraphs>
  <TotalTime>9</TotalTime>
  <ScaleCrop>false</ScaleCrop>
  <LinksUpToDate>false</LinksUpToDate>
  <CharactersWithSpaces>1813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2020-12-22T07:03:00Z</dcterms:created>
  <dc:creator>Q.H.</dc:creator>
  <cp:lastModifiedBy>杨勇</cp:lastModifiedBy>
  <cp:lastPrinted>2022-12-12T03:54:00Z</cp:lastPrinted>
  <dcterms:modified xsi:type="dcterms:W3CDTF">2023-01-19T10:35:38Z</dcterms:modified>
  <cp:revision>375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C5AF83C1DBA44E14B5B183403BAFD2E0</vt:lpwstr>
  </property>
</Properties>
</file>