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center"/>
        <w:textAlignment w:val="auto"/>
        <w:outlineLvl w:val="9"/>
        <w:rPr>
          <w:rFonts w:hint="eastAsia" w:ascii="Times New Roman" w:hAnsi="Times New Roman" w:eastAsia="黑体" w:cs="宋体"/>
          <w:b w:val="0"/>
          <w:bCs w:val="0"/>
          <w:color w:val="000000"/>
          <w:spacing w:val="0"/>
          <w:kern w:val="32"/>
          <w:sz w:val="44"/>
          <w:szCs w:val="72"/>
          <w:highlight w:val="none"/>
          <w:lang w:val="en-US" w:eastAsia="zh-CN" w:bidi="ar"/>
        </w:rPr>
      </w:pPr>
      <w:bookmarkStart w:id="0" w:name="_Toc16004"/>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Times New Roman" w:hAnsi="Times New Roman" w:eastAsia="黑体" w:cs="宋体"/>
          <w:b w:val="0"/>
          <w:bCs w:val="0"/>
          <w:color w:val="000000"/>
          <w:spacing w:val="0"/>
          <w:kern w:val="32"/>
          <w:sz w:val="44"/>
          <w:szCs w:val="72"/>
          <w:highlight w:val="none"/>
          <w:lang w:val="en-US" w:eastAsia="zh-CN" w:bidi="ar"/>
        </w:rPr>
      </w:pPr>
    </w:p>
    <w:bookmarkEnd w:id="0"/>
    <w:p>
      <w:pPr>
        <w:pStyle w:val="8"/>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0" w:firstLineChars="0"/>
        <w:jc w:val="center"/>
        <w:textAlignment w:val="auto"/>
        <w:outlineLvl w:val="9"/>
        <w:rPr>
          <w:rFonts w:hint="eastAsia" w:ascii="Times New Roman" w:hAnsi="Times New Roman" w:eastAsia="黑体" w:cs="黑体"/>
          <w:b w:val="0"/>
          <w:bCs/>
          <w:color w:val="auto"/>
          <w:spacing w:val="0"/>
          <w:kern w:val="32"/>
          <w:sz w:val="44"/>
          <w:szCs w:val="44"/>
          <w:highlight w:val="none"/>
          <w:lang w:val="en-US" w:eastAsia="zh-CN" w:bidi="ar"/>
        </w:rPr>
      </w:pPr>
      <w:r>
        <w:rPr>
          <w:rFonts w:hint="eastAsia" w:ascii="Times New Roman" w:hAnsi="Times New Roman" w:eastAsia="黑体" w:cs="黑体"/>
          <w:b w:val="0"/>
          <w:bCs/>
          <w:color w:val="auto"/>
          <w:spacing w:val="0"/>
          <w:kern w:val="32"/>
          <w:sz w:val="44"/>
          <w:szCs w:val="44"/>
          <w:highlight w:val="none"/>
          <w:lang w:val="en-US" w:eastAsia="zh-CN" w:bidi="ar"/>
        </w:rPr>
        <w:t>2022年度巴音昌胡格草原旅游基础设施</w:t>
      </w:r>
    </w:p>
    <w:p>
      <w:pPr>
        <w:pStyle w:val="8"/>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0" w:firstLineChars="0"/>
        <w:jc w:val="center"/>
        <w:textAlignment w:val="auto"/>
        <w:outlineLvl w:val="9"/>
        <w:rPr>
          <w:rFonts w:hint="eastAsia" w:ascii="Times New Roman" w:hAnsi="Times New Roman" w:eastAsia="黑体" w:cs="黑体"/>
          <w:b w:val="0"/>
          <w:bCs/>
          <w:color w:val="auto"/>
          <w:spacing w:val="0"/>
          <w:kern w:val="32"/>
          <w:sz w:val="44"/>
          <w:szCs w:val="44"/>
          <w:highlight w:val="none"/>
          <w:lang w:val="en-US" w:eastAsia="zh-CN" w:bidi="ar"/>
        </w:rPr>
      </w:pPr>
      <w:r>
        <w:rPr>
          <w:rFonts w:hint="eastAsia" w:ascii="Times New Roman" w:hAnsi="Times New Roman" w:eastAsia="黑体" w:cs="黑体"/>
          <w:b w:val="0"/>
          <w:bCs/>
          <w:color w:val="auto"/>
          <w:spacing w:val="0"/>
          <w:kern w:val="32"/>
          <w:sz w:val="44"/>
          <w:szCs w:val="44"/>
          <w:highlight w:val="none"/>
          <w:lang w:val="en-US" w:eastAsia="zh-CN" w:bidi="ar"/>
        </w:rPr>
        <w:t>及镇区基础设施建设项目支出</w:t>
      </w:r>
    </w:p>
    <w:p>
      <w:pPr>
        <w:pStyle w:val="8"/>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0" w:firstLineChars="0"/>
        <w:jc w:val="center"/>
        <w:textAlignment w:val="auto"/>
        <w:outlineLvl w:val="9"/>
        <w:rPr>
          <w:rFonts w:ascii="Times New Roman" w:hAnsi="Times New Roman" w:eastAsia="黑体"/>
          <w:b w:val="0"/>
          <w:spacing w:val="0"/>
          <w:kern w:val="32"/>
          <w:sz w:val="44"/>
          <w:szCs w:val="44"/>
          <w:highlight w:val="none"/>
        </w:rPr>
      </w:pPr>
      <w:r>
        <w:rPr>
          <w:rFonts w:hint="eastAsia" w:ascii="Times New Roman" w:hAnsi="Times New Roman" w:eastAsia="黑体" w:cs="黑体"/>
          <w:b w:val="0"/>
          <w:bCs/>
          <w:color w:val="auto"/>
          <w:spacing w:val="0"/>
          <w:kern w:val="32"/>
          <w:sz w:val="44"/>
          <w:szCs w:val="44"/>
          <w:highlight w:val="none"/>
          <w:lang w:val="en-US" w:eastAsia="zh-CN" w:bidi="ar"/>
        </w:rPr>
        <w:t>绩效评价报告</w:t>
      </w:r>
    </w:p>
    <w:p>
      <w:pPr>
        <w:pStyle w:val="8"/>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0" w:firstLineChars="0"/>
        <w:jc w:val="center"/>
        <w:textAlignment w:val="auto"/>
        <w:outlineLvl w:val="9"/>
        <w:rPr>
          <w:rFonts w:ascii="Times New Roman" w:hAnsi="Times New Roman" w:eastAsia="黑体"/>
          <w:b w:val="0"/>
          <w:spacing w:val="0"/>
          <w:kern w:val="32"/>
          <w:sz w:val="44"/>
          <w:highlight w:val="none"/>
        </w:rPr>
      </w:pPr>
    </w:p>
    <w:p>
      <w:pPr>
        <w:pStyle w:val="8"/>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0" w:firstLineChars="0"/>
        <w:jc w:val="center"/>
        <w:textAlignment w:val="auto"/>
        <w:outlineLvl w:val="9"/>
        <w:rPr>
          <w:rFonts w:ascii="Times New Roman" w:hAnsi="Times New Roman" w:eastAsia="黑体"/>
          <w:b w:val="0"/>
          <w:spacing w:val="0"/>
          <w:kern w:val="32"/>
          <w:sz w:val="44"/>
          <w:highlight w:val="none"/>
        </w:rPr>
      </w:pPr>
    </w:p>
    <w:p>
      <w:pPr>
        <w:pStyle w:val="8"/>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0" w:firstLineChars="0"/>
        <w:jc w:val="center"/>
        <w:textAlignment w:val="auto"/>
        <w:outlineLvl w:val="9"/>
        <w:rPr>
          <w:rFonts w:ascii="Times New Roman" w:hAnsi="Times New Roman" w:eastAsia="黑体"/>
          <w:b w:val="0"/>
          <w:spacing w:val="0"/>
          <w:kern w:val="32"/>
          <w:sz w:val="44"/>
          <w:highlight w:val="none"/>
        </w:rPr>
      </w:pPr>
    </w:p>
    <w:p>
      <w:pPr>
        <w:pStyle w:val="8"/>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0" w:firstLineChars="0"/>
        <w:jc w:val="center"/>
        <w:textAlignment w:val="auto"/>
        <w:outlineLvl w:val="9"/>
        <w:rPr>
          <w:rFonts w:ascii="Times New Roman" w:hAnsi="Times New Roman" w:eastAsia="黑体"/>
          <w:b w:val="0"/>
          <w:spacing w:val="0"/>
          <w:kern w:val="32"/>
          <w:sz w:val="44"/>
          <w:highlight w:val="none"/>
        </w:rPr>
      </w:pPr>
    </w:p>
    <w:p>
      <w:pPr>
        <w:pStyle w:val="8"/>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0" w:firstLineChars="0"/>
        <w:jc w:val="center"/>
        <w:textAlignment w:val="auto"/>
        <w:outlineLvl w:val="9"/>
        <w:rPr>
          <w:rFonts w:ascii="Times New Roman" w:hAnsi="Times New Roman" w:eastAsia="黑体"/>
          <w:b w:val="0"/>
          <w:spacing w:val="0"/>
          <w:kern w:val="32"/>
          <w:sz w:val="44"/>
          <w:highlight w:val="none"/>
        </w:rPr>
      </w:pPr>
    </w:p>
    <w:p>
      <w:pPr>
        <w:pStyle w:val="8"/>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0" w:firstLineChars="0"/>
        <w:jc w:val="center"/>
        <w:textAlignment w:val="auto"/>
        <w:outlineLvl w:val="9"/>
        <w:rPr>
          <w:rFonts w:ascii="Times New Roman" w:hAnsi="Times New Roman" w:eastAsia="黑体"/>
          <w:b w:val="0"/>
          <w:spacing w:val="0"/>
          <w:kern w:val="32"/>
          <w:sz w:val="44"/>
          <w:highlight w:val="none"/>
        </w:rPr>
      </w:pPr>
    </w:p>
    <w:p>
      <w:pPr>
        <w:pStyle w:val="8"/>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0" w:firstLineChars="0"/>
        <w:jc w:val="center"/>
        <w:textAlignment w:val="auto"/>
        <w:outlineLvl w:val="9"/>
        <w:rPr>
          <w:rFonts w:ascii="Times New Roman" w:hAnsi="Times New Roman" w:eastAsia="黑体"/>
          <w:b w:val="0"/>
          <w:spacing w:val="0"/>
          <w:kern w:val="32"/>
          <w:sz w:val="44"/>
          <w:highlight w:val="none"/>
        </w:rPr>
      </w:pPr>
    </w:p>
    <w:p>
      <w:pPr>
        <w:pStyle w:val="8"/>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0" w:firstLineChars="0"/>
        <w:jc w:val="center"/>
        <w:textAlignment w:val="auto"/>
        <w:outlineLvl w:val="9"/>
        <w:rPr>
          <w:rFonts w:ascii="Times New Roman" w:hAnsi="Times New Roman" w:eastAsia="黑体"/>
          <w:b w:val="0"/>
          <w:spacing w:val="0"/>
          <w:kern w:val="32"/>
          <w:sz w:val="44"/>
          <w:highlight w:val="none"/>
        </w:rPr>
      </w:pPr>
    </w:p>
    <w:p>
      <w:pPr>
        <w:pStyle w:val="8"/>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0" w:firstLineChars="0"/>
        <w:jc w:val="center"/>
        <w:textAlignment w:val="auto"/>
        <w:outlineLvl w:val="9"/>
        <w:rPr>
          <w:rFonts w:ascii="Times New Roman" w:hAnsi="Times New Roman" w:eastAsia="黑体"/>
          <w:b w:val="0"/>
          <w:spacing w:val="0"/>
          <w:kern w:val="32"/>
          <w:sz w:val="44"/>
          <w:highlight w:val="none"/>
        </w:rPr>
      </w:pPr>
    </w:p>
    <w:p>
      <w:pPr>
        <w:pStyle w:val="8"/>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0" w:firstLineChars="0"/>
        <w:jc w:val="center"/>
        <w:textAlignment w:val="auto"/>
        <w:outlineLvl w:val="9"/>
        <w:rPr>
          <w:rFonts w:ascii="Times New Roman" w:hAnsi="Times New Roman" w:eastAsia="黑体"/>
          <w:b w:val="0"/>
          <w:spacing w:val="0"/>
          <w:kern w:val="32"/>
          <w:sz w:val="44"/>
          <w:highlight w:val="none"/>
        </w:rPr>
      </w:pPr>
    </w:p>
    <w:tbl>
      <w:tblPr>
        <w:tblStyle w:val="2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56"/>
        <w:gridCol w:w="52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456"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auto"/>
              <w:ind w:left="0" w:leftChars="0" w:right="0" w:firstLine="0" w:firstLineChars="0"/>
              <w:jc w:val="distribute"/>
              <w:textAlignment w:val="auto"/>
              <w:outlineLvl w:val="9"/>
              <w:rPr>
                <w:rFonts w:hint="eastAsia" w:ascii="Times New Roman" w:hAnsi="Times New Roman" w:eastAsia="黑体" w:cs="黑体"/>
                <w:b w:val="0"/>
                <w:spacing w:val="0"/>
                <w:kern w:val="32"/>
                <w:sz w:val="32"/>
                <w:szCs w:val="32"/>
                <w:highlight w:val="none"/>
                <w:u w:val="none"/>
              </w:rPr>
            </w:pPr>
            <w:r>
              <w:rPr>
                <w:rFonts w:hint="eastAsia" w:ascii="Times New Roman" w:hAnsi="Times New Roman" w:eastAsia="黑体" w:cs="黑体"/>
                <w:b w:val="0"/>
                <w:spacing w:val="0"/>
                <w:kern w:val="32"/>
                <w:sz w:val="32"/>
                <w:szCs w:val="32"/>
                <w:highlight w:val="none"/>
                <w:u w:val="none"/>
              </w:rPr>
              <w:t>评价委托单位：</w:t>
            </w:r>
          </w:p>
        </w:tc>
        <w:tc>
          <w:tcPr>
            <w:tcW w:w="5221"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auto"/>
              <w:ind w:left="0" w:leftChars="0" w:right="0" w:firstLine="0" w:firstLineChars="0"/>
              <w:jc w:val="left"/>
              <w:textAlignment w:val="auto"/>
              <w:outlineLvl w:val="9"/>
              <w:rPr>
                <w:rFonts w:hint="default" w:ascii="Times New Roman" w:hAnsi="Times New Roman" w:eastAsia="黑体" w:cs="黑体"/>
                <w:b w:val="0"/>
                <w:spacing w:val="0"/>
                <w:kern w:val="32"/>
                <w:sz w:val="32"/>
                <w:szCs w:val="32"/>
                <w:highlight w:val="none"/>
                <w:u w:val="none"/>
                <w:lang w:val="en-US" w:eastAsia="zh-CN"/>
              </w:rPr>
            </w:pPr>
            <w:r>
              <w:rPr>
                <w:rFonts w:hint="eastAsia" w:ascii="Times New Roman" w:hAnsi="Times New Roman" w:eastAsia="黑体" w:cs="黑体"/>
                <w:b w:val="0"/>
                <w:bCs w:val="0"/>
                <w:spacing w:val="0"/>
                <w:kern w:val="32"/>
                <w:sz w:val="32"/>
                <w:szCs w:val="32"/>
                <w:highlight w:val="none"/>
                <w:u w:val="none"/>
                <w:lang w:val="en-US" w:eastAsia="zh-CN" w:bidi="ar-SA"/>
              </w:rPr>
              <w:t>伊金霍洛旗绩效评价税收服务中心</w:t>
            </w:r>
            <w:r>
              <w:rPr>
                <w:rFonts w:hint="eastAsia" w:ascii="Times New Roman" w:hAnsi="Times New Roman" w:eastAsia="黑体" w:cs="黑体"/>
                <w:b w:val="0"/>
                <w:bCs/>
                <w:spacing w:val="0"/>
                <w:kern w:val="32"/>
                <w:sz w:val="32"/>
                <w:szCs w:val="32"/>
                <w:highlight w:val="none"/>
                <w:u w:val="none"/>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456"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auto"/>
              <w:ind w:left="0" w:leftChars="0" w:right="0" w:firstLine="0" w:firstLineChars="0"/>
              <w:jc w:val="distribute"/>
              <w:textAlignment w:val="auto"/>
              <w:outlineLvl w:val="9"/>
              <w:rPr>
                <w:rFonts w:hint="eastAsia" w:ascii="Times New Roman" w:hAnsi="Times New Roman" w:eastAsia="黑体" w:cs="黑体"/>
                <w:b w:val="0"/>
                <w:spacing w:val="0"/>
                <w:kern w:val="32"/>
                <w:sz w:val="32"/>
                <w:szCs w:val="32"/>
                <w:highlight w:val="none"/>
                <w:u w:val="none"/>
              </w:rPr>
            </w:pPr>
            <w:r>
              <w:rPr>
                <w:rFonts w:hint="eastAsia" w:ascii="Times New Roman" w:hAnsi="Times New Roman" w:eastAsia="黑体" w:cs="黑体"/>
                <w:b w:val="0"/>
                <w:spacing w:val="0"/>
                <w:kern w:val="32"/>
                <w:sz w:val="32"/>
                <w:szCs w:val="32"/>
                <w:highlight w:val="none"/>
                <w:u w:val="none"/>
              </w:rPr>
              <w:t>项目主管单位：</w:t>
            </w:r>
          </w:p>
        </w:tc>
        <w:tc>
          <w:tcPr>
            <w:tcW w:w="5221"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auto"/>
              <w:ind w:left="0" w:leftChars="0" w:right="0" w:firstLine="0" w:firstLineChars="0"/>
              <w:jc w:val="left"/>
              <w:textAlignment w:val="auto"/>
              <w:outlineLvl w:val="9"/>
              <w:rPr>
                <w:rFonts w:hint="default" w:ascii="Times New Roman" w:hAnsi="Times New Roman" w:eastAsia="黑体" w:cs="黑体"/>
                <w:b w:val="0"/>
                <w:spacing w:val="0"/>
                <w:kern w:val="32"/>
                <w:sz w:val="32"/>
                <w:szCs w:val="32"/>
                <w:highlight w:val="none"/>
                <w:u w:val="none"/>
                <w:lang w:val="en-US" w:eastAsia="zh-CN"/>
              </w:rPr>
            </w:pPr>
            <w:r>
              <w:rPr>
                <w:rFonts w:hint="eastAsia" w:ascii="Times New Roman" w:hAnsi="Times New Roman" w:eastAsia="黑体" w:cs="黑体"/>
                <w:b w:val="0"/>
                <w:bCs w:val="0"/>
                <w:spacing w:val="0"/>
                <w:kern w:val="32"/>
                <w:sz w:val="32"/>
                <w:szCs w:val="32"/>
                <w:highlight w:val="none"/>
                <w:u w:val="none"/>
                <w:lang w:val="en-US" w:eastAsia="zh-CN" w:bidi="ar-SA"/>
              </w:rPr>
              <w:t xml:space="preserve">伊金霍洛旗伊金霍洛镇人民政府 </w:t>
            </w:r>
            <w:r>
              <w:rPr>
                <w:rFonts w:hint="eastAsia" w:ascii="Times New Roman" w:hAnsi="Times New Roman" w:eastAsia="黑体" w:cs="黑体"/>
                <w:b w:val="0"/>
                <w:bCs/>
                <w:spacing w:val="0"/>
                <w:kern w:val="32"/>
                <w:sz w:val="32"/>
                <w:szCs w:val="32"/>
                <w:highlight w:val="none"/>
                <w:u w:val="none"/>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456"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auto"/>
              <w:ind w:left="0" w:leftChars="0" w:right="0" w:firstLine="0" w:firstLineChars="0"/>
              <w:jc w:val="distribute"/>
              <w:textAlignment w:val="auto"/>
              <w:outlineLvl w:val="9"/>
              <w:rPr>
                <w:rFonts w:hint="eastAsia" w:ascii="Times New Roman" w:hAnsi="Times New Roman" w:eastAsia="黑体" w:cs="黑体"/>
                <w:b w:val="0"/>
                <w:spacing w:val="0"/>
                <w:kern w:val="32"/>
                <w:sz w:val="32"/>
                <w:szCs w:val="32"/>
                <w:highlight w:val="none"/>
                <w:u w:val="none"/>
              </w:rPr>
            </w:pPr>
            <w:r>
              <w:rPr>
                <w:rFonts w:hint="eastAsia" w:ascii="Times New Roman" w:hAnsi="Times New Roman" w:eastAsia="黑体" w:cs="黑体"/>
                <w:b w:val="0"/>
                <w:spacing w:val="80"/>
                <w:kern w:val="0"/>
                <w:sz w:val="32"/>
                <w:szCs w:val="32"/>
                <w:highlight w:val="none"/>
                <w:u w:val="none"/>
                <w:fitText w:val="2240" w:id="933957664"/>
              </w:rPr>
              <w:t>评价机构</w:t>
            </w:r>
            <w:r>
              <w:rPr>
                <w:rFonts w:hint="eastAsia" w:ascii="Times New Roman" w:hAnsi="Times New Roman" w:eastAsia="黑体" w:cs="黑体"/>
                <w:b w:val="0"/>
                <w:spacing w:val="0"/>
                <w:kern w:val="0"/>
                <w:sz w:val="32"/>
                <w:szCs w:val="32"/>
                <w:highlight w:val="none"/>
                <w:u w:val="none"/>
                <w:fitText w:val="2240" w:id="933957664"/>
              </w:rPr>
              <w:t>：</w:t>
            </w:r>
          </w:p>
        </w:tc>
        <w:tc>
          <w:tcPr>
            <w:tcW w:w="5221"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auto"/>
              <w:ind w:left="0" w:leftChars="0" w:right="0" w:firstLine="0" w:firstLineChars="0"/>
              <w:jc w:val="left"/>
              <w:textAlignment w:val="auto"/>
              <w:outlineLvl w:val="9"/>
              <w:rPr>
                <w:rFonts w:hint="default" w:ascii="Times New Roman" w:hAnsi="Times New Roman" w:eastAsia="黑体" w:cs="黑体"/>
                <w:b w:val="0"/>
                <w:spacing w:val="0"/>
                <w:kern w:val="32"/>
                <w:sz w:val="32"/>
                <w:szCs w:val="32"/>
                <w:highlight w:val="none"/>
                <w:u w:val="none"/>
                <w:lang w:val="en-US"/>
              </w:rPr>
            </w:pPr>
            <w:r>
              <w:rPr>
                <w:rFonts w:hint="eastAsia" w:ascii="Times New Roman" w:hAnsi="Times New Roman" w:eastAsia="黑体" w:cs="黑体"/>
                <w:b w:val="0"/>
                <w:bCs w:val="0"/>
                <w:spacing w:val="0"/>
                <w:kern w:val="32"/>
                <w:sz w:val="32"/>
                <w:szCs w:val="32"/>
                <w:highlight w:val="none"/>
                <w:u w:val="none" w:color="000000"/>
                <w:lang w:val="en-US" w:eastAsia="zh-CN" w:bidi="ar-SA"/>
              </w:rPr>
              <w:t xml:space="preserve">内蒙古中科云创管理咨询有限公司 </w:t>
            </w:r>
            <w:r>
              <w:rPr>
                <w:rFonts w:hint="eastAsia" w:ascii="Times New Roman" w:hAnsi="Times New Roman" w:eastAsia="黑体" w:cs="黑体"/>
                <w:b w:val="0"/>
                <w:bCs/>
                <w:spacing w:val="0"/>
                <w:kern w:val="32"/>
                <w:sz w:val="32"/>
                <w:szCs w:val="32"/>
                <w:highlight w:val="none"/>
                <w:u w:val="none" w:color="000000"/>
                <w:lang w:val="en-US" w:eastAsia="zh-CN" w:bidi="ar-SA"/>
              </w:rPr>
              <w:t xml:space="preserve"> </w:t>
            </w:r>
          </w:p>
        </w:tc>
      </w:tr>
    </w:tbl>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640" w:firstLineChars="200"/>
        <w:jc w:val="both"/>
        <w:textAlignment w:val="auto"/>
        <w:outlineLvl w:val="9"/>
        <w:rPr>
          <w:rFonts w:hint="eastAsia" w:ascii="Times New Roman" w:hAnsi="Times New Roman" w:eastAsia="仿宋_GB2312"/>
          <w:b w:val="0"/>
          <w:spacing w:val="0"/>
          <w:kern w:val="32"/>
          <w:sz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center"/>
        <w:textAlignment w:val="auto"/>
        <w:outlineLvl w:val="9"/>
        <w:rPr>
          <w:rFonts w:hint="eastAsia" w:ascii="Times New Roman" w:hAnsi="Times New Roman" w:eastAsia="仿宋" w:cs="仿宋"/>
          <w:b w:val="0"/>
          <w:bCs w:val="0"/>
          <w:spacing w:val="0"/>
          <w:kern w:val="32"/>
          <w:sz w:val="32"/>
          <w:szCs w:val="32"/>
          <w:highlight w:val="none"/>
          <w:u w:val="none"/>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beforeAutospacing="0" w:line="240" w:lineRule="auto"/>
        <w:ind w:left="0" w:leftChars="0" w:firstLine="0" w:firstLineChars="0"/>
        <w:jc w:val="center"/>
        <w:textAlignment w:val="auto"/>
        <w:outlineLvl w:val="9"/>
        <w:rPr>
          <w:rFonts w:hint="eastAsia" w:ascii="Times New Roman" w:hAnsi="Times New Roman" w:eastAsia="黑体" w:cs="黑体"/>
          <w:b/>
          <w:bCs w:val="0"/>
          <w:color w:val="auto"/>
          <w:spacing w:val="0"/>
          <w:kern w:val="32"/>
          <w:sz w:val="36"/>
          <w:szCs w:val="36"/>
          <w:highlight w:val="none"/>
          <w:lang w:val="en-US" w:eastAsia="zh-CN" w:bidi="ar"/>
        </w:rPr>
        <w:sectPr>
          <w:headerReference r:id="rId3" w:type="default"/>
          <w:footerReference r:id="rId4" w:type="default"/>
          <w:pgSz w:w="11906" w:h="16838"/>
          <w:pgMar w:top="1587" w:right="1440" w:bottom="1587" w:left="1440" w:header="850" w:footer="822" w:gutter="0"/>
          <w:pgNumType w:fmt="decimal"/>
          <w:cols w:space="720" w:num="1"/>
          <w:rtlGutter w:val="0"/>
          <w:docGrid w:type="lines" w:linePitch="318" w:charSpace="0"/>
        </w:sectPr>
      </w:pP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0" w:firstLineChars="0"/>
        <w:jc w:val="center"/>
        <w:textAlignment w:val="auto"/>
        <w:outlineLvl w:val="9"/>
        <w:rPr>
          <w:rFonts w:hint="eastAsia" w:ascii="Times New Roman" w:hAnsi="Times New Roman" w:eastAsia="黑体" w:cs="黑体"/>
          <w:b/>
          <w:bCs/>
          <w:spacing w:val="0"/>
          <w:kern w:val="32"/>
          <w:sz w:val="44"/>
          <w:szCs w:val="36"/>
          <w:highlight w:val="none"/>
          <w:lang w:val="en-US" w:eastAsia="zh-CN"/>
        </w:rPr>
      </w:pPr>
      <w:bookmarkStart w:id="1" w:name="_Toc42532286"/>
      <w:bookmarkStart w:id="2" w:name="_Toc25569"/>
      <w:r>
        <w:rPr>
          <w:rFonts w:hint="eastAsia" w:ascii="Times New Roman" w:hAnsi="Times New Roman" w:eastAsia="黑体" w:cs="黑体"/>
          <w:b/>
          <w:bCs/>
          <w:spacing w:val="0"/>
          <w:kern w:val="32"/>
          <w:sz w:val="44"/>
          <w:szCs w:val="36"/>
          <w:highlight w:val="none"/>
          <w:lang w:val="en-US" w:eastAsia="zh-CN"/>
        </w:rPr>
        <w:t>2022年度巴音昌胡格草原旅游基础设施</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0" w:firstLineChars="0"/>
        <w:jc w:val="center"/>
        <w:textAlignment w:val="auto"/>
        <w:outlineLvl w:val="9"/>
        <w:rPr>
          <w:rFonts w:hint="eastAsia" w:ascii="Times New Roman" w:hAnsi="Times New Roman" w:eastAsia="黑体" w:cs="黑体"/>
          <w:b/>
          <w:bCs/>
          <w:spacing w:val="0"/>
          <w:kern w:val="32"/>
          <w:sz w:val="44"/>
          <w:szCs w:val="36"/>
          <w:highlight w:val="none"/>
          <w:lang w:val="en-US" w:eastAsia="zh-CN"/>
        </w:rPr>
      </w:pPr>
      <w:r>
        <w:rPr>
          <w:rFonts w:hint="eastAsia" w:ascii="Times New Roman" w:hAnsi="Times New Roman" w:eastAsia="黑体" w:cs="黑体"/>
          <w:b/>
          <w:bCs/>
          <w:spacing w:val="0"/>
          <w:kern w:val="32"/>
          <w:sz w:val="44"/>
          <w:szCs w:val="36"/>
          <w:highlight w:val="none"/>
          <w:lang w:val="en-US" w:eastAsia="zh-CN"/>
        </w:rPr>
        <w:t>及镇区基础设施建设项目支出绩效评价报告</w:t>
      </w:r>
    </w:p>
    <w:p>
      <w:pPr>
        <w:pStyle w:val="8"/>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firstLine="640" w:firstLineChars="200"/>
        <w:jc w:val="both"/>
        <w:textAlignment w:val="auto"/>
        <w:outlineLvl w:val="9"/>
        <w:rPr>
          <w:rFonts w:hint="eastAsia" w:ascii="Times New Roman" w:hAnsi="Times New Roman" w:eastAsia="仿宋_GB2312" w:cs="仿宋_GB2312"/>
          <w:b w:val="0"/>
          <w:spacing w:val="0"/>
          <w:kern w:val="3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line="360" w:lineRule="auto"/>
        <w:ind w:left="0" w:leftChars="0" w:right="0" w:rightChars="0" w:firstLine="640" w:firstLineChars="200"/>
        <w:jc w:val="both"/>
        <w:textAlignment w:val="auto"/>
        <w:outlineLvl w:val="0"/>
        <w:rPr>
          <w:rFonts w:hint="eastAsia" w:ascii="Times New Roman" w:hAnsi="Times New Roman" w:eastAsia="黑体"/>
          <w:b w:val="0"/>
          <w:bCs w:val="0"/>
          <w:spacing w:val="0"/>
          <w:kern w:val="32"/>
          <w:sz w:val="32"/>
          <w:szCs w:val="32"/>
          <w:highlight w:val="none"/>
          <w:lang w:eastAsia="zh-CN"/>
        </w:rPr>
      </w:pPr>
      <w:bookmarkStart w:id="3" w:name="_Toc31932"/>
      <w:bookmarkStart w:id="4" w:name="_Toc849"/>
      <w:bookmarkStart w:id="5" w:name="_Toc1783"/>
      <w:r>
        <w:rPr>
          <w:rFonts w:ascii="Times New Roman" w:hAnsi="Times New Roman" w:eastAsia="黑体"/>
          <w:b w:val="0"/>
          <w:bCs w:val="0"/>
          <w:spacing w:val="0"/>
          <w:kern w:val="32"/>
          <w:sz w:val="32"/>
          <w:szCs w:val="32"/>
          <w:highlight w:val="none"/>
        </w:rPr>
        <w:t>一、</w:t>
      </w:r>
      <w:bookmarkEnd w:id="1"/>
      <w:r>
        <w:rPr>
          <w:rFonts w:hint="eastAsia" w:ascii="Times New Roman" w:hAnsi="Times New Roman" w:eastAsia="黑体"/>
          <w:b w:val="0"/>
          <w:bCs w:val="0"/>
          <w:spacing w:val="0"/>
          <w:kern w:val="32"/>
          <w:sz w:val="32"/>
          <w:szCs w:val="32"/>
          <w:highlight w:val="none"/>
          <w:lang w:eastAsia="zh-CN"/>
        </w:rPr>
        <w:t>项目基本情况</w:t>
      </w:r>
      <w:bookmarkEnd w:id="2"/>
      <w:bookmarkEnd w:id="3"/>
      <w:bookmarkEnd w:id="4"/>
      <w:bookmarkEnd w:id="5"/>
    </w:p>
    <w:p>
      <w:pPr>
        <w:keepNext w:val="0"/>
        <w:keepLines w:val="0"/>
        <w:pageBreakBefore w:val="0"/>
        <w:widowControl w:val="0"/>
        <w:kinsoku/>
        <w:wordWrap/>
        <w:overflowPunct/>
        <w:topLinePunct w:val="0"/>
        <w:autoSpaceDE/>
        <w:autoSpaceDN/>
        <w:bidi w:val="0"/>
        <w:adjustRightInd/>
        <w:snapToGrid/>
        <w:spacing w:before="0" w:beforeAutospacing="0" w:after="0" w:line="360" w:lineRule="auto"/>
        <w:ind w:left="0" w:leftChars="0" w:right="0" w:rightChars="0" w:firstLine="643" w:firstLineChars="200"/>
        <w:jc w:val="both"/>
        <w:textAlignment w:val="auto"/>
        <w:outlineLvl w:val="1"/>
        <w:rPr>
          <w:rFonts w:hint="eastAsia" w:ascii="Times New Roman" w:hAnsi="Times New Roman" w:eastAsia="楷体" w:cs="楷体"/>
          <w:b/>
          <w:bCs/>
          <w:spacing w:val="0"/>
          <w:kern w:val="32"/>
          <w:sz w:val="32"/>
          <w:highlight w:val="none"/>
          <w:lang w:val="en-US" w:eastAsia="zh-CN"/>
        </w:rPr>
      </w:pPr>
      <w:bookmarkStart w:id="6" w:name="_Toc42532287"/>
      <w:bookmarkStart w:id="7" w:name="_Toc964"/>
      <w:bookmarkStart w:id="8" w:name="_Toc23195"/>
      <w:bookmarkStart w:id="9" w:name="_Toc679"/>
      <w:bookmarkStart w:id="10" w:name="_Toc30524"/>
      <w:r>
        <w:rPr>
          <w:rFonts w:hint="eastAsia" w:ascii="Times New Roman" w:hAnsi="Times New Roman" w:eastAsia="楷体" w:cs="楷体"/>
          <w:b/>
          <w:bCs/>
          <w:spacing w:val="0"/>
          <w:kern w:val="32"/>
          <w:sz w:val="32"/>
          <w:highlight w:val="none"/>
          <w:lang w:val="en-US" w:eastAsia="zh-CN"/>
        </w:rPr>
        <w:t>（一）</w:t>
      </w:r>
      <w:bookmarkEnd w:id="6"/>
      <w:r>
        <w:rPr>
          <w:rFonts w:hint="eastAsia" w:ascii="Times New Roman" w:hAnsi="Times New Roman" w:eastAsia="楷体" w:cs="楷体"/>
          <w:b/>
          <w:bCs/>
          <w:spacing w:val="0"/>
          <w:kern w:val="32"/>
          <w:sz w:val="32"/>
          <w:highlight w:val="none"/>
          <w:lang w:val="en-US" w:eastAsia="zh-CN"/>
        </w:rPr>
        <w:t>项目</w:t>
      </w:r>
      <w:bookmarkEnd w:id="7"/>
      <w:r>
        <w:rPr>
          <w:rFonts w:hint="eastAsia" w:ascii="Times New Roman" w:hAnsi="Times New Roman" w:eastAsia="楷体" w:cs="楷体"/>
          <w:b/>
          <w:bCs/>
          <w:spacing w:val="0"/>
          <w:kern w:val="32"/>
          <w:sz w:val="32"/>
          <w:highlight w:val="none"/>
          <w:lang w:val="en-US" w:eastAsia="zh-CN"/>
        </w:rPr>
        <w:t>背景</w:t>
      </w:r>
      <w:bookmarkEnd w:id="8"/>
      <w:bookmarkEnd w:id="9"/>
      <w:bookmarkEnd w:id="10"/>
    </w:p>
    <w:p>
      <w:pPr>
        <w:pStyle w:val="8"/>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firstLine="640" w:firstLineChars="200"/>
        <w:jc w:val="both"/>
        <w:textAlignment w:val="auto"/>
        <w:outlineLvl w:val="9"/>
        <w:rPr>
          <w:rFonts w:hint="eastAsia" w:ascii="Times New Roman" w:hAnsi="Times New Roman" w:eastAsia="仿宋_GB2312" w:cs="仿宋_GB2312"/>
          <w:b w:val="0"/>
          <w:spacing w:val="0"/>
          <w:kern w:val="32"/>
          <w:sz w:val="32"/>
          <w:szCs w:val="32"/>
          <w:highlight w:val="none"/>
          <w:lang w:val="en-US" w:eastAsia="zh-CN"/>
        </w:rPr>
      </w:pPr>
      <w:bookmarkStart w:id="11" w:name="_Toc8822"/>
      <w:r>
        <w:rPr>
          <w:rFonts w:hint="eastAsia" w:ascii="Times New Roman" w:hAnsi="Times New Roman" w:eastAsia="仿宋_GB2312" w:cs="仿宋_GB2312"/>
          <w:b w:val="0"/>
          <w:spacing w:val="0"/>
          <w:kern w:val="32"/>
          <w:sz w:val="32"/>
          <w:szCs w:val="32"/>
          <w:highlight w:val="none"/>
          <w:lang w:val="en-US" w:eastAsia="zh-CN"/>
        </w:rPr>
        <w:t>随着社会经济不断发展</w:t>
      </w:r>
      <w:r>
        <w:rPr>
          <w:rFonts w:hint="eastAsia" w:ascii="Times New Roman" w:hAnsi="Times New Roman" w:cs="仿宋_GB2312"/>
          <w:b w:val="0"/>
          <w:spacing w:val="0"/>
          <w:kern w:val="32"/>
          <w:sz w:val="32"/>
          <w:szCs w:val="32"/>
          <w:highlight w:val="none"/>
          <w:lang w:val="en-US" w:eastAsia="zh-CN"/>
        </w:rPr>
        <w:t>，</w:t>
      </w:r>
      <w:r>
        <w:rPr>
          <w:rFonts w:hint="eastAsia" w:ascii="Times New Roman" w:hAnsi="Times New Roman" w:eastAsia="仿宋_GB2312" w:cs="仿宋_GB2312"/>
          <w:b w:val="0"/>
          <w:spacing w:val="0"/>
          <w:kern w:val="32"/>
          <w:sz w:val="32"/>
          <w:szCs w:val="32"/>
          <w:highlight w:val="none"/>
          <w:lang w:val="en-US" w:eastAsia="zh-CN"/>
        </w:rPr>
        <w:t>加速消费结构的变化，人民生活水平也在不断提高，因此大力发展旅游业是国家政策的重点支持范围。与此同时</w:t>
      </w:r>
      <w:r>
        <w:rPr>
          <w:rFonts w:hint="eastAsia" w:ascii="Times New Roman" w:hAnsi="Times New Roman" w:cs="仿宋_GB2312"/>
          <w:b w:val="0"/>
          <w:spacing w:val="0"/>
          <w:kern w:val="32"/>
          <w:sz w:val="32"/>
          <w:szCs w:val="32"/>
          <w:highlight w:val="none"/>
          <w:lang w:val="en-US" w:eastAsia="zh-CN"/>
        </w:rPr>
        <w:t>，</w:t>
      </w:r>
      <w:r>
        <w:rPr>
          <w:rFonts w:hint="eastAsia" w:ascii="Times New Roman" w:hAnsi="Times New Roman" w:eastAsia="仿宋_GB2312" w:cs="仿宋_GB2312"/>
          <w:b w:val="0"/>
          <w:spacing w:val="0"/>
          <w:kern w:val="32"/>
          <w:sz w:val="32"/>
          <w:szCs w:val="32"/>
          <w:highlight w:val="none"/>
          <w:lang w:val="en-US" w:eastAsia="zh-CN"/>
        </w:rPr>
        <w:t>内蒙古自治区也积极响应国家号召，将旅游业定为区内重要的第三产业支柱，并给予大力支持。内蒙古被称之为祖国的“北大门”，拥有优越的地理位置和得天独厚的旅游资源与民族文化，因此草原旅游是内蒙古旅游业发展的重要项目，它以自身的独特性、融合性占据了内蒙古旅游业发展的先导地位。在内蒙古各地区，伊金霍洛镇是旅游大镇，坐落于伊金霍洛旗中部，总面积717平方公里，总人口7572户17019人，常住人口3284户6896人，下辖嘎查村16个、社区1个。近年来，伊金霍洛镇街区基础设施和旅游基础设施老化破损严重，公共设施存在多处安全隐患，既制约了文旅产业发展，又降低了居民的生活质量。</w:t>
      </w:r>
    </w:p>
    <w:p>
      <w:pPr>
        <w:pStyle w:val="8"/>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firstLine="640" w:firstLineChars="200"/>
        <w:jc w:val="both"/>
        <w:textAlignment w:val="auto"/>
        <w:outlineLvl w:val="9"/>
        <w:rPr>
          <w:rFonts w:hint="eastAsia" w:ascii="Times New Roman" w:hAnsi="Times New Roman" w:eastAsia="仿宋_GB2312" w:cs="仿宋_GB2312"/>
          <w:b w:val="0"/>
          <w:spacing w:val="0"/>
          <w:kern w:val="32"/>
          <w:sz w:val="32"/>
          <w:szCs w:val="32"/>
          <w:highlight w:val="none"/>
          <w:lang w:val="en-US" w:eastAsia="zh-CN"/>
        </w:rPr>
      </w:pPr>
      <w:r>
        <w:rPr>
          <w:rFonts w:hint="eastAsia" w:ascii="Times New Roman" w:hAnsi="Times New Roman" w:eastAsia="仿宋_GB2312" w:cs="仿宋_GB2312"/>
          <w:b w:val="0"/>
          <w:spacing w:val="0"/>
          <w:kern w:val="32"/>
          <w:sz w:val="32"/>
          <w:szCs w:val="32"/>
          <w:highlight w:val="none"/>
          <w:lang w:val="en-US" w:eastAsia="zh-CN"/>
        </w:rPr>
        <w:t>为改善伊金霍洛镇基础设施条件和文化旅游环境</w:t>
      </w:r>
      <w:r>
        <w:rPr>
          <w:rFonts w:hint="eastAsia" w:ascii="Times New Roman" w:hAnsi="Times New Roman" w:cs="仿宋_GB2312"/>
          <w:b w:val="0"/>
          <w:spacing w:val="0"/>
          <w:kern w:val="32"/>
          <w:sz w:val="32"/>
          <w:szCs w:val="32"/>
          <w:highlight w:val="none"/>
          <w:lang w:val="en-US" w:eastAsia="zh-CN"/>
        </w:rPr>
        <w:t>，</w:t>
      </w:r>
      <w:r>
        <w:rPr>
          <w:rFonts w:hint="eastAsia" w:ascii="Times New Roman" w:hAnsi="Times New Roman" w:eastAsia="仿宋_GB2312" w:cs="仿宋_GB2312"/>
          <w:b w:val="0"/>
          <w:spacing w:val="0"/>
          <w:kern w:val="32"/>
          <w:sz w:val="32"/>
          <w:szCs w:val="32"/>
          <w:highlight w:val="none"/>
          <w:lang w:val="en-US" w:eastAsia="zh-CN"/>
        </w:rPr>
        <w:t>根据《伊金霍洛旗委</w:t>
      </w:r>
      <w:r>
        <w:rPr>
          <w:rFonts w:hint="eastAsia" w:ascii="Times New Roman" w:hAnsi="Times New Roman" w:cs="仿宋_GB2312"/>
          <w:b w:val="0"/>
          <w:spacing w:val="0"/>
          <w:kern w:val="32"/>
          <w:sz w:val="32"/>
          <w:szCs w:val="32"/>
          <w:highlight w:val="none"/>
          <w:lang w:val="en-US" w:eastAsia="zh-CN"/>
        </w:rPr>
        <w:t>第</w:t>
      </w:r>
      <w:r>
        <w:rPr>
          <w:rFonts w:hint="eastAsia" w:ascii="Times New Roman" w:hAnsi="Times New Roman" w:eastAsia="仿宋_GB2312" w:cs="仿宋_GB2312"/>
          <w:b w:val="0"/>
          <w:spacing w:val="0"/>
          <w:kern w:val="32"/>
          <w:sz w:val="32"/>
          <w:szCs w:val="32"/>
          <w:highlight w:val="none"/>
          <w:lang w:val="en-US" w:eastAsia="zh-CN"/>
        </w:rPr>
        <w:t>十五届57次常委会会议纪要》（〔2018〕4号）、《中共伊金霍洛镇第四届委员会第五十一次党委会会议纪要》（〔2022〕33号）及《伊金霍洛镇人民政府关于申请旅游基础设施和镇区基础设施建设资金的报告》（伊霍政字〔2022〕72号）等文件要求，实施巴音昌胡格草原旅游基础设施及镇区基础设施建设项目，改善我镇基础设施条件和文化旅游环境</w:t>
      </w:r>
      <w:r>
        <w:rPr>
          <w:rFonts w:hint="eastAsia" w:ascii="Times New Roman" w:hAnsi="Times New Roman" w:cs="仿宋_GB2312"/>
          <w:b w:val="0"/>
          <w:spacing w:val="0"/>
          <w:kern w:val="32"/>
          <w:sz w:val="32"/>
          <w:szCs w:val="32"/>
          <w:highlight w:val="none"/>
          <w:lang w:val="en-US" w:eastAsia="zh-CN"/>
        </w:rPr>
        <w:t>，</w:t>
      </w:r>
      <w:r>
        <w:rPr>
          <w:rFonts w:hint="eastAsia" w:ascii="Times New Roman" w:hAnsi="Times New Roman" w:eastAsia="仿宋_GB2312" w:cs="仿宋_GB2312"/>
          <w:b w:val="0"/>
          <w:spacing w:val="0"/>
          <w:kern w:val="32"/>
          <w:sz w:val="32"/>
          <w:szCs w:val="32"/>
          <w:highlight w:val="none"/>
          <w:lang w:val="en-US" w:eastAsia="zh-CN"/>
        </w:rPr>
        <w:t>从而带动我区旅游业的发展。</w:t>
      </w:r>
    </w:p>
    <w:p>
      <w:pPr>
        <w:keepNext w:val="0"/>
        <w:keepLines w:val="0"/>
        <w:pageBreakBefore w:val="0"/>
        <w:widowControl w:val="0"/>
        <w:kinsoku/>
        <w:wordWrap/>
        <w:overflowPunct/>
        <w:topLinePunct w:val="0"/>
        <w:autoSpaceDE/>
        <w:autoSpaceDN/>
        <w:bidi w:val="0"/>
        <w:adjustRightInd/>
        <w:snapToGrid/>
        <w:spacing w:before="0" w:beforeAutospacing="0" w:after="0" w:line="360" w:lineRule="auto"/>
        <w:ind w:left="0" w:leftChars="0" w:right="0" w:rightChars="0" w:firstLine="643" w:firstLineChars="200"/>
        <w:jc w:val="both"/>
        <w:textAlignment w:val="auto"/>
        <w:outlineLvl w:val="1"/>
        <w:rPr>
          <w:rFonts w:hint="eastAsia" w:ascii="Times New Roman" w:hAnsi="Times New Roman" w:eastAsia="楷体" w:cs="楷体"/>
          <w:b/>
          <w:bCs/>
          <w:spacing w:val="0"/>
          <w:kern w:val="32"/>
          <w:sz w:val="32"/>
          <w:highlight w:val="none"/>
          <w:lang w:val="en-US" w:eastAsia="zh-CN"/>
        </w:rPr>
      </w:pPr>
      <w:bookmarkStart w:id="12" w:name="_Toc25168"/>
      <w:bookmarkStart w:id="13" w:name="_Toc30767"/>
      <w:bookmarkStart w:id="14" w:name="_Toc23821"/>
      <w:r>
        <w:rPr>
          <w:rFonts w:hint="eastAsia" w:ascii="Times New Roman" w:hAnsi="Times New Roman" w:eastAsia="楷体" w:cs="楷体"/>
          <w:b/>
          <w:bCs/>
          <w:spacing w:val="0"/>
          <w:kern w:val="32"/>
          <w:sz w:val="32"/>
          <w:highlight w:val="none"/>
          <w:lang w:val="en-US" w:eastAsia="zh-CN"/>
        </w:rPr>
        <w:t>（二）项目内容</w:t>
      </w:r>
      <w:bookmarkEnd w:id="12"/>
      <w:bookmarkEnd w:id="13"/>
      <w:bookmarkEnd w:id="14"/>
    </w:p>
    <w:p>
      <w:pPr>
        <w:pStyle w:val="8"/>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firstLine="640" w:firstLineChars="200"/>
        <w:jc w:val="both"/>
        <w:textAlignment w:val="auto"/>
        <w:outlineLvl w:val="9"/>
        <w:rPr>
          <w:rFonts w:hint="eastAsia" w:ascii="Times New Roman" w:hAnsi="Times New Roman" w:eastAsia="仿宋_GB2312" w:cs="仿宋_GB2312"/>
          <w:b w:val="0"/>
          <w:spacing w:val="0"/>
          <w:kern w:val="32"/>
          <w:sz w:val="32"/>
          <w:szCs w:val="32"/>
          <w:highlight w:val="none"/>
          <w:lang w:val="en-US" w:eastAsia="zh-CN"/>
        </w:rPr>
      </w:pPr>
      <w:r>
        <w:rPr>
          <w:rFonts w:hint="eastAsia" w:ascii="Times New Roman" w:hAnsi="Times New Roman" w:eastAsia="仿宋_GB2312" w:cs="仿宋_GB2312"/>
          <w:b w:val="0"/>
          <w:spacing w:val="0"/>
          <w:kern w:val="32"/>
          <w:sz w:val="32"/>
          <w:szCs w:val="32"/>
          <w:highlight w:val="none"/>
          <w:lang w:val="en-US" w:eastAsia="zh-CN"/>
        </w:rPr>
        <w:t>项目对伊金霍洛镇草原旅游基础设施进行建设，包含东联路绿化、巴音昌胡格草原环境提升工程、道路两侧硬化、绕城路灌缝、草皮滩生态补水旧塘坝修复淤泥补水管道、绕城路路面标线工程等。</w:t>
      </w:r>
    </w:p>
    <w:p>
      <w:pPr>
        <w:keepNext w:val="0"/>
        <w:keepLines w:val="0"/>
        <w:pageBreakBefore w:val="0"/>
        <w:widowControl w:val="0"/>
        <w:kinsoku/>
        <w:wordWrap/>
        <w:overflowPunct/>
        <w:topLinePunct w:val="0"/>
        <w:autoSpaceDE/>
        <w:autoSpaceDN/>
        <w:bidi w:val="0"/>
        <w:adjustRightInd/>
        <w:snapToGrid/>
        <w:spacing w:before="0" w:beforeAutospacing="0" w:after="0" w:line="360" w:lineRule="auto"/>
        <w:ind w:left="0" w:leftChars="0" w:right="0" w:rightChars="0" w:firstLine="643" w:firstLineChars="200"/>
        <w:jc w:val="both"/>
        <w:textAlignment w:val="auto"/>
        <w:outlineLvl w:val="1"/>
        <w:rPr>
          <w:rFonts w:hint="eastAsia" w:ascii="Times New Roman" w:hAnsi="Times New Roman" w:eastAsia="楷体" w:cs="楷体"/>
          <w:b/>
          <w:bCs/>
          <w:spacing w:val="0"/>
          <w:kern w:val="32"/>
          <w:sz w:val="32"/>
          <w:highlight w:val="none"/>
          <w:lang w:val="en-US" w:eastAsia="zh-CN"/>
        </w:rPr>
      </w:pPr>
      <w:bookmarkStart w:id="15" w:name="_Toc14579"/>
      <w:bookmarkStart w:id="16" w:name="_Toc10492"/>
      <w:bookmarkStart w:id="17" w:name="_Toc30280"/>
      <w:r>
        <w:rPr>
          <w:rFonts w:hint="eastAsia" w:ascii="Times New Roman" w:hAnsi="Times New Roman" w:eastAsia="楷体" w:cs="楷体"/>
          <w:b/>
          <w:bCs/>
          <w:spacing w:val="0"/>
          <w:kern w:val="32"/>
          <w:sz w:val="32"/>
          <w:highlight w:val="none"/>
          <w:lang w:val="en-US" w:eastAsia="zh-CN"/>
        </w:rPr>
        <w:t>（三）</w:t>
      </w:r>
      <w:bookmarkEnd w:id="15"/>
      <w:bookmarkEnd w:id="16"/>
      <w:bookmarkEnd w:id="17"/>
      <w:bookmarkStart w:id="18" w:name="_Toc9728"/>
      <w:bookmarkStart w:id="19" w:name="_Toc19450"/>
      <w:bookmarkStart w:id="20" w:name="_Toc16599"/>
      <w:bookmarkStart w:id="21" w:name="_Toc18173"/>
      <w:bookmarkStart w:id="22" w:name="_Toc135650443"/>
      <w:r>
        <w:rPr>
          <w:rFonts w:hint="eastAsia" w:ascii="Times New Roman" w:hAnsi="Times New Roman" w:eastAsia="楷体" w:cs="楷体"/>
          <w:b/>
          <w:bCs/>
          <w:spacing w:val="0"/>
          <w:kern w:val="32"/>
          <w:sz w:val="32"/>
          <w:highlight w:val="none"/>
          <w:lang w:val="en-US" w:eastAsia="zh-CN"/>
        </w:rPr>
        <w:t>项目资金投入情况</w:t>
      </w:r>
      <w:bookmarkEnd w:id="18"/>
      <w:bookmarkEnd w:id="19"/>
      <w:bookmarkEnd w:id="20"/>
      <w:bookmarkEnd w:id="21"/>
      <w:bookmarkEnd w:id="22"/>
    </w:p>
    <w:p>
      <w:pPr>
        <w:pStyle w:val="8"/>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firstLine="640" w:firstLineChars="200"/>
        <w:jc w:val="both"/>
        <w:textAlignment w:val="auto"/>
        <w:outlineLvl w:val="9"/>
        <w:rPr>
          <w:rFonts w:hint="eastAsia" w:ascii="Times New Roman" w:hAnsi="Times New Roman" w:eastAsia="仿宋_GB2312" w:cs="仿宋_GB2312"/>
          <w:b w:val="0"/>
          <w:bCs/>
          <w:spacing w:val="0"/>
          <w:kern w:val="32"/>
          <w:sz w:val="32"/>
          <w:szCs w:val="32"/>
          <w:highlight w:val="none"/>
          <w:lang w:val="en-US" w:eastAsia="zh-CN"/>
        </w:rPr>
      </w:pPr>
      <w:r>
        <w:rPr>
          <w:rFonts w:hint="eastAsia" w:ascii="Times New Roman" w:hAnsi="Times New Roman" w:eastAsia="仿宋_GB2312" w:cs="仿宋_GB2312"/>
          <w:b w:val="0"/>
          <w:bCs/>
          <w:spacing w:val="0"/>
          <w:kern w:val="32"/>
          <w:sz w:val="32"/>
          <w:szCs w:val="32"/>
          <w:highlight w:val="none"/>
          <w:lang w:val="en-US" w:eastAsia="zh-CN"/>
        </w:rPr>
        <w:t>1</w:t>
      </w:r>
      <w:r>
        <w:rPr>
          <w:rFonts w:hint="eastAsia" w:ascii="Times New Roman" w:hAnsi="Times New Roman" w:cs="仿宋_GB2312"/>
          <w:b w:val="0"/>
          <w:bCs/>
          <w:spacing w:val="0"/>
          <w:kern w:val="32"/>
          <w:sz w:val="32"/>
          <w:szCs w:val="32"/>
          <w:highlight w:val="none"/>
          <w:lang w:val="en-US" w:eastAsia="zh-CN"/>
        </w:rPr>
        <w:t>.</w:t>
      </w:r>
      <w:r>
        <w:rPr>
          <w:rFonts w:hint="eastAsia" w:ascii="Times New Roman" w:hAnsi="Times New Roman" w:eastAsia="仿宋_GB2312" w:cs="仿宋_GB2312"/>
          <w:b w:val="0"/>
          <w:bCs/>
          <w:spacing w:val="0"/>
          <w:kern w:val="32"/>
          <w:sz w:val="32"/>
          <w:szCs w:val="32"/>
          <w:highlight w:val="none"/>
          <w:lang w:val="en-US" w:eastAsia="zh-CN"/>
        </w:rPr>
        <w:t>预算安排及资金分配</w:t>
      </w:r>
    </w:p>
    <w:p>
      <w:pPr>
        <w:pStyle w:val="8"/>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firstLine="640" w:firstLineChars="200"/>
        <w:jc w:val="both"/>
        <w:textAlignment w:val="auto"/>
        <w:outlineLvl w:val="9"/>
        <w:rPr>
          <w:rFonts w:hint="eastAsia" w:ascii="Times New Roman" w:hAnsi="Times New Roman" w:eastAsia="仿宋_GB2312" w:cs="仿宋_GB2312"/>
          <w:b w:val="0"/>
          <w:spacing w:val="0"/>
          <w:kern w:val="32"/>
          <w:sz w:val="32"/>
          <w:szCs w:val="32"/>
          <w:highlight w:val="none"/>
          <w:lang w:val="en-US" w:eastAsia="zh-CN"/>
        </w:rPr>
      </w:pPr>
      <w:r>
        <w:rPr>
          <w:rFonts w:hint="eastAsia" w:ascii="Times New Roman" w:hAnsi="Times New Roman" w:eastAsia="仿宋_GB2312" w:cs="仿宋_GB2312"/>
          <w:b w:val="0"/>
          <w:spacing w:val="0"/>
          <w:kern w:val="32"/>
          <w:sz w:val="32"/>
          <w:szCs w:val="32"/>
          <w:highlight w:val="none"/>
          <w:lang w:val="en-US" w:eastAsia="zh-CN"/>
        </w:rPr>
        <w:t>根据《伊金霍洛旗委</w:t>
      </w:r>
      <w:r>
        <w:rPr>
          <w:rFonts w:hint="eastAsia" w:ascii="Times New Roman" w:hAnsi="Times New Roman" w:cs="仿宋_GB2312"/>
          <w:b w:val="0"/>
          <w:spacing w:val="0"/>
          <w:kern w:val="32"/>
          <w:sz w:val="32"/>
          <w:szCs w:val="32"/>
          <w:highlight w:val="none"/>
          <w:lang w:val="en-US" w:eastAsia="zh-CN"/>
        </w:rPr>
        <w:t>第</w:t>
      </w:r>
      <w:r>
        <w:rPr>
          <w:rFonts w:hint="eastAsia" w:ascii="Times New Roman" w:hAnsi="Times New Roman" w:eastAsia="仿宋_GB2312" w:cs="仿宋_GB2312"/>
          <w:b w:val="0"/>
          <w:spacing w:val="0"/>
          <w:kern w:val="32"/>
          <w:sz w:val="32"/>
          <w:szCs w:val="32"/>
          <w:highlight w:val="none"/>
          <w:lang w:val="en-US" w:eastAsia="zh-CN"/>
        </w:rPr>
        <w:t>十五届57次常委会会议纪要》（〔2018〕4号）、《中共伊金霍洛镇第四届委员会第五十一次党委会会议纪要》（〔2022〕33号）、《伊金霍洛镇人民政府关于申请旅游基础设施和镇区基础设施建设资金的报告》（伊霍政字〔2022〕72号）等文件，</w:t>
      </w:r>
      <w:bookmarkEnd w:id="11"/>
      <w:r>
        <w:rPr>
          <w:rFonts w:hint="eastAsia" w:ascii="Times New Roman" w:hAnsi="Times New Roman" w:eastAsia="仿宋_GB2312" w:cs="仿宋_GB2312"/>
          <w:b w:val="0"/>
          <w:spacing w:val="0"/>
          <w:kern w:val="32"/>
          <w:sz w:val="32"/>
          <w:szCs w:val="32"/>
          <w:highlight w:val="none"/>
          <w:lang w:val="en-US" w:eastAsia="zh-CN"/>
        </w:rPr>
        <w:t>2022年巴音昌胡格草原旅游基础设施及镇区基础设施建设项目预算批复资金420万元，拨付到位420万元，资金主要用于支付各子项目工程尾款。</w:t>
      </w:r>
      <w:bookmarkStart w:id="23" w:name="_Toc23682"/>
      <w:bookmarkStart w:id="24" w:name="_Toc31173"/>
      <w:bookmarkStart w:id="25" w:name="_Toc446"/>
    </w:p>
    <w:p>
      <w:pPr>
        <w:pStyle w:val="8"/>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firstLine="640" w:firstLineChars="200"/>
        <w:jc w:val="both"/>
        <w:textAlignment w:val="auto"/>
        <w:outlineLvl w:val="9"/>
        <w:rPr>
          <w:rFonts w:hint="eastAsia" w:ascii="Times New Roman" w:hAnsi="Times New Roman" w:eastAsia="仿宋_GB2312" w:cs="仿宋_GB2312"/>
          <w:b w:val="0"/>
          <w:bCs/>
          <w:spacing w:val="0"/>
          <w:kern w:val="32"/>
          <w:sz w:val="32"/>
          <w:szCs w:val="32"/>
          <w:highlight w:val="none"/>
          <w:lang w:val="en-US" w:eastAsia="zh-CN"/>
        </w:rPr>
      </w:pPr>
      <w:r>
        <w:rPr>
          <w:rFonts w:hint="eastAsia" w:ascii="Times New Roman" w:hAnsi="Times New Roman" w:eastAsia="仿宋_GB2312" w:cs="仿宋_GB2312"/>
          <w:b w:val="0"/>
          <w:bCs/>
          <w:spacing w:val="0"/>
          <w:kern w:val="32"/>
          <w:sz w:val="32"/>
          <w:szCs w:val="32"/>
          <w:highlight w:val="none"/>
          <w:lang w:val="en-US" w:eastAsia="zh-CN"/>
        </w:rPr>
        <w:t>2</w:t>
      </w:r>
      <w:r>
        <w:rPr>
          <w:rFonts w:hint="eastAsia" w:ascii="Times New Roman" w:hAnsi="Times New Roman" w:cs="仿宋_GB2312"/>
          <w:b w:val="0"/>
          <w:bCs/>
          <w:spacing w:val="0"/>
          <w:kern w:val="32"/>
          <w:sz w:val="32"/>
          <w:szCs w:val="32"/>
          <w:highlight w:val="none"/>
          <w:lang w:val="en-US" w:eastAsia="zh-CN"/>
        </w:rPr>
        <w:t>.</w:t>
      </w:r>
      <w:r>
        <w:rPr>
          <w:rFonts w:hint="eastAsia" w:ascii="Times New Roman" w:hAnsi="Times New Roman" w:eastAsia="仿宋_GB2312" w:cs="仿宋_GB2312"/>
          <w:b w:val="0"/>
          <w:bCs/>
          <w:spacing w:val="0"/>
          <w:kern w:val="32"/>
          <w:sz w:val="32"/>
          <w:szCs w:val="32"/>
          <w:highlight w:val="none"/>
          <w:lang w:val="en-US" w:eastAsia="zh-CN"/>
        </w:rPr>
        <w:t>资金使用情况</w:t>
      </w:r>
    </w:p>
    <w:p>
      <w:pPr>
        <w:pStyle w:val="8"/>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firstLine="640" w:firstLineChars="200"/>
        <w:jc w:val="both"/>
        <w:textAlignment w:val="auto"/>
        <w:outlineLvl w:val="9"/>
        <w:rPr>
          <w:rFonts w:hint="eastAsia" w:ascii="Times New Roman" w:hAnsi="Times New Roman" w:eastAsia="仿宋_GB2312" w:cs="仿宋_GB2312"/>
          <w:b w:val="0"/>
          <w:spacing w:val="0"/>
          <w:kern w:val="32"/>
          <w:sz w:val="32"/>
          <w:szCs w:val="32"/>
          <w:highlight w:val="none"/>
          <w:lang w:val="en-US" w:eastAsia="zh-CN"/>
        </w:rPr>
      </w:pPr>
      <w:r>
        <w:rPr>
          <w:rFonts w:hint="eastAsia" w:ascii="Times New Roman" w:hAnsi="Times New Roman" w:eastAsia="仿宋_GB2312" w:cs="仿宋_GB2312"/>
          <w:b w:val="0"/>
          <w:spacing w:val="0"/>
          <w:kern w:val="32"/>
          <w:sz w:val="32"/>
          <w:szCs w:val="32"/>
          <w:highlight w:val="none"/>
          <w:lang w:val="en-US" w:eastAsia="zh-CN"/>
        </w:rPr>
        <w:t>2022年巴音昌胡格草原旅游基础设施及镇区基础设施建设项目实际支出419.76万元，预算执行率为99.94%</w:t>
      </w:r>
      <w:r>
        <w:rPr>
          <w:rFonts w:hint="eastAsia" w:ascii="Times New Roman" w:hAnsi="Times New Roman" w:cs="仿宋_GB2312"/>
          <w:b w:val="0"/>
          <w:spacing w:val="0"/>
          <w:kern w:val="32"/>
          <w:sz w:val="32"/>
          <w:szCs w:val="32"/>
          <w:highlight w:val="none"/>
          <w:lang w:val="en-US" w:eastAsia="zh-CN"/>
        </w:rPr>
        <w:t>。</w:t>
      </w:r>
    </w:p>
    <w:p>
      <w:pPr>
        <w:pStyle w:val="8"/>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firstLine="0" w:firstLineChars="0"/>
        <w:jc w:val="center"/>
        <w:textAlignment w:val="auto"/>
        <w:outlineLvl w:val="9"/>
        <w:rPr>
          <w:rFonts w:hint="eastAsia" w:ascii="Times New Roman" w:hAnsi="Times New Roman" w:eastAsia="仿宋" w:cs="仿宋"/>
          <w:b/>
          <w:bCs/>
          <w:spacing w:val="0"/>
          <w:kern w:val="32"/>
          <w:sz w:val="24"/>
          <w:szCs w:val="24"/>
          <w:highlight w:val="none"/>
          <w:lang w:val="en-US" w:eastAsia="zh-CN"/>
        </w:rPr>
      </w:pPr>
      <w:r>
        <w:rPr>
          <w:rFonts w:hint="eastAsia" w:ascii="Times New Roman" w:hAnsi="Times New Roman" w:eastAsia="仿宋" w:cs="仿宋"/>
          <w:b/>
          <w:bCs/>
          <w:spacing w:val="0"/>
          <w:kern w:val="32"/>
          <w:sz w:val="24"/>
          <w:szCs w:val="24"/>
          <w:highlight w:val="none"/>
          <w:lang w:val="en-US" w:eastAsia="zh-CN"/>
        </w:rPr>
        <w:t>2022年</w:t>
      </w:r>
      <w:bookmarkEnd w:id="23"/>
      <w:bookmarkEnd w:id="24"/>
      <w:r>
        <w:rPr>
          <w:rFonts w:hint="eastAsia" w:ascii="Times New Roman" w:hAnsi="Times New Roman" w:eastAsia="仿宋" w:cs="仿宋"/>
          <w:b/>
          <w:bCs/>
          <w:spacing w:val="0"/>
          <w:kern w:val="32"/>
          <w:sz w:val="24"/>
          <w:szCs w:val="24"/>
          <w:highlight w:val="none"/>
          <w:lang w:val="en-US" w:eastAsia="zh-CN"/>
        </w:rPr>
        <w:t>巴音昌胡格草原旅游基础设施及镇区基础设施建设项目资金支出明细</w:t>
      </w:r>
    </w:p>
    <w:p>
      <w:pPr>
        <w:pStyle w:val="33"/>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0" w:firstLineChars="0"/>
        <w:jc w:val="right"/>
        <w:textAlignment w:val="auto"/>
        <w:outlineLvl w:val="9"/>
        <w:rPr>
          <w:rFonts w:hint="default" w:ascii="Times New Roman" w:hAnsi="Times New Roman" w:eastAsia="仿宋" w:cs="仿宋"/>
          <w:b/>
          <w:bCs/>
          <w:spacing w:val="0"/>
          <w:kern w:val="32"/>
          <w:sz w:val="24"/>
          <w:szCs w:val="24"/>
          <w:highlight w:val="none"/>
          <w:lang w:val="en-US" w:eastAsia="zh-CN"/>
        </w:rPr>
      </w:pPr>
      <w:r>
        <w:rPr>
          <w:rFonts w:hint="eastAsia" w:ascii="Times New Roman" w:hAnsi="Times New Roman" w:eastAsia="仿宋" w:cs="仿宋"/>
          <w:b/>
          <w:bCs/>
          <w:spacing w:val="0"/>
          <w:kern w:val="32"/>
          <w:sz w:val="24"/>
          <w:szCs w:val="24"/>
          <w:highlight w:val="none"/>
          <w:lang w:val="en-US" w:eastAsia="zh-CN"/>
        </w:rPr>
        <w:t>单位：万元</w:t>
      </w:r>
    </w:p>
    <w:tbl>
      <w:tblPr>
        <w:tblStyle w:val="2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5125"/>
        <w:gridCol w:w="1415"/>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blHeader/>
          <w:jc w:val="center"/>
        </w:trPr>
        <w:tc>
          <w:tcPr>
            <w:tcW w:w="254"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bCs w:val="0"/>
                <w:i w:val="0"/>
                <w:iCs w:val="0"/>
                <w:color w:val="000000"/>
                <w:spacing w:val="0"/>
                <w:kern w:val="32"/>
                <w:sz w:val="24"/>
                <w:szCs w:val="24"/>
                <w:highlight w:val="none"/>
                <w:u w:val="none"/>
                <w:lang w:val="en-US" w:eastAsia="zh-CN"/>
              </w:rPr>
            </w:pPr>
            <w:r>
              <w:rPr>
                <w:rFonts w:hint="eastAsia" w:ascii="Times New Roman" w:hAnsi="Times New Roman" w:eastAsia="仿宋" w:cs="仿宋"/>
                <w:b/>
                <w:bCs w:val="0"/>
                <w:i w:val="0"/>
                <w:iCs w:val="0"/>
                <w:color w:val="000000"/>
                <w:spacing w:val="0"/>
                <w:kern w:val="32"/>
                <w:sz w:val="24"/>
                <w:szCs w:val="24"/>
                <w:highlight w:val="none"/>
                <w:u w:val="none"/>
                <w:lang w:val="en-US" w:eastAsia="zh-CN"/>
              </w:rPr>
              <w:t>序号</w:t>
            </w:r>
          </w:p>
        </w:tc>
        <w:tc>
          <w:tcPr>
            <w:tcW w:w="2774"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bCs w:val="0"/>
                <w:i w:val="0"/>
                <w:iCs w:val="0"/>
                <w:color w:val="000000"/>
                <w:spacing w:val="0"/>
                <w:kern w:val="32"/>
                <w:sz w:val="24"/>
                <w:szCs w:val="24"/>
                <w:highlight w:val="none"/>
                <w:u w:val="none"/>
                <w:lang w:val="en-US" w:eastAsia="zh-CN"/>
              </w:rPr>
            </w:pPr>
            <w:r>
              <w:rPr>
                <w:rFonts w:hint="eastAsia" w:ascii="Times New Roman" w:hAnsi="Times New Roman" w:eastAsia="仿宋" w:cs="仿宋"/>
                <w:b/>
                <w:bCs w:val="0"/>
                <w:i w:val="0"/>
                <w:iCs w:val="0"/>
                <w:color w:val="000000"/>
                <w:spacing w:val="0"/>
                <w:kern w:val="32"/>
                <w:sz w:val="24"/>
                <w:szCs w:val="24"/>
                <w:highlight w:val="none"/>
                <w:u w:val="none"/>
                <w:lang w:val="en-US" w:eastAsia="zh-CN"/>
              </w:rPr>
              <w:t>款项名称</w:t>
            </w:r>
          </w:p>
        </w:tc>
        <w:tc>
          <w:tcPr>
            <w:tcW w:w="76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bCs w:val="0"/>
                <w:i w:val="0"/>
                <w:iCs w:val="0"/>
                <w:color w:val="000000"/>
                <w:spacing w:val="0"/>
                <w:kern w:val="32"/>
                <w:sz w:val="24"/>
                <w:szCs w:val="24"/>
                <w:highlight w:val="none"/>
                <w:u w:val="none"/>
                <w:lang w:val="en-US" w:eastAsia="zh-CN"/>
              </w:rPr>
            </w:pPr>
            <w:r>
              <w:rPr>
                <w:rFonts w:hint="eastAsia" w:ascii="Times New Roman" w:hAnsi="Times New Roman" w:eastAsia="仿宋" w:cs="仿宋"/>
                <w:b/>
                <w:bCs w:val="0"/>
                <w:i w:val="0"/>
                <w:iCs w:val="0"/>
                <w:color w:val="000000"/>
                <w:spacing w:val="0"/>
                <w:kern w:val="32"/>
                <w:sz w:val="24"/>
                <w:szCs w:val="24"/>
                <w:highlight w:val="none"/>
                <w:u w:val="none"/>
                <w:lang w:val="en-US" w:eastAsia="zh-CN"/>
              </w:rPr>
              <w:t>金额</w:t>
            </w:r>
          </w:p>
        </w:tc>
        <w:tc>
          <w:tcPr>
            <w:tcW w:w="120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仿宋"/>
                <w:b/>
                <w:bCs w:val="0"/>
                <w:i w:val="0"/>
                <w:iCs w:val="0"/>
                <w:color w:val="000000"/>
                <w:spacing w:val="0"/>
                <w:kern w:val="32"/>
                <w:sz w:val="24"/>
                <w:szCs w:val="24"/>
                <w:highlight w:val="none"/>
                <w:u w:val="none"/>
                <w:lang w:val="en-US" w:eastAsia="zh-CN"/>
              </w:rPr>
            </w:pPr>
            <w:r>
              <w:rPr>
                <w:rFonts w:hint="eastAsia" w:ascii="Times New Roman" w:hAnsi="Times New Roman" w:eastAsia="仿宋" w:cs="仿宋"/>
                <w:b/>
                <w:bCs w:val="0"/>
                <w:i w:val="0"/>
                <w:iCs w:val="0"/>
                <w:color w:val="000000"/>
                <w:spacing w:val="0"/>
                <w:kern w:val="32"/>
                <w:sz w:val="24"/>
                <w:szCs w:val="24"/>
                <w:highlight w:val="none"/>
                <w:u w:val="none"/>
                <w:lang w:val="en-US" w:eastAsia="zh-CN"/>
              </w:rPr>
              <w:t>付款时间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i w:val="0"/>
                <w:iCs w:val="0"/>
                <w:color w:val="000000"/>
                <w:spacing w:val="0"/>
                <w:kern w:val="32"/>
                <w:sz w:val="24"/>
                <w:szCs w:val="24"/>
                <w:highlight w:val="none"/>
                <w:u w:val="none"/>
                <w:lang w:val="en-US" w:eastAsia="zh-CN" w:bidi="ar"/>
              </w:rPr>
            </w:pPr>
            <w:r>
              <w:rPr>
                <w:rFonts w:hint="eastAsia" w:ascii="Times New Roman" w:hAnsi="Times New Roman" w:eastAsia="仿宋" w:cs="仿宋"/>
                <w:b w:val="0"/>
                <w:i w:val="0"/>
                <w:iCs w:val="0"/>
                <w:color w:val="000000"/>
                <w:spacing w:val="0"/>
                <w:kern w:val="32"/>
                <w:sz w:val="24"/>
                <w:szCs w:val="24"/>
                <w:highlight w:val="none"/>
                <w:u w:val="none"/>
                <w:lang w:val="en-US" w:eastAsia="zh-CN" w:bidi="ar"/>
              </w:rPr>
              <w:t>1</w:t>
            </w:r>
          </w:p>
        </w:tc>
        <w:tc>
          <w:tcPr>
            <w:tcW w:w="2774"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i w:val="0"/>
                <w:iCs w:val="0"/>
                <w:color w:val="000000"/>
                <w:spacing w:val="0"/>
                <w:kern w:val="32"/>
                <w:sz w:val="24"/>
                <w:szCs w:val="24"/>
                <w:highlight w:val="none"/>
                <w:u w:val="none"/>
              </w:rPr>
            </w:pPr>
            <w:r>
              <w:rPr>
                <w:rFonts w:hint="eastAsia" w:ascii="Times New Roman" w:hAnsi="Times New Roman" w:eastAsia="仿宋" w:cs="仿宋"/>
                <w:b w:val="0"/>
                <w:spacing w:val="0"/>
                <w:kern w:val="32"/>
                <w:sz w:val="24"/>
                <w:szCs w:val="24"/>
                <w:highlight w:val="none"/>
              </w:rPr>
              <w:t>蒙汉情绿化公司巴音昌</w:t>
            </w:r>
            <w:r>
              <w:rPr>
                <w:rFonts w:hint="eastAsia" w:ascii="Times New Roman" w:hAnsi="Times New Roman" w:eastAsia="仿宋" w:cs="仿宋"/>
                <w:b w:val="0"/>
                <w:spacing w:val="0"/>
                <w:kern w:val="32"/>
                <w:sz w:val="24"/>
                <w:szCs w:val="24"/>
                <w:highlight w:val="none"/>
                <w:lang w:val="en-US" w:eastAsia="zh-CN"/>
              </w:rPr>
              <w:t>胡</w:t>
            </w:r>
            <w:r>
              <w:rPr>
                <w:rFonts w:hint="eastAsia" w:ascii="Times New Roman" w:hAnsi="Times New Roman" w:eastAsia="仿宋" w:cs="仿宋"/>
                <w:b w:val="0"/>
                <w:spacing w:val="0"/>
                <w:kern w:val="32"/>
                <w:sz w:val="24"/>
                <w:szCs w:val="24"/>
                <w:highlight w:val="none"/>
              </w:rPr>
              <w:t>格东联路绿化工程款</w:t>
            </w:r>
          </w:p>
        </w:tc>
        <w:tc>
          <w:tcPr>
            <w:tcW w:w="76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i w:val="0"/>
                <w:iCs w:val="0"/>
                <w:color w:val="000000"/>
                <w:spacing w:val="0"/>
                <w:kern w:val="32"/>
                <w:sz w:val="24"/>
                <w:szCs w:val="24"/>
                <w:highlight w:val="none"/>
                <w:u w:val="none"/>
                <w:lang w:val="en-US" w:eastAsia="zh-CN"/>
              </w:rPr>
            </w:pPr>
            <w:r>
              <w:rPr>
                <w:rFonts w:hint="eastAsia" w:ascii="Times New Roman" w:hAnsi="Times New Roman" w:eastAsia="仿宋" w:cs="仿宋"/>
                <w:b w:val="0"/>
                <w:i w:val="0"/>
                <w:iCs w:val="0"/>
                <w:color w:val="000000"/>
                <w:spacing w:val="0"/>
                <w:kern w:val="32"/>
                <w:sz w:val="24"/>
                <w:szCs w:val="24"/>
                <w:highlight w:val="none"/>
                <w:u w:val="none"/>
                <w:lang w:val="en-US" w:eastAsia="zh-CN"/>
              </w:rPr>
              <w:t>46.39</w:t>
            </w:r>
          </w:p>
        </w:tc>
        <w:tc>
          <w:tcPr>
            <w:tcW w:w="120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仿宋"/>
                <w:b w:val="0"/>
                <w:i w:val="0"/>
                <w:iCs w:val="0"/>
                <w:color w:val="000000"/>
                <w:spacing w:val="0"/>
                <w:kern w:val="32"/>
                <w:sz w:val="24"/>
                <w:szCs w:val="24"/>
                <w:highlight w:val="none"/>
                <w:u w:val="none"/>
                <w:lang w:val="en-US" w:eastAsia="zh-CN"/>
              </w:rPr>
            </w:pPr>
            <w:r>
              <w:rPr>
                <w:rFonts w:hint="eastAsia" w:ascii="Times New Roman" w:hAnsi="Times New Roman" w:eastAsia="仿宋" w:cs="仿宋"/>
                <w:b w:val="0"/>
                <w:i w:val="0"/>
                <w:iCs w:val="0"/>
                <w:color w:val="000000"/>
                <w:spacing w:val="0"/>
                <w:kern w:val="32"/>
                <w:sz w:val="24"/>
                <w:szCs w:val="24"/>
                <w:highlight w:val="none"/>
                <w:u w:val="none"/>
                <w:lang w:val="en-US" w:eastAsia="zh-CN"/>
              </w:rPr>
              <w:t>2022年11月8日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Style w:val="41"/>
                <w:rFonts w:hint="eastAsia" w:ascii="Times New Roman" w:hAnsi="Times New Roman" w:eastAsia="仿宋" w:cs="仿宋"/>
                <w:b w:val="0"/>
                <w:spacing w:val="0"/>
                <w:kern w:val="32"/>
                <w:sz w:val="24"/>
                <w:szCs w:val="24"/>
                <w:highlight w:val="none"/>
                <w:lang w:val="en-US" w:eastAsia="zh-CN" w:bidi="ar"/>
              </w:rPr>
            </w:pPr>
            <w:r>
              <w:rPr>
                <w:rStyle w:val="41"/>
                <w:rFonts w:hint="eastAsia" w:ascii="Times New Roman" w:hAnsi="Times New Roman" w:eastAsia="仿宋" w:cs="仿宋"/>
                <w:b w:val="0"/>
                <w:spacing w:val="0"/>
                <w:kern w:val="32"/>
                <w:sz w:val="24"/>
                <w:szCs w:val="24"/>
                <w:highlight w:val="none"/>
                <w:lang w:val="en-US" w:eastAsia="zh-CN" w:bidi="ar"/>
              </w:rPr>
              <w:t>2</w:t>
            </w:r>
          </w:p>
        </w:tc>
        <w:tc>
          <w:tcPr>
            <w:tcW w:w="2774"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i w:val="0"/>
                <w:iCs w:val="0"/>
                <w:color w:val="000000"/>
                <w:spacing w:val="0"/>
                <w:kern w:val="32"/>
                <w:sz w:val="24"/>
                <w:szCs w:val="24"/>
                <w:highlight w:val="none"/>
                <w:u w:val="none"/>
              </w:rPr>
            </w:pPr>
            <w:r>
              <w:rPr>
                <w:rFonts w:hint="eastAsia" w:ascii="Times New Roman" w:hAnsi="Times New Roman" w:eastAsia="仿宋" w:cs="仿宋"/>
                <w:b w:val="0"/>
                <w:spacing w:val="0"/>
                <w:kern w:val="32"/>
                <w:sz w:val="24"/>
                <w:szCs w:val="24"/>
                <w:highlight w:val="none"/>
              </w:rPr>
              <w:t>蒙汉情绿化公司巴音昌</w:t>
            </w:r>
            <w:r>
              <w:rPr>
                <w:rFonts w:hint="eastAsia" w:ascii="Times New Roman" w:hAnsi="Times New Roman" w:eastAsia="仿宋" w:cs="仿宋"/>
                <w:b w:val="0"/>
                <w:spacing w:val="0"/>
                <w:kern w:val="32"/>
                <w:sz w:val="24"/>
                <w:szCs w:val="24"/>
                <w:highlight w:val="none"/>
                <w:lang w:val="en-US" w:eastAsia="zh-CN"/>
              </w:rPr>
              <w:t>胡</w:t>
            </w:r>
            <w:r>
              <w:rPr>
                <w:rFonts w:hint="eastAsia" w:ascii="Times New Roman" w:hAnsi="Times New Roman" w:eastAsia="仿宋" w:cs="仿宋"/>
                <w:b w:val="0"/>
                <w:spacing w:val="0"/>
                <w:kern w:val="32"/>
                <w:sz w:val="24"/>
                <w:szCs w:val="24"/>
                <w:highlight w:val="none"/>
              </w:rPr>
              <w:t>格草原环境提升工程款</w:t>
            </w:r>
            <w:r>
              <w:rPr>
                <w:rFonts w:hint="eastAsia" w:ascii="Times New Roman" w:hAnsi="Times New Roman" w:eastAsia="仿宋" w:cs="仿宋"/>
                <w:b w:val="0"/>
                <w:spacing w:val="0"/>
                <w:kern w:val="32"/>
                <w:sz w:val="24"/>
                <w:szCs w:val="24"/>
                <w:highlight w:val="none"/>
                <w:lang w:eastAsia="zh-CN"/>
              </w:rPr>
              <w:t>-</w:t>
            </w:r>
            <w:r>
              <w:rPr>
                <w:rFonts w:hint="eastAsia" w:ascii="Times New Roman" w:hAnsi="Times New Roman" w:eastAsia="仿宋" w:cs="仿宋"/>
                <w:b w:val="0"/>
                <w:spacing w:val="0"/>
                <w:kern w:val="32"/>
                <w:sz w:val="24"/>
                <w:szCs w:val="24"/>
                <w:highlight w:val="none"/>
              </w:rPr>
              <w:t>道路两侧硬化</w:t>
            </w:r>
          </w:p>
        </w:tc>
        <w:tc>
          <w:tcPr>
            <w:tcW w:w="76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i w:val="0"/>
                <w:iCs w:val="0"/>
                <w:color w:val="000000"/>
                <w:spacing w:val="0"/>
                <w:kern w:val="32"/>
                <w:sz w:val="24"/>
                <w:szCs w:val="24"/>
                <w:highlight w:val="none"/>
                <w:u w:val="none"/>
                <w:lang w:val="en-US" w:eastAsia="zh-CN"/>
              </w:rPr>
            </w:pPr>
            <w:r>
              <w:rPr>
                <w:rFonts w:hint="eastAsia" w:ascii="Times New Roman" w:hAnsi="Times New Roman" w:eastAsia="仿宋" w:cs="仿宋"/>
                <w:b w:val="0"/>
                <w:i w:val="0"/>
                <w:iCs w:val="0"/>
                <w:color w:val="000000"/>
                <w:spacing w:val="0"/>
                <w:kern w:val="32"/>
                <w:sz w:val="24"/>
                <w:szCs w:val="24"/>
                <w:highlight w:val="none"/>
                <w:u w:val="none"/>
                <w:lang w:val="en-US" w:eastAsia="zh-CN"/>
              </w:rPr>
              <w:t>94.81</w:t>
            </w:r>
          </w:p>
        </w:tc>
        <w:tc>
          <w:tcPr>
            <w:tcW w:w="120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i w:val="0"/>
                <w:iCs w:val="0"/>
                <w:color w:val="000000"/>
                <w:spacing w:val="0"/>
                <w:kern w:val="32"/>
                <w:sz w:val="24"/>
                <w:szCs w:val="24"/>
                <w:highlight w:val="none"/>
                <w:u w:val="none"/>
                <w:lang w:val="en-US" w:eastAsia="zh-CN"/>
              </w:rPr>
            </w:pPr>
            <w:r>
              <w:rPr>
                <w:rFonts w:hint="eastAsia" w:ascii="Times New Roman" w:hAnsi="Times New Roman" w:eastAsia="仿宋" w:cs="仿宋"/>
                <w:b w:val="0"/>
                <w:i w:val="0"/>
                <w:iCs w:val="0"/>
                <w:color w:val="000000"/>
                <w:spacing w:val="0"/>
                <w:kern w:val="32"/>
                <w:sz w:val="24"/>
                <w:szCs w:val="24"/>
                <w:highlight w:val="none"/>
                <w:u w:val="none"/>
                <w:lang w:val="en-US" w:eastAsia="zh-CN"/>
              </w:rPr>
              <w:t>2022年11月8日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Style w:val="41"/>
                <w:rFonts w:hint="eastAsia" w:ascii="Times New Roman" w:hAnsi="Times New Roman" w:eastAsia="仿宋" w:cs="仿宋"/>
                <w:b w:val="0"/>
                <w:spacing w:val="0"/>
                <w:kern w:val="32"/>
                <w:sz w:val="24"/>
                <w:szCs w:val="24"/>
                <w:highlight w:val="none"/>
                <w:lang w:val="en-US" w:eastAsia="zh-CN" w:bidi="ar"/>
              </w:rPr>
            </w:pPr>
            <w:r>
              <w:rPr>
                <w:rStyle w:val="41"/>
                <w:rFonts w:hint="eastAsia" w:ascii="Times New Roman" w:hAnsi="Times New Roman" w:eastAsia="仿宋" w:cs="仿宋"/>
                <w:b w:val="0"/>
                <w:spacing w:val="0"/>
                <w:kern w:val="32"/>
                <w:sz w:val="24"/>
                <w:szCs w:val="24"/>
                <w:highlight w:val="none"/>
                <w:lang w:val="en-US" w:eastAsia="zh-CN" w:bidi="ar"/>
              </w:rPr>
              <w:t>3</w:t>
            </w:r>
          </w:p>
        </w:tc>
        <w:tc>
          <w:tcPr>
            <w:tcW w:w="2774"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i w:val="0"/>
                <w:iCs w:val="0"/>
                <w:color w:val="000000"/>
                <w:spacing w:val="0"/>
                <w:kern w:val="32"/>
                <w:sz w:val="24"/>
                <w:szCs w:val="24"/>
                <w:highlight w:val="none"/>
                <w:u w:val="none"/>
              </w:rPr>
            </w:pPr>
            <w:r>
              <w:rPr>
                <w:rFonts w:hint="eastAsia" w:ascii="Times New Roman" w:hAnsi="Times New Roman" w:eastAsia="仿宋" w:cs="仿宋"/>
                <w:b w:val="0"/>
                <w:spacing w:val="0"/>
                <w:kern w:val="32"/>
                <w:sz w:val="24"/>
                <w:szCs w:val="24"/>
                <w:highlight w:val="none"/>
              </w:rPr>
              <w:t>怡德建设绕城路路面标线工程款</w:t>
            </w:r>
          </w:p>
        </w:tc>
        <w:tc>
          <w:tcPr>
            <w:tcW w:w="76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i w:val="0"/>
                <w:iCs w:val="0"/>
                <w:color w:val="000000"/>
                <w:spacing w:val="0"/>
                <w:kern w:val="32"/>
                <w:sz w:val="24"/>
                <w:szCs w:val="24"/>
                <w:highlight w:val="none"/>
                <w:u w:val="none"/>
                <w:lang w:val="en-US" w:eastAsia="zh-CN"/>
              </w:rPr>
            </w:pPr>
            <w:r>
              <w:rPr>
                <w:rFonts w:hint="eastAsia" w:ascii="Times New Roman" w:hAnsi="Times New Roman" w:eastAsia="仿宋" w:cs="仿宋"/>
                <w:b w:val="0"/>
                <w:i w:val="0"/>
                <w:iCs w:val="0"/>
                <w:color w:val="000000"/>
                <w:spacing w:val="0"/>
                <w:kern w:val="32"/>
                <w:sz w:val="24"/>
                <w:szCs w:val="24"/>
                <w:highlight w:val="none"/>
                <w:u w:val="none"/>
                <w:lang w:val="en-US" w:eastAsia="zh-CN"/>
              </w:rPr>
              <w:t>23.97</w:t>
            </w:r>
          </w:p>
        </w:tc>
        <w:tc>
          <w:tcPr>
            <w:tcW w:w="120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i w:val="0"/>
                <w:iCs w:val="0"/>
                <w:color w:val="000000"/>
                <w:spacing w:val="0"/>
                <w:kern w:val="32"/>
                <w:sz w:val="24"/>
                <w:szCs w:val="24"/>
                <w:highlight w:val="none"/>
                <w:u w:val="none"/>
                <w:lang w:val="en-US" w:eastAsia="zh-CN"/>
              </w:rPr>
            </w:pPr>
            <w:r>
              <w:rPr>
                <w:rFonts w:hint="eastAsia" w:ascii="Times New Roman" w:hAnsi="Times New Roman" w:eastAsia="仿宋" w:cs="仿宋"/>
                <w:b w:val="0"/>
                <w:i w:val="0"/>
                <w:iCs w:val="0"/>
                <w:color w:val="000000"/>
                <w:spacing w:val="0"/>
                <w:kern w:val="32"/>
                <w:sz w:val="24"/>
                <w:szCs w:val="24"/>
                <w:highlight w:val="none"/>
                <w:u w:val="none"/>
                <w:lang w:val="en-US" w:eastAsia="zh-CN"/>
              </w:rPr>
              <w:t>2022年11月8日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Style w:val="41"/>
                <w:rFonts w:hint="eastAsia" w:ascii="Times New Roman" w:hAnsi="Times New Roman" w:eastAsia="仿宋" w:cs="仿宋"/>
                <w:b w:val="0"/>
                <w:spacing w:val="0"/>
                <w:kern w:val="32"/>
                <w:sz w:val="24"/>
                <w:szCs w:val="24"/>
                <w:highlight w:val="none"/>
                <w:lang w:val="en-US" w:eastAsia="zh-CN" w:bidi="ar"/>
              </w:rPr>
            </w:pPr>
            <w:r>
              <w:rPr>
                <w:rStyle w:val="41"/>
                <w:rFonts w:hint="eastAsia" w:ascii="Times New Roman" w:hAnsi="Times New Roman" w:eastAsia="仿宋" w:cs="仿宋"/>
                <w:b w:val="0"/>
                <w:spacing w:val="0"/>
                <w:kern w:val="32"/>
                <w:sz w:val="24"/>
                <w:szCs w:val="24"/>
                <w:highlight w:val="none"/>
                <w:lang w:val="en-US" w:eastAsia="zh-CN" w:bidi="ar"/>
              </w:rPr>
              <w:t>4</w:t>
            </w:r>
          </w:p>
        </w:tc>
        <w:tc>
          <w:tcPr>
            <w:tcW w:w="2774"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spacing w:val="0"/>
                <w:kern w:val="32"/>
                <w:sz w:val="24"/>
                <w:szCs w:val="24"/>
                <w:highlight w:val="none"/>
              </w:rPr>
            </w:pPr>
            <w:r>
              <w:rPr>
                <w:rFonts w:hint="eastAsia" w:ascii="Times New Roman" w:hAnsi="Times New Roman" w:eastAsia="仿宋" w:cs="仿宋"/>
                <w:b w:val="0"/>
                <w:spacing w:val="0"/>
                <w:kern w:val="32"/>
                <w:sz w:val="24"/>
                <w:szCs w:val="24"/>
                <w:highlight w:val="none"/>
              </w:rPr>
              <w:t>怡德建设镇区绕城路灌缝工程款</w:t>
            </w:r>
          </w:p>
        </w:tc>
        <w:tc>
          <w:tcPr>
            <w:tcW w:w="76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i w:val="0"/>
                <w:iCs w:val="0"/>
                <w:color w:val="000000"/>
                <w:spacing w:val="0"/>
                <w:kern w:val="32"/>
                <w:sz w:val="24"/>
                <w:szCs w:val="24"/>
                <w:highlight w:val="none"/>
                <w:u w:val="none"/>
                <w:lang w:val="en-US" w:eastAsia="zh-CN"/>
              </w:rPr>
            </w:pPr>
            <w:r>
              <w:rPr>
                <w:rFonts w:hint="eastAsia" w:ascii="Times New Roman" w:hAnsi="Times New Roman" w:eastAsia="仿宋" w:cs="仿宋"/>
                <w:b w:val="0"/>
                <w:i w:val="0"/>
                <w:iCs w:val="0"/>
                <w:color w:val="000000"/>
                <w:spacing w:val="0"/>
                <w:kern w:val="32"/>
                <w:sz w:val="24"/>
                <w:szCs w:val="24"/>
                <w:highlight w:val="none"/>
                <w:u w:val="none"/>
                <w:lang w:val="en-US" w:eastAsia="zh-CN"/>
              </w:rPr>
              <w:t>34.83</w:t>
            </w:r>
          </w:p>
        </w:tc>
        <w:tc>
          <w:tcPr>
            <w:tcW w:w="120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i w:val="0"/>
                <w:iCs w:val="0"/>
                <w:color w:val="000000"/>
                <w:spacing w:val="0"/>
                <w:kern w:val="32"/>
                <w:sz w:val="24"/>
                <w:szCs w:val="24"/>
                <w:highlight w:val="none"/>
                <w:u w:val="none"/>
                <w:lang w:val="en-US" w:eastAsia="zh-CN"/>
              </w:rPr>
            </w:pPr>
            <w:r>
              <w:rPr>
                <w:rFonts w:hint="eastAsia" w:ascii="Times New Roman" w:hAnsi="Times New Roman" w:eastAsia="仿宋" w:cs="仿宋"/>
                <w:b w:val="0"/>
                <w:i w:val="0"/>
                <w:iCs w:val="0"/>
                <w:color w:val="000000"/>
                <w:spacing w:val="0"/>
                <w:kern w:val="32"/>
                <w:sz w:val="24"/>
                <w:szCs w:val="24"/>
                <w:highlight w:val="none"/>
                <w:u w:val="none"/>
                <w:lang w:val="en-US" w:eastAsia="zh-CN"/>
              </w:rPr>
              <w:t>2022年11月8日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Style w:val="41"/>
                <w:rFonts w:hint="eastAsia" w:ascii="Times New Roman" w:hAnsi="Times New Roman" w:eastAsia="仿宋" w:cs="仿宋"/>
                <w:b w:val="0"/>
                <w:spacing w:val="0"/>
                <w:kern w:val="32"/>
                <w:sz w:val="24"/>
                <w:szCs w:val="24"/>
                <w:highlight w:val="none"/>
                <w:lang w:val="en-US" w:eastAsia="zh-CN" w:bidi="ar"/>
              </w:rPr>
            </w:pPr>
            <w:r>
              <w:rPr>
                <w:rStyle w:val="41"/>
                <w:rFonts w:hint="eastAsia" w:ascii="Times New Roman" w:hAnsi="Times New Roman" w:eastAsia="仿宋" w:cs="仿宋"/>
                <w:b w:val="0"/>
                <w:spacing w:val="0"/>
                <w:kern w:val="32"/>
                <w:sz w:val="24"/>
                <w:szCs w:val="24"/>
                <w:highlight w:val="none"/>
                <w:lang w:val="en-US" w:eastAsia="zh-CN" w:bidi="ar"/>
              </w:rPr>
              <w:t>5</w:t>
            </w:r>
          </w:p>
        </w:tc>
        <w:tc>
          <w:tcPr>
            <w:tcW w:w="2774"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i w:val="0"/>
                <w:iCs w:val="0"/>
                <w:color w:val="000000"/>
                <w:spacing w:val="0"/>
                <w:kern w:val="32"/>
                <w:sz w:val="24"/>
                <w:szCs w:val="24"/>
                <w:highlight w:val="none"/>
                <w:u w:val="none"/>
              </w:rPr>
            </w:pPr>
            <w:r>
              <w:rPr>
                <w:rFonts w:hint="eastAsia" w:ascii="Times New Roman" w:hAnsi="Times New Roman" w:eastAsia="仿宋" w:cs="仿宋"/>
                <w:b w:val="0"/>
                <w:spacing w:val="0"/>
                <w:kern w:val="32"/>
                <w:sz w:val="24"/>
                <w:szCs w:val="24"/>
                <w:highlight w:val="none"/>
              </w:rPr>
              <w:t>汇普商贸草皮滩零星工程款</w:t>
            </w:r>
          </w:p>
        </w:tc>
        <w:tc>
          <w:tcPr>
            <w:tcW w:w="76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i w:val="0"/>
                <w:iCs w:val="0"/>
                <w:color w:val="000000"/>
                <w:spacing w:val="0"/>
                <w:kern w:val="32"/>
                <w:sz w:val="24"/>
                <w:szCs w:val="24"/>
                <w:highlight w:val="none"/>
                <w:u w:val="none"/>
                <w:lang w:val="en-US" w:eastAsia="zh-CN"/>
              </w:rPr>
            </w:pPr>
            <w:r>
              <w:rPr>
                <w:rFonts w:hint="eastAsia" w:ascii="Times New Roman" w:hAnsi="Times New Roman" w:eastAsia="仿宋" w:cs="仿宋"/>
                <w:b w:val="0"/>
                <w:i w:val="0"/>
                <w:iCs w:val="0"/>
                <w:color w:val="000000"/>
                <w:spacing w:val="0"/>
                <w:kern w:val="32"/>
                <w:sz w:val="24"/>
                <w:szCs w:val="24"/>
                <w:highlight w:val="none"/>
                <w:u w:val="none"/>
                <w:lang w:val="en-US" w:eastAsia="zh-CN"/>
              </w:rPr>
              <w:t>103.26</w:t>
            </w:r>
          </w:p>
        </w:tc>
        <w:tc>
          <w:tcPr>
            <w:tcW w:w="120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i w:val="0"/>
                <w:iCs w:val="0"/>
                <w:color w:val="000000"/>
                <w:spacing w:val="0"/>
                <w:kern w:val="32"/>
                <w:sz w:val="24"/>
                <w:szCs w:val="24"/>
                <w:highlight w:val="none"/>
                <w:u w:val="none"/>
                <w:lang w:val="en-US" w:eastAsia="zh-CN"/>
              </w:rPr>
            </w:pPr>
            <w:r>
              <w:rPr>
                <w:rFonts w:hint="eastAsia" w:ascii="Times New Roman" w:hAnsi="Times New Roman" w:eastAsia="仿宋" w:cs="仿宋"/>
                <w:b w:val="0"/>
                <w:i w:val="0"/>
                <w:iCs w:val="0"/>
                <w:color w:val="000000"/>
                <w:spacing w:val="0"/>
                <w:kern w:val="32"/>
                <w:sz w:val="24"/>
                <w:szCs w:val="24"/>
                <w:highlight w:val="none"/>
                <w:u w:val="none"/>
                <w:lang w:val="en-US" w:eastAsia="zh-CN"/>
              </w:rPr>
              <w:t>2022年11月8日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Style w:val="41"/>
                <w:rFonts w:hint="eastAsia" w:ascii="Times New Roman" w:hAnsi="Times New Roman" w:eastAsia="仿宋" w:cs="仿宋"/>
                <w:b w:val="0"/>
                <w:spacing w:val="0"/>
                <w:kern w:val="32"/>
                <w:sz w:val="24"/>
                <w:szCs w:val="24"/>
                <w:highlight w:val="none"/>
                <w:lang w:val="en-US" w:eastAsia="zh-CN" w:bidi="ar"/>
              </w:rPr>
            </w:pPr>
            <w:r>
              <w:rPr>
                <w:rStyle w:val="41"/>
                <w:rFonts w:hint="eastAsia" w:ascii="Times New Roman" w:hAnsi="Times New Roman" w:eastAsia="仿宋" w:cs="仿宋"/>
                <w:b w:val="0"/>
                <w:spacing w:val="0"/>
                <w:kern w:val="32"/>
                <w:sz w:val="24"/>
                <w:szCs w:val="24"/>
                <w:highlight w:val="none"/>
                <w:lang w:val="en-US" w:eastAsia="zh-CN" w:bidi="ar"/>
              </w:rPr>
              <w:t>6</w:t>
            </w:r>
          </w:p>
        </w:tc>
        <w:tc>
          <w:tcPr>
            <w:tcW w:w="2774" w:type="pct"/>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i w:val="0"/>
                <w:iCs w:val="0"/>
                <w:color w:val="000000"/>
                <w:spacing w:val="0"/>
                <w:kern w:val="32"/>
                <w:sz w:val="24"/>
                <w:szCs w:val="24"/>
                <w:highlight w:val="none"/>
                <w:u w:val="none"/>
              </w:rPr>
            </w:pPr>
            <w:r>
              <w:rPr>
                <w:rFonts w:hint="eastAsia" w:ascii="Times New Roman" w:hAnsi="Times New Roman" w:eastAsia="仿宋" w:cs="仿宋"/>
                <w:b w:val="0"/>
                <w:spacing w:val="0"/>
                <w:kern w:val="32"/>
                <w:sz w:val="24"/>
                <w:szCs w:val="24"/>
                <w:highlight w:val="none"/>
              </w:rPr>
              <w:t>恒钰建筑草皮滩生态补水旧水塘坝修复淤泥、补水管道工程款</w:t>
            </w:r>
          </w:p>
        </w:tc>
        <w:tc>
          <w:tcPr>
            <w:tcW w:w="765" w:type="pct"/>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i w:val="0"/>
                <w:iCs w:val="0"/>
                <w:color w:val="000000"/>
                <w:spacing w:val="0"/>
                <w:kern w:val="32"/>
                <w:sz w:val="24"/>
                <w:szCs w:val="24"/>
                <w:highlight w:val="none"/>
                <w:u w:val="none"/>
                <w:lang w:val="en-US" w:eastAsia="zh-CN"/>
              </w:rPr>
            </w:pPr>
            <w:r>
              <w:rPr>
                <w:rFonts w:hint="eastAsia" w:ascii="Times New Roman" w:hAnsi="Times New Roman" w:eastAsia="仿宋" w:cs="仿宋"/>
                <w:b w:val="0"/>
                <w:i w:val="0"/>
                <w:iCs w:val="0"/>
                <w:color w:val="000000"/>
                <w:spacing w:val="0"/>
                <w:kern w:val="32"/>
                <w:sz w:val="24"/>
                <w:szCs w:val="24"/>
                <w:highlight w:val="none"/>
                <w:u w:val="none"/>
                <w:lang w:val="en-US" w:eastAsia="zh-CN"/>
              </w:rPr>
              <w:t>96.74</w:t>
            </w:r>
          </w:p>
        </w:tc>
        <w:tc>
          <w:tcPr>
            <w:tcW w:w="1204" w:type="pct"/>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i w:val="0"/>
                <w:iCs w:val="0"/>
                <w:color w:val="000000"/>
                <w:spacing w:val="0"/>
                <w:kern w:val="32"/>
                <w:sz w:val="24"/>
                <w:szCs w:val="24"/>
                <w:highlight w:val="none"/>
                <w:u w:val="none"/>
                <w:lang w:val="en-US" w:eastAsia="zh-CN"/>
              </w:rPr>
            </w:pPr>
            <w:r>
              <w:rPr>
                <w:rFonts w:hint="eastAsia" w:ascii="Times New Roman" w:hAnsi="Times New Roman" w:eastAsia="仿宋" w:cs="仿宋"/>
                <w:b w:val="0"/>
                <w:i w:val="0"/>
                <w:iCs w:val="0"/>
                <w:color w:val="000000"/>
                <w:spacing w:val="0"/>
                <w:kern w:val="32"/>
                <w:sz w:val="24"/>
                <w:szCs w:val="24"/>
                <w:highlight w:val="none"/>
                <w:u w:val="none"/>
                <w:lang w:val="en-US" w:eastAsia="zh-CN"/>
              </w:rPr>
              <w:t>2022年11月8日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Style w:val="41"/>
                <w:rFonts w:hint="eastAsia" w:ascii="Times New Roman" w:hAnsi="Times New Roman" w:eastAsia="仿宋" w:cs="仿宋"/>
                <w:b w:val="0"/>
                <w:spacing w:val="0"/>
                <w:kern w:val="32"/>
                <w:sz w:val="24"/>
                <w:szCs w:val="24"/>
                <w:highlight w:val="none"/>
                <w:lang w:val="en-US" w:eastAsia="zh-CN" w:bidi="ar"/>
              </w:rPr>
            </w:pPr>
            <w:r>
              <w:rPr>
                <w:rStyle w:val="41"/>
                <w:rFonts w:hint="eastAsia" w:ascii="Times New Roman" w:hAnsi="Times New Roman" w:eastAsia="仿宋" w:cs="仿宋"/>
                <w:b w:val="0"/>
                <w:spacing w:val="0"/>
                <w:kern w:val="32"/>
                <w:sz w:val="24"/>
                <w:szCs w:val="24"/>
                <w:highlight w:val="none"/>
                <w:lang w:val="en-US" w:eastAsia="zh-CN" w:bidi="ar"/>
              </w:rPr>
              <w:t>7</w:t>
            </w:r>
          </w:p>
        </w:tc>
        <w:tc>
          <w:tcPr>
            <w:tcW w:w="2774" w:type="pct"/>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i w:val="0"/>
                <w:iCs w:val="0"/>
                <w:color w:val="000000"/>
                <w:spacing w:val="0"/>
                <w:kern w:val="32"/>
                <w:sz w:val="24"/>
                <w:szCs w:val="24"/>
                <w:highlight w:val="none"/>
                <w:u w:val="none"/>
              </w:rPr>
            </w:pPr>
            <w:r>
              <w:rPr>
                <w:rFonts w:hint="eastAsia" w:ascii="Times New Roman" w:hAnsi="Times New Roman" w:eastAsia="仿宋" w:cs="仿宋"/>
                <w:b w:val="0"/>
                <w:spacing w:val="0"/>
                <w:kern w:val="32"/>
                <w:sz w:val="24"/>
                <w:szCs w:val="24"/>
                <w:highlight w:val="none"/>
              </w:rPr>
              <w:t>盛德诚会计事务所16个嘎查村财务状况专项审计费</w:t>
            </w:r>
          </w:p>
        </w:tc>
        <w:tc>
          <w:tcPr>
            <w:tcW w:w="765" w:type="pct"/>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i w:val="0"/>
                <w:iCs w:val="0"/>
                <w:color w:val="000000"/>
                <w:spacing w:val="0"/>
                <w:kern w:val="32"/>
                <w:sz w:val="24"/>
                <w:szCs w:val="24"/>
                <w:highlight w:val="none"/>
                <w:u w:val="none"/>
                <w:lang w:val="en-US" w:eastAsia="zh-CN"/>
              </w:rPr>
            </w:pPr>
            <w:r>
              <w:rPr>
                <w:rFonts w:hint="eastAsia" w:ascii="Times New Roman" w:hAnsi="Times New Roman" w:eastAsia="仿宋" w:cs="仿宋"/>
                <w:b w:val="0"/>
                <w:i w:val="0"/>
                <w:iCs w:val="0"/>
                <w:color w:val="000000"/>
                <w:spacing w:val="0"/>
                <w:kern w:val="32"/>
                <w:sz w:val="24"/>
                <w:szCs w:val="24"/>
                <w:highlight w:val="none"/>
                <w:u w:val="none"/>
                <w:lang w:val="en-US" w:eastAsia="zh-CN"/>
              </w:rPr>
              <w:t>4.8</w:t>
            </w:r>
          </w:p>
        </w:tc>
        <w:tc>
          <w:tcPr>
            <w:tcW w:w="1204" w:type="pct"/>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i w:val="0"/>
                <w:iCs w:val="0"/>
                <w:color w:val="000000"/>
                <w:spacing w:val="0"/>
                <w:kern w:val="32"/>
                <w:sz w:val="24"/>
                <w:szCs w:val="24"/>
                <w:highlight w:val="none"/>
                <w:u w:val="none"/>
                <w:lang w:val="en-US" w:eastAsia="zh-CN"/>
              </w:rPr>
            </w:pPr>
            <w:r>
              <w:rPr>
                <w:rFonts w:hint="eastAsia" w:ascii="Times New Roman" w:hAnsi="Times New Roman" w:eastAsia="仿宋" w:cs="仿宋"/>
                <w:b w:val="0"/>
                <w:i w:val="0"/>
                <w:iCs w:val="0"/>
                <w:color w:val="000000"/>
                <w:spacing w:val="0"/>
                <w:kern w:val="32"/>
                <w:sz w:val="24"/>
                <w:szCs w:val="24"/>
                <w:highlight w:val="none"/>
                <w:u w:val="none"/>
                <w:lang w:val="en-US" w:eastAsia="zh-CN"/>
              </w:rPr>
              <w:t>2022年12月7日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Style w:val="41"/>
                <w:rFonts w:hint="eastAsia" w:ascii="Times New Roman" w:hAnsi="Times New Roman" w:eastAsia="仿宋" w:cs="仿宋"/>
                <w:b w:val="0"/>
                <w:spacing w:val="0"/>
                <w:kern w:val="32"/>
                <w:sz w:val="24"/>
                <w:szCs w:val="24"/>
                <w:highlight w:val="none"/>
                <w:lang w:val="en-US" w:eastAsia="zh-CN" w:bidi="ar"/>
              </w:rPr>
            </w:pPr>
            <w:r>
              <w:rPr>
                <w:rStyle w:val="41"/>
                <w:rFonts w:hint="eastAsia" w:ascii="Times New Roman" w:hAnsi="Times New Roman" w:eastAsia="仿宋" w:cs="仿宋"/>
                <w:b w:val="0"/>
                <w:spacing w:val="0"/>
                <w:kern w:val="32"/>
                <w:sz w:val="24"/>
                <w:szCs w:val="24"/>
                <w:highlight w:val="none"/>
                <w:lang w:val="en-US" w:eastAsia="zh-CN" w:bidi="ar"/>
              </w:rPr>
              <w:t>8</w:t>
            </w:r>
          </w:p>
        </w:tc>
        <w:tc>
          <w:tcPr>
            <w:tcW w:w="2774" w:type="pct"/>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i w:val="0"/>
                <w:iCs w:val="0"/>
                <w:color w:val="000000"/>
                <w:spacing w:val="0"/>
                <w:kern w:val="32"/>
                <w:sz w:val="24"/>
                <w:szCs w:val="24"/>
                <w:highlight w:val="none"/>
                <w:u w:val="none"/>
              </w:rPr>
            </w:pPr>
            <w:r>
              <w:rPr>
                <w:rFonts w:hint="eastAsia" w:ascii="Times New Roman" w:hAnsi="Times New Roman" w:eastAsia="仿宋" w:cs="仿宋"/>
                <w:b w:val="0"/>
                <w:spacing w:val="0"/>
                <w:kern w:val="32"/>
                <w:sz w:val="24"/>
                <w:szCs w:val="24"/>
                <w:highlight w:val="none"/>
              </w:rPr>
              <w:t>高乐工程造价咨询16个村清产核资服务费</w:t>
            </w:r>
          </w:p>
        </w:tc>
        <w:tc>
          <w:tcPr>
            <w:tcW w:w="765" w:type="pct"/>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i w:val="0"/>
                <w:iCs w:val="0"/>
                <w:color w:val="000000"/>
                <w:spacing w:val="0"/>
                <w:kern w:val="32"/>
                <w:sz w:val="24"/>
                <w:szCs w:val="24"/>
                <w:highlight w:val="none"/>
                <w:u w:val="none"/>
                <w:lang w:val="en-US" w:eastAsia="zh-CN"/>
              </w:rPr>
            </w:pPr>
            <w:r>
              <w:rPr>
                <w:rFonts w:hint="eastAsia" w:ascii="Times New Roman" w:hAnsi="Times New Roman" w:eastAsia="仿宋" w:cs="仿宋"/>
                <w:b w:val="0"/>
                <w:i w:val="0"/>
                <w:iCs w:val="0"/>
                <w:color w:val="000000"/>
                <w:spacing w:val="0"/>
                <w:kern w:val="32"/>
                <w:sz w:val="24"/>
                <w:szCs w:val="24"/>
                <w:highlight w:val="none"/>
                <w:u w:val="none"/>
                <w:lang w:val="en-US" w:eastAsia="zh-CN"/>
              </w:rPr>
              <w:t>4.8</w:t>
            </w:r>
          </w:p>
        </w:tc>
        <w:tc>
          <w:tcPr>
            <w:tcW w:w="1204" w:type="pct"/>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i w:val="0"/>
                <w:iCs w:val="0"/>
                <w:color w:val="000000"/>
                <w:spacing w:val="0"/>
                <w:kern w:val="32"/>
                <w:sz w:val="24"/>
                <w:szCs w:val="24"/>
                <w:highlight w:val="none"/>
                <w:u w:val="none"/>
                <w:lang w:val="en-US" w:eastAsia="zh-CN"/>
              </w:rPr>
            </w:pPr>
            <w:r>
              <w:rPr>
                <w:rFonts w:hint="eastAsia" w:ascii="Times New Roman" w:hAnsi="Times New Roman" w:eastAsia="仿宋" w:cs="仿宋"/>
                <w:b w:val="0"/>
                <w:i w:val="0"/>
                <w:iCs w:val="0"/>
                <w:color w:val="000000"/>
                <w:spacing w:val="0"/>
                <w:kern w:val="32"/>
                <w:sz w:val="24"/>
                <w:szCs w:val="24"/>
                <w:highlight w:val="none"/>
                <w:u w:val="none"/>
                <w:lang w:val="en-US" w:eastAsia="zh-CN"/>
              </w:rPr>
              <w:t>2022年12月8日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Style w:val="41"/>
                <w:rFonts w:hint="eastAsia" w:ascii="Times New Roman" w:hAnsi="Times New Roman" w:eastAsia="仿宋" w:cs="仿宋"/>
                <w:b w:val="0"/>
                <w:spacing w:val="0"/>
                <w:kern w:val="32"/>
                <w:sz w:val="24"/>
                <w:szCs w:val="24"/>
                <w:highlight w:val="none"/>
                <w:lang w:val="en-US" w:eastAsia="zh-CN" w:bidi="ar"/>
              </w:rPr>
            </w:pPr>
            <w:r>
              <w:rPr>
                <w:rStyle w:val="41"/>
                <w:rFonts w:hint="eastAsia" w:ascii="Times New Roman" w:hAnsi="Times New Roman" w:eastAsia="仿宋" w:cs="仿宋"/>
                <w:b w:val="0"/>
                <w:spacing w:val="0"/>
                <w:kern w:val="32"/>
                <w:sz w:val="24"/>
                <w:szCs w:val="24"/>
                <w:highlight w:val="none"/>
                <w:lang w:val="en-US" w:eastAsia="zh-CN" w:bidi="ar"/>
              </w:rPr>
              <w:t>9</w:t>
            </w:r>
          </w:p>
        </w:tc>
        <w:tc>
          <w:tcPr>
            <w:tcW w:w="2774" w:type="pct"/>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i w:val="0"/>
                <w:iCs w:val="0"/>
                <w:color w:val="000000"/>
                <w:spacing w:val="0"/>
                <w:kern w:val="32"/>
                <w:sz w:val="24"/>
                <w:szCs w:val="24"/>
                <w:highlight w:val="none"/>
                <w:u w:val="none"/>
              </w:rPr>
            </w:pPr>
            <w:r>
              <w:rPr>
                <w:rFonts w:hint="eastAsia" w:ascii="Times New Roman" w:hAnsi="Times New Roman" w:eastAsia="仿宋" w:cs="仿宋"/>
                <w:b w:val="0"/>
                <w:spacing w:val="0"/>
                <w:kern w:val="32"/>
                <w:sz w:val="24"/>
                <w:szCs w:val="24"/>
                <w:highlight w:val="none"/>
              </w:rPr>
              <w:t>高乐工程造价咨询公司管线土方回填工程造价咨询款</w:t>
            </w:r>
          </w:p>
        </w:tc>
        <w:tc>
          <w:tcPr>
            <w:tcW w:w="765" w:type="pct"/>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i w:val="0"/>
                <w:iCs w:val="0"/>
                <w:color w:val="000000"/>
                <w:spacing w:val="0"/>
                <w:kern w:val="32"/>
                <w:sz w:val="24"/>
                <w:szCs w:val="24"/>
                <w:highlight w:val="none"/>
                <w:u w:val="none"/>
                <w:lang w:val="en-US" w:eastAsia="zh-CN"/>
              </w:rPr>
            </w:pPr>
            <w:r>
              <w:rPr>
                <w:rFonts w:hint="eastAsia" w:ascii="Times New Roman" w:hAnsi="Times New Roman" w:eastAsia="仿宋" w:cs="仿宋"/>
                <w:b w:val="0"/>
                <w:i w:val="0"/>
                <w:iCs w:val="0"/>
                <w:color w:val="000000"/>
                <w:spacing w:val="0"/>
                <w:kern w:val="32"/>
                <w:sz w:val="24"/>
                <w:szCs w:val="24"/>
                <w:highlight w:val="none"/>
                <w:u w:val="none"/>
                <w:lang w:val="en-US" w:eastAsia="zh-CN"/>
              </w:rPr>
              <w:t>0.3</w:t>
            </w:r>
          </w:p>
        </w:tc>
        <w:tc>
          <w:tcPr>
            <w:tcW w:w="1204" w:type="pct"/>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i w:val="0"/>
                <w:iCs w:val="0"/>
                <w:color w:val="000000"/>
                <w:spacing w:val="0"/>
                <w:kern w:val="32"/>
                <w:sz w:val="24"/>
                <w:szCs w:val="24"/>
                <w:highlight w:val="none"/>
                <w:u w:val="none"/>
                <w:lang w:val="en-US" w:eastAsia="zh-CN"/>
              </w:rPr>
            </w:pPr>
            <w:r>
              <w:rPr>
                <w:rFonts w:hint="eastAsia" w:ascii="Times New Roman" w:hAnsi="Times New Roman" w:eastAsia="仿宋" w:cs="仿宋"/>
                <w:b w:val="0"/>
                <w:i w:val="0"/>
                <w:iCs w:val="0"/>
                <w:color w:val="000000"/>
                <w:spacing w:val="0"/>
                <w:kern w:val="32"/>
                <w:sz w:val="24"/>
                <w:szCs w:val="24"/>
                <w:highlight w:val="none"/>
                <w:u w:val="none"/>
                <w:lang w:val="en-US" w:eastAsia="zh-CN"/>
              </w:rPr>
              <w:t>2022年12月8日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Style w:val="41"/>
                <w:rFonts w:hint="eastAsia" w:ascii="Times New Roman" w:hAnsi="Times New Roman" w:eastAsia="仿宋" w:cs="仿宋"/>
                <w:b w:val="0"/>
                <w:spacing w:val="0"/>
                <w:kern w:val="32"/>
                <w:sz w:val="24"/>
                <w:szCs w:val="24"/>
                <w:highlight w:val="none"/>
                <w:lang w:val="en-US" w:eastAsia="zh-CN" w:bidi="ar"/>
              </w:rPr>
            </w:pPr>
            <w:r>
              <w:rPr>
                <w:rStyle w:val="41"/>
                <w:rFonts w:hint="eastAsia" w:ascii="Times New Roman" w:hAnsi="Times New Roman" w:eastAsia="仿宋" w:cs="仿宋"/>
                <w:b w:val="0"/>
                <w:spacing w:val="0"/>
                <w:kern w:val="32"/>
                <w:sz w:val="24"/>
                <w:szCs w:val="24"/>
                <w:highlight w:val="none"/>
                <w:lang w:val="en-US" w:eastAsia="zh-CN" w:bidi="ar"/>
              </w:rPr>
              <w:t>10</w:t>
            </w:r>
          </w:p>
        </w:tc>
        <w:tc>
          <w:tcPr>
            <w:tcW w:w="2774" w:type="pct"/>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i w:val="0"/>
                <w:iCs w:val="0"/>
                <w:color w:val="000000"/>
                <w:spacing w:val="0"/>
                <w:kern w:val="32"/>
                <w:sz w:val="24"/>
                <w:szCs w:val="24"/>
                <w:highlight w:val="none"/>
                <w:u w:val="none"/>
              </w:rPr>
            </w:pPr>
            <w:r>
              <w:rPr>
                <w:rFonts w:hint="eastAsia" w:ascii="Times New Roman" w:hAnsi="Times New Roman" w:eastAsia="仿宋" w:cs="仿宋"/>
                <w:b w:val="0"/>
                <w:spacing w:val="0"/>
                <w:kern w:val="32"/>
                <w:sz w:val="24"/>
                <w:szCs w:val="24"/>
                <w:highlight w:val="none"/>
              </w:rPr>
              <w:t>高乐工程造价咨询服务费</w:t>
            </w:r>
          </w:p>
        </w:tc>
        <w:tc>
          <w:tcPr>
            <w:tcW w:w="765" w:type="pct"/>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i w:val="0"/>
                <w:iCs w:val="0"/>
                <w:color w:val="000000"/>
                <w:spacing w:val="0"/>
                <w:kern w:val="32"/>
                <w:sz w:val="24"/>
                <w:szCs w:val="24"/>
                <w:highlight w:val="none"/>
                <w:u w:val="none"/>
                <w:lang w:val="en-US" w:eastAsia="zh-CN"/>
              </w:rPr>
            </w:pPr>
            <w:r>
              <w:rPr>
                <w:rFonts w:hint="eastAsia" w:ascii="Times New Roman" w:hAnsi="Times New Roman" w:eastAsia="仿宋" w:cs="仿宋"/>
                <w:b w:val="0"/>
                <w:i w:val="0"/>
                <w:iCs w:val="0"/>
                <w:color w:val="000000"/>
                <w:spacing w:val="0"/>
                <w:kern w:val="32"/>
                <w:sz w:val="24"/>
                <w:szCs w:val="24"/>
                <w:highlight w:val="none"/>
                <w:u w:val="none"/>
                <w:lang w:val="en-US" w:eastAsia="zh-CN"/>
              </w:rPr>
              <w:t>0.3</w:t>
            </w:r>
          </w:p>
        </w:tc>
        <w:tc>
          <w:tcPr>
            <w:tcW w:w="1204" w:type="pct"/>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i w:val="0"/>
                <w:iCs w:val="0"/>
                <w:color w:val="000000"/>
                <w:spacing w:val="0"/>
                <w:kern w:val="32"/>
                <w:sz w:val="24"/>
                <w:szCs w:val="24"/>
                <w:highlight w:val="none"/>
                <w:u w:val="none"/>
                <w:lang w:val="en-US" w:eastAsia="zh-CN"/>
              </w:rPr>
            </w:pPr>
            <w:r>
              <w:rPr>
                <w:rFonts w:hint="eastAsia" w:ascii="Times New Roman" w:hAnsi="Times New Roman" w:eastAsia="仿宋" w:cs="仿宋"/>
                <w:b w:val="0"/>
                <w:i w:val="0"/>
                <w:iCs w:val="0"/>
                <w:color w:val="000000"/>
                <w:spacing w:val="0"/>
                <w:kern w:val="32"/>
                <w:sz w:val="24"/>
                <w:szCs w:val="24"/>
                <w:highlight w:val="none"/>
                <w:u w:val="none"/>
                <w:lang w:val="en-US" w:eastAsia="zh-CN"/>
              </w:rPr>
              <w:t>2022年12月19日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Style w:val="41"/>
                <w:rFonts w:hint="eastAsia" w:ascii="Times New Roman" w:hAnsi="Times New Roman" w:eastAsia="仿宋" w:cs="仿宋"/>
                <w:b w:val="0"/>
                <w:spacing w:val="0"/>
                <w:kern w:val="32"/>
                <w:sz w:val="24"/>
                <w:szCs w:val="24"/>
                <w:highlight w:val="none"/>
                <w:lang w:val="en-US" w:eastAsia="zh-CN" w:bidi="ar"/>
              </w:rPr>
            </w:pPr>
            <w:r>
              <w:rPr>
                <w:rStyle w:val="41"/>
                <w:rFonts w:hint="eastAsia" w:ascii="Times New Roman" w:hAnsi="Times New Roman" w:eastAsia="仿宋" w:cs="仿宋"/>
                <w:b w:val="0"/>
                <w:spacing w:val="0"/>
                <w:kern w:val="32"/>
                <w:sz w:val="24"/>
                <w:szCs w:val="24"/>
                <w:highlight w:val="none"/>
                <w:lang w:val="en-US" w:eastAsia="zh-CN" w:bidi="ar"/>
              </w:rPr>
              <w:t>11</w:t>
            </w:r>
          </w:p>
        </w:tc>
        <w:tc>
          <w:tcPr>
            <w:tcW w:w="2774" w:type="pct"/>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i w:val="0"/>
                <w:iCs w:val="0"/>
                <w:color w:val="000000"/>
                <w:spacing w:val="0"/>
                <w:kern w:val="32"/>
                <w:sz w:val="24"/>
                <w:szCs w:val="24"/>
                <w:highlight w:val="none"/>
                <w:u w:val="none"/>
              </w:rPr>
            </w:pPr>
            <w:r>
              <w:rPr>
                <w:rFonts w:hint="eastAsia" w:ascii="Times New Roman" w:hAnsi="Times New Roman" w:eastAsia="仿宋" w:cs="仿宋"/>
                <w:b w:val="0"/>
                <w:spacing w:val="0"/>
                <w:kern w:val="32"/>
                <w:sz w:val="24"/>
                <w:szCs w:val="24"/>
                <w:highlight w:val="none"/>
              </w:rPr>
              <w:t>高乐工程造价咨询管线土方开挖</w:t>
            </w:r>
            <w:r>
              <w:rPr>
                <w:rFonts w:hint="eastAsia" w:eastAsia="仿宋" w:cs="仿宋"/>
                <w:b w:val="0"/>
                <w:spacing w:val="0"/>
                <w:kern w:val="32"/>
                <w:sz w:val="24"/>
                <w:szCs w:val="24"/>
                <w:highlight w:val="none"/>
                <w:lang w:eastAsia="zh-CN"/>
              </w:rPr>
              <w:t>及</w:t>
            </w:r>
            <w:r>
              <w:rPr>
                <w:rFonts w:hint="eastAsia" w:ascii="Times New Roman" w:hAnsi="Times New Roman" w:eastAsia="仿宋" w:cs="仿宋"/>
                <w:b w:val="0"/>
                <w:spacing w:val="0"/>
                <w:kern w:val="32"/>
                <w:sz w:val="24"/>
                <w:szCs w:val="24"/>
                <w:highlight w:val="none"/>
              </w:rPr>
              <w:t>管道敷设工程结算审核费</w:t>
            </w:r>
          </w:p>
        </w:tc>
        <w:tc>
          <w:tcPr>
            <w:tcW w:w="765" w:type="pct"/>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i w:val="0"/>
                <w:iCs w:val="0"/>
                <w:color w:val="000000"/>
                <w:spacing w:val="0"/>
                <w:kern w:val="32"/>
                <w:sz w:val="24"/>
                <w:szCs w:val="24"/>
                <w:highlight w:val="none"/>
                <w:u w:val="none"/>
                <w:lang w:val="en-US" w:eastAsia="zh-CN"/>
              </w:rPr>
            </w:pPr>
            <w:r>
              <w:rPr>
                <w:rFonts w:hint="eastAsia" w:ascii="Times New Roman" w:hAnsi="Times New Roman" w:eastAsia="仿宋" w:cs="仿宋"/>
                <w:b w:val="0"/>
                <w:i w:val="0"/>
                <w:iCs w:val="0"/>
                <w:color w:val="000000"/>
                <w:spacing w:val="0"/>
                <w:kern w:val="32"/>
                <w:sz w:val="24"/>
                <w:szCs w:val="24"/>
                <w:highlight w:val="none"/>
                <w:u w:val="none"/>
                <w:lang w:val="en-US" w:eastAsia="zh-CN"/>
              </w:rPr>
              <w:t>0.69</w:t>
            </w:r>
          </w:p>
        </w:tc>
        <w:tc>
          <w:tcPr>
            <w:tcW w:w="1204" w:type="pct"/>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i w:val="0"/>
                <w:iCs w:val="0"/>
                <w:color w:val="000000"/>
                <w:spacing w:val="0"/>
                <w:kern w:val="32"/>
                <w:sz w:val="24"/>
                <w:szCs w:val="24"/>
                <w:highlight w:val="none"/>
                <w:u w:val="none"/>
                <w:lang w:val="en-US" w:eastAsia="zh-CN"/>
              </w:rPr>
            </w:pPr>
            <w:r>
              <w:rPr>
                <w:rFonts w:hint="eastAsia" w:ascii="Times New Roman" w:hAnsi="Times New Roman" w:eastAsia="仿宋" w:cs="仿宋"/>
                <w:b w:val="0"/>
                <w:i w:val="0"/>
                <w:iCs w:val="0"/>
                <w:color w:val="000000"/>
                <w:spacing w:val="0"/>
                <w:kern w:val="32"/>
                <w:sz w:val="24"/>
                <w:szCs w:val="24"/>
                <w:highlight w:val="none"/>
                <w:u w:val="none"/>
                <w:lang w:val="en-US" w:eastAsia="zh-CN"/>
              </w:rPr>
              <w:t>2022年12月8日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Style w:val="41"/>
                <w:rFonts w:hint="eastAsia" w:ascii="Times New Roman" w:hAnsi="Times New Roman" w:eastAsia="仿宋" w:cs="仿宋"/>
                <w:b w:val="0"/>
                <w:spacing w:val="0"/>
                <w:kern w:val="32"/>
                <w:sz w:val="24"/>
                <w:szCs w:val="24"/>
                <w:highlight w:val="none"/>
                <w:lang w:val="en-US" w:eastAsia="zh-CN" w:bidi="ar"/>
              </w:rPr>
            </w:pPr>
            <w:r>
              <w:rPr>
                <w:rStyle w:val="41"/>
                <w:rFonts w:hint="eastAsia" w:ascii="Times New Roman" w:hAnsi="Times New Roman" w:eastAsia="仿宋" w:cs="仿宋"/>
                <w:b w:val="0"/>
                <w:spacing w:val="0"/>
                <w:kern w:val="32"/>
                <w:sz w:val="24"/>
                <w:szCs w:val="24"/>
                <w:highlight w:val="none"/>
                <w:lang w:val="en-US" w:eastAsia="zh-CN" w:bidi="ar"/>
              </w:rPr>
              <w:t>12</w:t>
            </w:r>
          </w:p>
        </w:tc>
        <w:tc>
          <w:tcPr>
            <w:tcW w:w="2774" w:type="pct"/>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spacing w:val="0"/>
                <w:kern w:val="32"/>
                <w:sz w:val="24"/>
                <w:szCs w:val="24"/>
                <w:highlight w:val="none"/>
              </w:rPr>
            </w:pPr>
            <w:r>
              <w:rPr>
                <w:rFonts w:hint="eastAsia" w:ascii="Times New Roman" w:hAnsi="Times New Roman" w:eastAsia="仿宋" w:cs="仿宋"/>
                <w:b w:val="0"/>
                <w:spacing w:val="0"/>
                <w:kern w:val="32"/>
                <w:sz w:val="24"/>
                <w:szCs w:val="24"/>
                <w:highlight w:val="none"/>
              </w:rPr>
              <w:t>瑾达项目工程造价审计费</w:t>
            </w:r>
          </w:p>
        </w:tc>
        <w:tc>
          <w:tcPr>
            <w:tcW w:w="765" w:type="pct"/>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i w:val="0"/>
                <w:iCs w:val="0"/>
                <w:color w:val="000000"/>
                <w:spacing w:val="0"/>
                <w:kern w:val="32"/>
                <w:sz w:val="24"/>
                <w:szCs w:val="24"/>
                <w:highlight w:val="none"/>
                <w:u w:val="none"/>
                <w:lang w:val="en-US" w:eastAsia="zh-CN"/>
              </w:rPr>
            </w:pPr>
            <w:r>
              <w:rPr>
                <w:rFonts w:hint="eastAsia" w:ascii="Times New Roman" w:hAnsi="Times New Roman" w:eastAsia="仿宋" w:cs="仿宋"/>
                <w:b w:val="0"/>
                <w:i w:val="0"/>
                <w:iCs w:val="0"/>
                <w:color w:val="000000"/>
                <w:spacing w:val="0"/>
                <w:kern w:val="32"/>
                <w:sz w:val="24"/>
                <w:szCs w:val="24"/>
                <w:highlight w:val="none"/>
                <w:u w:val="none"/>
                <w:lang w:val="en-US" w:eastAsia="zh-CN"/>
              </w:rPr>
              <w:t>0.6</w:t>
            </w:r>
          </w:p>
        </w:tc>
        <w:tc>
          <w:tcPr>
            <w:tcW w:w="1204" w:type="pct"/>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i w:val="0"/>
                <w:iCs w:val="0"/>
                <w:color w:val="000000"/>
                <w:spacing w:val="0"/>
                <w:kern w:val="32"/>
                <w:sz w:val="24"/>
                <w:szCs w:val="24"/>
                <w:highlight w:val="none"/>
                <w:u w:val="none"/>
                <w:lang w:val="en-US" w:eastAsia="zh-CN"/>
              </w:rPr>
            </w:pPr>
            <w:r>
              <w:rPr>
                <w:rFonts w:hint="eastAsia" w:ascii="Times New Roman" w:hAnsi="Times New Roman" w:eastAsia="仿宋" w:cs="仿宋"/>
                <w:b w:val="0"/>
                <w:i w:val="0"/>
                <w:iCs w:val="0"/>
                <w:color w:val="000000"/>
                <w:spacing w:val="0"/>
                <w:kern w:val="32"/>
                <w:sz w:val="24"/>
                <w:szCs w:val="24"/>
                <w:highlight w:val="none"/>
                <w:u w:val="none"/>
                <w:lang w:val="en-US" w:eastAsia="zh-CN"/>
              </w:rPr>
              <w:t>2022年12月19日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Style w:val="41"/>
                <w:rFonts w:hint="default" w:ascii="Times New Roman" w:hAnsi="Times New Roman" w:eastAsia="仿宋" w:cs="仿宋"/>
                <w:b w:val="0"/>
                <w:spacing w:val="0"/>
                <w:kern w:val="32"/>
                <w:sz w:val="24"/>
                <w:szCs w:val="24"/>
                <w:highlight w:val="none"/>
                <w:lang w:val="en-US" w:eastAsia="zh-CN" w:bidi="ar"/>
              </w:rPr>
            </w:pPr>
            <w:r>
              <w:rPr>
                <w:rStyle w:val="41"/>
                <w:rFonts w:hint="eastAsia" w:ascii="Times New Roman" w:hAnsi="Times New Roman" w:eastAsia="仿宋" w:cs="仿宋"/>
                <w:b w:val="0"/>
                <w:spacing w:val="0"/>
                <w:kern w:val="32"/>
                <w:sz w:val="24"/>
                <w:szCs w:val="24"/>
                <w:highlight w:val="none"/>
                <w:lang w:val="en-US" w:eastAsia="zh-CN" w:bidi="ar"/>
              </w:rPr>
              <w:t>13</w:t>
            </w:r>
          </w:p>
        </w:tc>
        <w:tc>
          <w:tcPr>
            <w:tcW w:w="2774" w:type="pct"/>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i w:val="0"/>
                <w:iCs w:val="0"/>
                <w:color w:val="000000"/>
                <w:spacing w:val="0"/>
                <w:kern w:val="32"/>
                <w:sz w:val="24"/>
                <w:szCs w:val="24"/>
                <w:highlight w:val="none"/>
                <w:u w:val="none"/>
              </w:rPr>
            </w:pPr>
            <w:r>
              <w:rPr>
                <w:rFonts w:hint="eastAsia" w:ascii="Times New Roman" w:hAnsi="Times New Roman" w:eastAsia="仿宋" w:cs="仿宋"/>
                <w:b w:val="0"/>
                <w:spacing w:val="0"/>
                <w:kern w:val="32"/>
                <w:sz w:val="24"/>
                <w:szCs w:val="24"/>
                <w:highlight w:val="none"/>
              </w:rPr>
              <w:t>瑾达项目管理有限公司达尔扈特配套管网等工程竣工结算审核费</w:t>
            </w:r>
          </w:p>
        </w:tc>
        <w:tc>
          <w:tcPr>
            <w:tcW w:w="765" w:type="pct"/>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i w:val="0"/>
                <w:iCs w:val="0"/>
                <w:color w:val="000000"/>
                <w:spacing w:val="0"/>
                <w:kern w:val="32"/>
                <w:sz w:val="24"/>
                <w:szCs w:val="24"/>
                <w:highlight w:val="none"/>
                <w:u w:val="none"/>
                <w:lang w:val="en-US" w:eastAsia="zh-CN"/>
              </w:rPr>
            </w:pPr>
            <w:r>
              <w:rPr>
                <w:rFonts w:hint="eastAsia" w:ascii="Times New Roman" w:hAnsi="Times New Roman" w:eastAsia="仿宋" w:cs="仿宋"/>
                <w:b w:val="0"/>
                <w:i w:val="0"/>
                <w:iCs w:val="0"/>
                <w:color w:val="000000"/>
                <w:spacing w:val="0"/>
                <w:kern w:val="32"/>
                <w:sz w:val="24"/>
                <w:szCs w:val="24"/>
                <w:highlight w:val="none"/>
                <w:u w:val="none"/>
                <w:lang w:val="en-US" w:eastAsia="zh-CN"/>
              </w:rPr>
              <w:t>7.12</w:t>
            </w:r>
          </w:p>
        </w:tc>
        <w:tc>
          <w:tcPr>
            <w:tcW w:w="1204" w:type="pct"/>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i w:val="0"/>
                <w:iCs w:val="0"/>
                <w:color w:val="000000"/>
                <w:spacing w:val="0"/>
                <w:kern w:val="32"/>
                <w:sz w:val="24"/>
                <w:szCs w:val="24"/>
                <w:highlight w:val="none"/>
                <w:u w:val="none"/>
                <w:lang w:val="en-US" w:eastAsia="zh-CN"/>
              </w:rPr>
            </w:pPr>
            <w:r>
              <w:rPr>
                <w:rFonts w:hint="eastAsia" w:ascii="Times New Roman" w:hAnsi="Times New Roman" w:eastAsia="仿宋" w:cs="仿宋"/>
                <w:b w:val="0"/>
                <w:i w:val="0"/>
                <w:iCs w:val="0"/>
                <w:color w:val="000000"/>
                <w:spacing w:val="0"/>
                <w:kern w:val="32"/>
                <w:sz w:val="24"/>
                <w:szCs w:val="24"/>
                <w:highlight w:val="none"/>
                <w:u w:val="none"/>
                <w:lang w:val="en-US" w:eastAsia="zh-CN"/>
              </w:rPr>
              <w:t>2022年12月8日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Style w:val="41"/>
                <w:rFonts w:hint="default" w:ascii="Times New Roman" w:hAnsi="Times New Roman" w:eastAsia="仿宋" w:cs="仿宋"/>
                <w:b w:val="0"/>
                <w:spacing w:val="0"/>
                <w:kern w:val="32"/>
                <w:sz w:val="24"/>
                <w:szCs w:val="24"/>
                <w:highlight w:val="none"/>
                <w:lang w:val="en-US" w:eastAsia="zh-CN" w:bidi="ar"/>
              </w:rPr>
            </w:pPr>
            <w:r>
              <w:rPr>
                <w:rStyle w:val="41"/>
                <w:rFonts w:hint="eastAsia" w:ascii="Times New Roman" w:hAnsi="Times New Roman" w:eastAsia="仿宋" w:cs="仿宋"/>
                <w:b w:val="0"/>
                <w:spacing w:val="0"/>
                <w:kern w:val="32"/>
                <w:sz w:val="24"/>
                <w:szCs w:val="24"/>
                <w:highlight w:val="none"/>
                <w:lang w:val="en-US" w:eastAsia="zh-CN" w:bidi="ar"/>
              </w:rPr>
              <w:t>14</w:t>
            </w:r>
          </w:p>
        </w:tc>
        <w:tc>
          <w:tcPr>
            <w:tcW w:w="2774" w:type="pct"/>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i w:val="0"/>
                <w:iCs w:val="0"/>
                <w:color w:val="000000"/>
                <w:spacing w:val="0"/>
                <w:kern w:val="32"/>
                <w:sz w:val="24"/>
                <w:szCs w:val="24"/>
                <w:highlight w:val="none"/>
                <w:u w:val="none"/>
              </w:rPr>
            </w:pPr>
            <w:r>
              <w:rPr>
                <w:rFonts w:hint="eastAsia" w:ascii="Times New Roman" w:hAnsi="Times New Roman" w:eastAsia="仿宋" w:cs="仿宋"/>
                <w:b w:val="0"/>
                <w:spacing w:val="0"/>
                <w:kern w:val="32"/>
                <w:sz w:val="24"/>
                <w:szCs w:val="24"/>
                <w:highlight w:val="none"/>
              </w:rPr>
              <w:t>博丰工程造价咨询草皮滩生态补水工程竣工结算审核费</w:t>
            </w:r>
          </w:p>
        </w:tc>
        <w:tc>
          <w:tcPr>
            <w:tcW w:w="765" w:type="pct"/>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i w:val="0"/>
                <w:iCs w:val="0"/>
                <w:color w:val="000000"/>
                <w:spacing w:val="0"/>
                <w:kern w:val="32"/>
                <w:sz w:val="24"/>
                <w:szCs w:val="24"/>
                <w:highlight w:val="none"/>
                <w:u w:val="none"/>
                <w:lang w:val="en-US" w:eastAsia="zh-CN"/>
              </w:rPr>
            </w:pPr>
            <w:r>
              <w:rPr>
                <w:rFonts w:hint="eastAsia" w:ascii="Times New Roman" w:hAnsi="Times New Roman" w:eastAsia="仿宋" w:cs="仿宋"/>
                <w:b w:val="0"/>
                <w:i w:val="0"/>
                <w:iCs w:val="0"/>
                <w:color w:val="000000"/>
                <w:spacing w:val="0"/>
                <w:kern w:val="32"/>
                <w:sz w:val="24"/>
                <w:szCs w:val="24"/>
                <w:highlight w:val="none"/>
                <w:u w:val="none"/>
                <w:lang w:val="en-US" w:eastAsia="zh-CN"/>
              </w:rPr>
              <w:t>1.16</w:t>
            </w:r>
          </w:p>
        </w:tc>
        <w:tc>
          <w:tcPr>
            <w:tcW w:w="1204" w:type="pct"/>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i w:val="0"/>
                <w:iCs w:val="0"/>
                <w:color w:val="000000"/>
                <w:spacing w:val="0"/>
                <w:kern w:val="32"/>
                <w:sz w:val="24"/>
                <w:szCs w:val="24"/>
                <w:highlight w:val="none"/>
                <w:u w:val="none"/>
                <w:lang w:val="en-US" w:eastAsia="zh-CN"/>
              </w:rPr>
            </w:pPr>
            <w:r>
              <w:rPr>
                <w:rFonts w:hint="eastAsia" w:ascii="Times New Roman" w:hAnsi="Times New Roman" w:eastAsia="仿宋" w:cs="仿宋"/>
                <w:b w:val="0"/>
                <w:i w:val="0"/>
                <w:iCs w:val="0"/>
                <w:color w:val="000000"/>
                <w:spacing w:val="0"/>
                <w:kern w:val="32"/>
                <w:sz w:val="24"/>
                <w:szCs w:val="24"/>
                <w:highlight w:val="none"/>
                <w:u w:val="none"/>
                <w:lang w:val="en-US" w:eastAsia="zh-CN"/>
              </w:rPr>
              <w:t>2022年12月8日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29" w:type="pct"/>
            <w:gridSpan w:val="2"/>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bCs/>
                <w:i w:val="0"/>
                <w:iCs w:val="0"/>
                <w:color w:val="auto"/>
                <w:spacing w:val="0"/>
                <w:kern w:val="32"/>
                <w:sz w:val="24"/>
                <w:szCs w:val="24"/>
                <w:highlight w:val="none"/>
                <w:u w:val="none"/>
              </w:rPr>
            </w:pPr>
            <w:r>
              <w:rPr>
                <w:rFonts w:hint="eastAsia" w:ascii="Times New Roman" w:hAnsi="Times New Roman" w:eastAsia="仿宋" w:cs="仿宋"/>
                <w:b w:val="0"/>
                <w:bCs/>
                <w:i w:val="0"/>
                <w:iCs w:val="0"/>
                <w:color w:val="auto"/>
                <w:spacing w:val="0"/>
                <w:kern w:val="32"/>
                <w:sz w:val="24"/>
                <w:szCs w:val="24"/>
                <w:highlight w:val="none"/>
                <w:u w:val="none"/>
                <w:lang w:val="en-US" w:eastAsia="zh-CN" w:bidi="ar"/>
              </w:rPr>
              <w:t>合计</w:t>
            </w:r>
          </w:p>
        </w:tc>
        <w:tc>
          <w:tcPr>
            <w:tcW w:w="765" w:type="pct"/>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仿宋"/>
                <w:b w:val="0"/>
                <w:bCs/>
                <w:i w:val="0"/>
                <w:iCs w:val="0"/>
                <w:color w:val="auto"/>
                <w:spacing w:val="0"/>
                <w:kern w:val="32"/>
                <w:sz w:val="24"/>
                <w:szCs w:val="24"/>
                <w:highlight w:val="none"/>
                <w:u w:val="none"/>
                <w:lang w:val="en-US" w:eastAsia="zh-CN"/>
              </w:rPr>
            </w:pPr>
            <w:r>
              <w:rPr>
                <w:rFonts w:hint="eastAsia" w:ascii="Times New Roman" w:hAnsi="Times New Roman" w:eastAsia="仿宋" w:cs="仿宋"/>
                <w:b w:val="0"/>
                <w:bCs/>
                <w:i w:val="0"/>
                <w:iCs w:val="0"/>
                <w:color w:val="auto"/>
                <w:spacing w:val="0"/>
                <w:kern w:val="32"/>
                <w:sz w:val="24"/>
                <w:szCs w:val="24"/>
                <w:highlight w:val="none"/>
                <w:u w:val="none"/>
                <w:lang w:val="en-US" w:eastAsia="zh-CN"/>
              </w:rPr>
              <w:t>419.76</w:t>
            </w:r>
          </w:p>
        </w:tc>
        <w:tc>
          <w:tcPr>
            <w:tcW w:w="1204" w:type="pct"/>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bCs/>
                <w:i w:val="0"/>
                <w:iCs w:val="0"/>
                <w:color w:val="auto"/>
                <w:spacing w:val="0"/>
                <w:kern w:val="32"/>
                <w:sz w:val="24"/>
                <w:szCs w:val="24"/>
                <w:highlight w:val="none"/>
                <w:u w:val="none"/>
                <w:lang w:val="en-US" w:eastAsia="zh-CN"/>
              </w:rPr>
            </w:pPr>
          </w:p>
        </w:tc>
      </w:tr>
      <w:bookmarkEnd w:id="25"/>
    </w:tbl>
    <w:p>
      <w:pPr>
        <w:keepNext w:val="0"/>
        <w:keepLines w:val="0"/>
        <w:pageBreakBefore w:val="0"/>
        <w:widowControl w:val="0"/>
        <w:kinsoku/>
        <w:wordWrap/>
        <w:overflowPunct/>
        <w:topLinePunct w:val="0"/>
        <w:autoSpaceDE/>
        <w:autoSpaceDN/>
        <w:bidi w:val="0"/>
        <w:adjustRightInd/>
        <w:snapToGrid/>
        <w:spacing w:before="100" w:beforeAutospacing="1" w:after="0" w:afterAutospacing="0" w:line="360" w:lineRule="auto"/>
        <w:ind w:left="0" w:leftChars="0" w:right="0" w:rightChars="0" w:firstLine="643" w:firstLineChars="200"/>
        <w:jc w:val="both"/>
        <w:textAlignment w:val="auto"/>
        <w:outlineLvl w:val="1"/>
        <w:rPr>
          <w:rFonts w:hint="eastAsia" w:ascii="Times New Roman" w:hAnsi="Times New Roman" w:eastAsia="楷体" w:cs="楷体"/>
          <w:b/>
          <w:bCs/>
          <w:spacing w:val="0"/>
          <w:kern w:val="32"/>
          <w:sz w:val="32"/>
          <w:highlight w:val="none"/>
          <w:lang w:val="en-US" w:eastAsia="zh-CN"/>
        </w:rPr>
      </w:pPr>
      <w:bookmarkStart w:id="26" w:name="_Toc4739"/>
      <w:bookmarkStart w:id="27" w:name="_Toc42532291"/>
      <w:bookmarkStart w:id="28" w:name="_Toc5469"/>
      <w:bookmarkStart w:id="29" w:name="_Toc8842"/>
      <w:bookmarkStart w:id="30" w:name="_Toc7986"/>
      <w:r>
        <w:rPr>
          <w:rFonts w:hint="eastAsia" w:ascii="Times New Roman" w:hAnsi="Times New Roman" w:eastAsia="楷体" w:cs="楷体"/>
          <w:b/>
          <w:bCs/>
          <w:spacing w:val="0"/>
          <w:kern w:val="32"/>
          <w:sz w:val="32"/>
          <w:highlight w:val="none"/>
          <w:lang w:val="en-US" w:eastAsia="zh-CN"/>
        </w:rPr>
        <w:t>（四）项目绩效目标</w:t>
      </w:r>
      <w:bookmarkEnd w:id="26"/>
      <w:bookmarkEnd w:id="27"/>
      <w:bookmarkEnd w:id="28"/>
      <w:bookmarkEnd w:id="29"/>
      <w:bookmarkEnd w:id="30"/>
    </w:p>
    <w:p>
      <w:pPr>
        <w:pStyle w:val="8"/>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firstLine="640" w:firstLineChars="200"/>
        <w:jc w:val="both"/>
        <w:textAlignment w:val="auto"/>
        <w:outlineLvl w:val="9"/>
        <w:rPr>
          <w:rFonts w:hint="eastAsia" w:ascii="Times New Roman" w:hAnsi="Times New Roman" w:eastAsia="仿宋_GB2312" w:cs="仿宋_GB2312"/>
          <w:b w:val="0"/>
          <w:bCs/>
          <w:spacing w:val="0"/>
          <w:kern w:val="32"/>
          <w:sz w:val="32"/>
          <w:szCs w:val="32"/>
          <w:highlight w:val="none"/>
          <w:lang w:val="en-US" w:eastAsia="zh-CN"/>
        </w:rPr>
      </w:pPr>
      <w:bookmarkStart w:id="31" w:name="_Toc18916"/>
      <w:bookmarkStart w:id="32" w:name="_Toc42532293"/>
      <w:r>
        <w:rPr>
          <w:rFonts w:hint="eastAsia" w:ascii="Times New Roman" w:hAnsi="Times New Roman" w:eastAsia="仿宋_GB2312" w:cs="仿宋_GB2312"/>
          <w:b w:val="0"/>
          <w:bCs/>
          <w:spacing w:val="0"/>
          <w:kern w:val="32"/>
          <w:sz w:val="32"/>
          <w:szCs w:val="32"/>
          <w:highlight w:val="none"/>
          <w:lang w:val="en-US" w:eastAsia="zh-CN"/>
        </w:rPr>
        <w:t>1</w:t>
      </w:r>
      <w:r>
        <w:rPr>
          <w:rFonts w:hint="eastAsia" w:ascii="Times New Roman" w:hAnsi="Times New Roman" w:cs="仿宋_GB2312"/>
          <w:b w:val="0"/>
          <w:bCs/>
          <w:spacing w:val="0"/>
          <w:kern w:val="32"/>
          <w:sz w:val="32"/>
          <w:szCs w:val="32"/>
          <w:highlight w:val="none"/>
          <w:lang w:val="en-US" w:eastAsia="zh-CN"/>
        </w:rPr>
        <w:t>.</w:t>
      </w:r>
      <w:r>
        <w:rPr>
          <w:rFonts w:hint="eastAsia" w:ascii="Times New Roman" w:hAnsi="Times New Roman" w:eastAsia="仿宋_GB2312" w:cs="仿宋_GB2312"/>
          <w:b w:val="0"/>
          <w:bCs/>
          <w:spacing w:val="0"/>
          <w:kern w:val="32"/>
          <w:sz w:val="32"/>
          <w:szCs w:val="32"/>
          <w:highlight w:val="none"/>
          <w:lang w:val="en-US" w:eastAsia="zh-CN"/>
        </w:rPr>
        <w:t>项目总体目标</w:t>
      </w:r>
      <w:bookmarkEnd w:id="31"/>
      <w:bookmarkEnd w:id="32"/>
      <w:bookmarkStart w:id="33" w:name="_Toc21171"/>
      <w:bookmarkStart w:id="34" w:name="_Toc42532294"/>
    </w:p>
    <w:p>
      <w:pPr>
        <w:pStyle w:val="8"/>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firstLine="640" w:firstLineChars="200"/>
        <w:jc w:val="both"/>
        <w:textAlignment w:val="auto"/>
        <w:outlineLvl w:val="9"/>
        <w:rPr>
          <w:rFonts w:hint="eastAsia" w:ascii="Times New Roman" w:hAnsi="Times New Roman" w:eastAsia="仿宋_GB2312" w:cs="仿宋_GB2312"/>
          <w:b w:val="0"/>
          <w:spacing w:val="0"/>
          <w:kern w:val="32"/>
          <w:sz w:val="32"/>
          <w:szCs w:val="32"/>
          <w:highlight w:val="none"/>
          <w:lang w:val="en-US" w:eastAsia="zh-CN"/>
        </w:rPr>
      </w:pPr>
      <w:r>
        <w:rPr>
          <w:rFonts w:hint="eastAsia" w:ascii="Times New Roman" w:hAnsi="Times New Roman" w:eastAsia="仿宋_GB2312" w:cs="仿宋_GB2312"/>
          <w:b w:val="0"/>
          <w:spacing w:val="0"/>
          <w:kern w:val="32"/>
          <w:sz w:val="32"/>
          <w:szCs w:val="32"/>
          <w:highlight w:val="none"/>
          <w:lang w:val="en-US" w:eastAsia="zh-CN"/>
        </w:rPr>
        <w:t>通过巴音昌胡格草原旅游基础设施及镇区基础设施建设工程项目的建设，完善伊金霍洛镇的基础设施，有效改善区域交通环境，美化城市景观，优化人居条件，为区域内的旅游资源开发提供有力保障，全力助推旅游业的发展，有效带动伊金霍洛旗的经济发展。</w:t>
      </w:r>
    </w:p>
    <w:p>
      <w:pPr>
        <w:pStyle w:val="8"/>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firstLine="640" w:firstLineChars="200"/>
        <w:jc w:val="both"/>
        <w:textAlignment w:val="auto"/>
        <w:outlineLvl w:val="9"/>
        <w:rPr>
          <w:rFonts w:hint="eastAsia" w:ascii="Times New Roman" w:hAnsi="Times New Roman" w:eastAsia="仿宋_GB2312" w:cs="仿宋_GB2312"/>
          <w:b w:val="0"/>
          <w:bCs/>
          <w:spacing w:val="0"/>
          <w:kern w:val="32"/>
          <w:sz w:val="32"/>
          <w:szCs w:val="32"/>
          <w:highlight w:val="none"/>
          <w:lang w:val="en-US" w:eastAsia="zh-CN"/>
        </w:rPr>
      </w:pPr>
      <w:r>
        <w:rPr>
          <w:rFonts w:hint="eastAsia" w:ascii="Times New Roman" w:hAnsi="Times New Roman" w:eastAsia="仿宋_GB2312" w:cs="仿宋_GB2312"/>
          <w:b w:val="0"/>
          <w:bCs/>
          <w:spacing w:val="0"/>
          <w:kern w:val="32"/>
          <w:sz w:val="32"/>
          <w:szCs w:val="32"/>
          <w:highlight w:val="none"/>
          <w:lang w:val="en-US" w:eastAsia="zh-CN"/>
        </w:rPr>
        <w:t>2</w:t>
      </w:r>
      <w:r>
        <w:rPr>
          <w:rFonts w:hint="eastAsia" w:ascii="Times New Roman" w:hAnsi="Times New Roman" w:cs="仿宋_GB2312"/>
          <w:b w:val="0"/>
          <w:bCs/>
          <w:spacing w:val="0"/>
          <w:kern w:val="32"/>
          <w:sz w:val="32"/>
          <w:szCs w:val="32"/>
          <w:highlight w:val="none"/>
          <w:lang w:val="en-US" w:eastAsia="zh-CN"/>
        </w:rPr>
        <w:t>.</w:t>
      </w:r>
      <w:r>
        <w:rPr>
          <w:rFonts w:hint="eastAsia" w:ascii="Times New Roman" w:hAnsi="Times New Roman" w:eastAsia="仿宋_GB2312" w:cs="仿宋_GB2312"/>
          <w:b w:val="0"/>
          <w:bCs/>
          <w:spacing w:val="0"/>
          <w:kern w:val="32"/>
          <w:sz w:val="32"/>
          <w:szCs w:val="32"/>
          <w:highlight w:val="none"/>
          <w:lang w:val="en-US" w:eastAsia="zh-CN"/>
        </w:rPr>
        <w:t>项目年度目标</w:t>
      </w:r>
      <w:bookmarkEnd w:id="33"/>
    </w:p>
    <w:bookmarkEnd w:id="34"/>
    <w:p>
      <w:pPr>
        <w:pStyle w:val="8"/>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firstLine="640" w:firstLineChars="200"/>
        <w:jc w:val="both"/>
        <w:textAlignment w:val="auto"/>
        <w:outlineLvl w:val="9"/>
        <w:rPr>
          <w:rFonts w:hint="eastAsia" w:ascii="Times New Roman" w:hAnsi="Times New Roman" w:eastAsia="仿宋_GB2312" w:cs="仿宋_GB2312"/>
          <w:b w:val="0"/>
          <w:bCs w:val="0"/>
          <w:spacing w:val="0"/>
          <w:kern w:val="32"/>
          <w:sz w:val="32"/>
          <w:szCs w:val="32"/>
          <w:highlight w:val="none"/>
          <w:lang w:val="en-US" w:eastAsia="zh-CN"/>
        </w:rPr>
      </w:pPr>
      <w:bookmarkStart w:id="35" w:name="_Toc24291"/>
      <w:bookmarkStart w:id="36" w:name="_Toc17768"/>
      <w:bookmarkStart w:id="37" w:name="_Toc16163"/>
      <w:bookmarkStart w:id="38" w:name="_Toc42532295"/>
      <w:r>
        <w:rPr>
          <w:rFonts w:hint="eastAsia" w:ascii="Times New Roman" w:hAnsi="Times New Roman" w:eastAsia="仿宋_GB2312" w:cs="仿宋_GB2312"/>
          <w:b w:val="0"/>
          <w:bCs w:val="0"/>
          <w:spacing w:val="0"/>
          <w:kern w:val="32"/>
          <w:sz w:val="32"/>
          <w:szCs w:val="32"/>
          <w:highlight w:val="none"/>
          <w:lang w:val="en-US" w:eastAsia="zh-CN"/>
        </w:rPr>
        <w:t>东联路绿化工程完工率100%，环境提升工程完工率100%，绕城路路面标线工程完工率100%，绕城路灌缝工程完工率100%，草皮滩生态补水旧水塘坝、修复淤泥补水管道工程完工率100%，各项审计、造价完成率100%；工程验收通过率100%，东联路绿化工程养护合格率100%；项目按时完成。带动当地经济发展效果显著；优化人居环境效果显著；</w:t>
      </w:r>
      <w:r>
        <w:rPr>
          <w:rFonts w:hint="eastAsia" w:ascii="Times New Roman" w:hAnsi="Times New Roman" w:eastAsia="仿宋_GB2312" w:cs="仿宋_GB2312"/>
          <w:b w:val="0"/>
          <w:spacing w:val="0"/>
          <w:kern w:val="32"/>
          <w:sz w:val="32"/>
          <w:szCs w:val="32"/>
          <w:highlight w:val="none"/>
          <w:lang w:val="en-US" w:eastAsia="zh-CN"/>
        </w:rPr>
        <w:t>游客数量显著增加；</w:t>
      </w:r>
      <w:r>
        <w:rPr>
          <w:rFonts w:hint="eastAsia" w:ascii="Times New Roman" w:hAnsi="Times New Roman" w:eastAsia="仿宋_GB2312" w:cs="仿宋_GB2312"/>
          <w:b w:val="0"/>
          <w:bCs w:val="0"/>
          <w:spacing w:val="0"/>
          <w:kern w:val="32"/>
          <w:sz w:val="32"/>
          <w:szCs w:val="32"/>
          <w:highlight w:val="none"/>
          <w:lang w:val="en-US" w:eastAsia="zh-CN"/>
        </w:rPr>
        <w:t>项目运维管护可持续；景区游客满意度≥90%。</w:t>
      </w:r>
    </w:p>
    <w:p>
      <w:pPr>
        <w:pStyle w:val="33"/>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0" w:firstLineChars="0"/>
        <w:jc w:val="center"/>
        <w:textAlignment w:val="auto"/>
        <w:outlineLvl w:val="9"/>
        <w:rPr>
          <w:rFonts w:hint="eastAsia" w:ascii="Times New Roman" w:hAnsi="Times New Roman" w:eastAsia="楷体" w:cs="仿宋"/>
          <w:b/>
          <w:bCs/>
          <w:spacing w:val="0"/>
          <w:kern w:val="32"/>
          <w:sz w:val="24"/>
          <w:szCs w:val="24"/>
          <w:highlight w:val="none"/>
          <w:lang w:val="en-US" w:eastAsia="zh-CN"/>
        </w:rPr>
      </w:pPr>
      <w:r>
        <w:rPr>
          <w:rFonts w:hint="eastAsia" w:ascii="Times New Roman" w:hAnsi="Times New Roman" w:eastAsia="楷体" w:cs="仿宋"/>
          <w:b/>
          <w:bCs/>
          <w:spacing w:val="0"/>
          <w:kern w:val="32"/>
          <w:sz w:val="24"/>
          <w:szCs w:val="24"/>
          <w:highlight w:val="none"/>
          <w:lang w:val="en-US" w:eastAsia="zh-CN"/>
        </w:rPr>
        <w:t>2022年度项目绩效目标情况</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787"/>
        <w:gridCol w:w="750"/>
        <w:gridCol w:w="3750"/>
        <w:gridCol w:w="863"/>
        <w:gridCol w:w="875"/>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Header/>
          <w:jc w:val="center"/>
        </w:trPr>
        <w:tc>
          <w:tcPr>
            <w:tcW w:w="7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bCs w:val="0"/>
                <w:color w:val="000000"/>
                <w:spacing w:val="0"/>
                <w:kern w:val="32"/>
                <w:sz w:val="24"/>
                <w:szCs w:val="24"/>
                <w:highlight w:val="none"/>
              </w:rPr>
            </w:pPr>
            <w:r>
              <w:rPr>
                <w:rFonts w:hint="eastAsia" w:ascii="Times New Roman" w:hAnsi="Times New Roman" w:eastAsia="仿宋" w:cs="仿宋"/>
                <w:b/>
                <w:bCs w:val="0"/>
                <w:color w:val="000000"/>
                <w:spacing w:val="0"/>
                <w:kern w:val="32"/>
                <w:sz w:val="24"/>
                <w:szCs w:val="24"/>
                <w:highlight w:val="none"/>
              </w:rPr>
              <w:t>绩效指标</w:t>
            </w:r>
          </w:p>
        </w:tc>
        <w:tc>
          <w:tcPr>
            <w:tcW w:w="78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bCs w:val="0"/>
                <w:color w:val="000000"/>
                <w:spacing w:val="0"/>
                <w:kern w:val="32"/>
                <w:sz w:val="24"/>
                <w:szCs w:val="24"/>
                <w:highlight w:val="none"/>
              </w:rPr>
            </w:pPr>
            <w:r>
              <w:rPr>
                <w:rFonts w:hint="eastAsia" w:ascii="Times New Roman" w:hAnsi="Times New Roman" w:eastAsia="仿宋" w:cs="仿宋"/>
                <w:b/>
                <w:bCs w:val="0"/>
                <w:color w:val="000000"/>
                <w:spacing w:val="0"/>
                <w:kern w:val="32"/>
                <w:sz w:val="24"/>
                <w:szCs w:val="24"/>
                <w:highlight w:val="none"/>
              </w:rPr>
              <w:t>一级指标</w:t>
            </w:r>
          </w:p>
        </w:tc>
        <w:tc>
          <w:tcPr>
            <w:tcW w:w="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bCs w:val="0"/>
                <w:color w:val="000000"/>
                <w:spacing w:val="0"/>
                <w:kern w:val="32"/>
                <w:sz w:val="24"/>
                <w:szCs w:val="24"/>
                <w:highlight w:val="none"/>
              </w:rPr>
            </w:pPr>
            <w:r>
              <w:rPr>
                <w:rFonts w:hint="eastAsia" w:ascii="Times New Roman" w:hAnsi="Times New Roman" w:eastAsia="仿宋" w:cs="仿宋"/>
                <w:b/>
                <w:bCs w:val="0"/>
                <w:color w:val="000000"/>
                <w:spacing w:val="0"/>
                <w:kern w:val="32"/>
                <w:sz w:val="24"/>
                <w:szCs w:val="24"/>
                <w:highlight w:val="none"/>
              </w:rPr>
              <w:t>二级指标</w:t>
            </w:r>
          </w:p>
        </w:tc>
        <w:tc>
          <w:tcPr>
            <w:tcW w:w="3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bCs w:val="0"/>
                <w:color w:val="000000"/>
                <w:spacing w:val="0"/>
                <w:kern w:val="32"/>
                <w:sz w:val="24"/>
                <w:szCs w:val="24"/>
                <w:highlight w:val="none"/>
              </w:rPr>
            </w:pPr>
            <w:r>
              <w:rPr>
                <w:rFonts w:hint="eastAsia" w:ascii="Times New Roman" w:hAnsi="Times New Roman" w:eastAsia="仿宋" w:cs="仿宋"/>
                <w:b/>
                <w:bCs w:val="0"/>
                <w:color w:val="000000"/>
                <w:spacing w:val="0"/>
                <w:kern w:val="32"/>
                <w:sz w:val="24"/>
                <w:szCs w:val="24"/>
                <w:highlight w:val="none"/>
              </w:rPr>
              <w:t>三级指标</w:t>
            </w:r>
          </w:p>
        </w:tc>
        <w:tc>
          <w:tcPr>
            <w:tcW w:w="8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bCs w:val="0"/>
                <w:color w:val="000000"/>
                <w:spacing w:val="0"/>
                <w:kern w:val="32"/>
                <w:sz w:val="24"/>
                <w:szCs w:val="24"/>
                <w:highlight w:val="none"/>
              </w:rPr>
            </w:pPr>
            <w:r>
              <w:rPr>
                <w:rFonts w:hint="eastAsia" w:ascii="Times New Roman" w:hAnsi="Times New Roman" w:eastAsia="仿宋" w:cs="仿宋"/>
                <w:b/>
                <w:bCs w:val="0"/>
                <w:color w:val="000000"/>
                <w:spacing w:val="0"/>
                <w:kern w:val="32"/>
                <w:sz w:val="24"/>
                <w:szCs w:val="24"/>
                <w:highlight w:val="none"/>
              </w:rPr>
              <w:t>指标性质</w:t>
            </w:r>
          </w:p>
        </w:tc>
        <w:tc>
          <w:tcPr>
            <w:tcW w:w="8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bCs w:val="0"/>
                <w:color w:val="000000"/>
                <w:spacing w:val="0"/>
                <w:kern w:val="32"/>
                <w:sz w:val="24"/>
                <w:szCs w:val="24"/>
                <w:highlight w:val="none"/>
              </w:rPr>
            </w:pPr>
            <w:r>
              <w:rPr>
                <w:rFonts w:hint="eastAsia" w:ascii="Times New Roman" w:hAnsi="Times New Roman" w:eastAsia="仿宋" w:cs="仿宋"/>
                <w:b/>
                <w:bCs w:val="0"/>
                <w:color w:val="000000"/>
                <w:spacing w:val="0"/>
                <w:kern w:val="32"/>
                <w:sz w:val="24"/>
                <w:szCs w:val="24"/>
                <w:highlight w:val="none"/>
              </w:rPr>
              <w:t>指标方向</w:t>
            </w:r>
          </w:p>
        </w:tc>
        <w:tc>
          <w:tcPr>
            <w:tcW w:w="10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bCs w:val="0"/>
                <w:color w:val="000000"/>
                <w:spacing w:val="0"/>
                <w:kern w:val="32"/>
                <w:sz w:val="24"/>
                <w:szCs w:val="24"/>
                <w:highlight w:val="none"/>
              </w:rPr>
            </w:pPr>
            <w:r>
              <w:rPr>
                <w:rFonts w:hint="eastAsia" w:ascii="Times New Roman" w:hAnsi="Times New Roman" w:eastAsia="仿宋" w:cs="仿宋"/>
                <w:b/>
                <w:bCs w:val="0"/>
                <w:color w:val="000000"/>
                <w:spacing w:val="0"/>
                <w:kern w:val="32"/>
                <w:sz w:val="24"/>
                <w:szCs w:val="24"/>
                <w:highlight w:val="none"/>
              </w:rPr>
              <w:t>年度指标值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2"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绩效指标</w:t>
            </w:r>
          </w:p>
        </w:tc>
        <w:tc>
          <w:tcPr>
            <w:tcW w:w="787"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产出指标</w:t>
            </w:r>
          </w:p>
        </w:tc>
        <w:tc>
          <w:tcPr>
            <w:tcW w:w="75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数量指标</w:t>
            </w:r>
          </w:p>
        </w:tc>
        <w:tc>
          <w:tcPr>
            <w:tcW w:w="3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lang w:val="en-US" w:eastAsia="zh-CN"/>
              </w:rPr>
            </w:pPr>
            <w:r>
              <w:rPr>
                <w:rFonts w:hint="eastAsia" w:ascii="Times New Roman" w:hAnsi="Times New Roman" w:eastAsia="仿宋" w:cs="仿宋"/>
                <w:b w:val="0"/>
                <w:color w:val="000000"/>
                <w:spacing w:val="0"/>
                <w:kern w:val="32"/>
                <w:sz w:val="24"/>
                <w:szCs w:val="24"/>
                <w:highlight w:val="none"/>
              </w:rPr>
              <w:t>绕城路路面标线</w:t>
            </w:r>
            <w:r>
              <w:rPr>
                <w:rFonts w:hint="eastAsia" w:ascii="Times New Roman" w:hAnsi="Times New Roman" w:eastAsia="仿宋" w:cs="仿宋"/>
                <w:b w:val="0"/>
                <w:color w:val="000000"/>
                <w:spacing w:val="0"/>
                <w:kern w:val="32"/>
                <w:sz w:val="24"/>
                <w:szCs w:val="24"/>
                <w:highlight w:val="none"/>
                <w:lang w:val="en-US" w:eastAsia="zh-CN"/>
              </w:rPr>
              <w:t>工程完工率</w:t>
            </w:r>
          </w:p>
        </w:tc>
        <w:tc>
          <w:tcPr>
            <w:tcW w:w="8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正向</w:t>
            </w:r>
          </w:p>
        </w:tc>
        <w:tc>
          <w:tcPr>
            <w:tcW w:w="8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等于</w:t>
            </w:r>
          </w:p>
        </w:tc>
        <w:tc>
          <w:tcPr>
            <w:tcW w:w="10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lang w:val="en-US" w:eastAsia="zh-CN"/>
              </w:rPr>
            </w:pPr>
            <w:r>
              <w:rPr>
                <w:rFonts w:hint="eastAsia" w:ascii="Times New Roman" w:hAnsi="Times New Roman" w:eastAsia="仿宋" w:cs="仿宋"/>
                <w:b w:val="0"/>
                <w:color w:val="000000"/>
                <w:spacing w:val="0"/>
                <w:kern w:val="32"/>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2"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78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7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3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环境提升工程</w:t>
            </w:r>
            <w:r>
              <w:rPr>
                <w:rFonts w:hint="eastAsia" w:ascii="Times New Roman" w:hAnsi="Times New Roman" w:eastAsia="仿宋" w:cs="仿宋"/>
                <w:b w:val="0"/>
                <w:color w:val="000000"/>
                <w:spacing w:val="0"/>
                <w:kern w:val="32"/>
                <w:sz w:val="24"/>
                <w:szCs w:val="24"/>
                <w:highlight w:val="none"/>
                <w:lang w:val="en-US" w:eastAsia="zh-CN"/>
              </w:rPr>
              <w:t>完工率</w:t>
            </w:r>
          </w:p>
        </w:tc>
        <w:tc>
          <w:tcPr>
            <w:tcW w:w="8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正向</w:t>
            </w:r>
          </w:p>
        </w:tc>
        <w:tc>
          <w:tcPr>
            <w:tcW w:w="8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等于</w:t>
            </w:r>
          </w:p>
        </w:tc>
        <w:tc>
          <w:tcPr>
            <w:tcW w:w="10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lang w:val="en-US" w:eastAsia="zh-CN"/>
              </w:rPr>
            </w:pPr>
            <w:r>
              <w:rPr>
                <w:rFonts w:hint="eastAsia" w:ascii="Times New Roman" w:hAnsi="Times New Roman" w:eastAsia="仿宋" w:cs="仿宋"/>
                <w:b w:val="0"/>
                <w:color w:val="000000"/>
                <w:spacing w:val="0"/>
                <w:kern w:val="32"/>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2"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78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7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3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道路两侧硬化工程</w:t>
            </w:r>
            <w:r>
              <w:rPr>
                <w:rFonts w:hint="eastAsia" w:ascii="Times New Roman" w:hAnsi="Times New Roman" w:eastAsia="仿宋" w:cs="仿宋"/>
                <w:b w:val="0"/>
                <w:color w:val="000000"/>
                <w:spacing w:val="0"/>
                <w:kern w:val="32"/>
                <w:sz w:val="24"/>
                <w:szCs w:val="24"/>
                <w:highlight w:val="none"/>
                <w:lang w:val="en-US" w:eastAsia="zh-CN"/>
              </w:rPr>
              <w:t>完工率</w:t>
            </w:r>
          </w:p>
        </w:tc>
        <w:tc>
          <w:tcPr>
            <w:tcW w:w="8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正向</w:t>
            </w:r>
          </w:p>
        </w:tc>
        <w:tc>
          <w:tcPr>
            <w:tcW w:w="8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等于</w:t>
            </w:r>
          </w:p>
        </w:tc>
        <w:tc>
          <w:tcPr>
            <w:tcW w:w="10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lang w:val="en-US" w:eastAsia="zh-CN"/>
              </w:rPr>
            </w:pPr>
            <w:r>
              <w:rPr>
                <w:rFonts w:hint="eastAsia" w:ascii="Times New Roman" w:hAnsi="Times New Roman" w:eastAsia="仿宋" w:cs="仿宋"/>
                <w:b w:val="0"/>
                <w:color w:val="000000"/>
                <w:spacing w:val="0"/>
                <w:kern w:val="32"/>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2"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78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7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3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东联路绿化工程</w:t>
            </w:r>
            <w:r>
              <w:rPr>
                <w:rFonts w:hint="eastAsia" w:ascii="Times New Roman" w:hAnsi="Times New Roman" w:eastAsia="仿宋" w:cs="仿宋"/>
                <w:b w:val="0"/>
                <w:color w:val="000000"/>
                <w:spacing w:val="0"/>
                <w:kern w:val="32"/>
                <w:sz w:val="24"/>
                <w:szCs w:val="24"/>
                <w:highlight w:val="none"/>
                <w:lang w:val="en-US" w:eastAsia="zh-CN"/>
              </w:rPr>
              <w:t>完工率</w:t>
            </w:r>
          </w:p>
        </w:tc>
        <w:tc>
          <w:tcPr>
            <w:tcW w:w="8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正向</w:t>
            </w:r>
          </w:p>
        </w:tc>
        <w:tc>
          <w:tcPr>
            <w:tcW w:w="8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等于</w:t>
            </w:r>
          </w:p>
        </w:tc>
        <w:tc>
          <w:tcPr>
            <w:tcW w:w="10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lang w:val="en-US" w:eastAsia="zh-CN"/>
              </w:rPr>
            </w:pPr>
            <w:r>
              <w:rPr>
                <w:rFonts w:hint="eastAsia" w:ascii="Times New Roman" w:hAnsi="Times New Roman" w:eastAsia="仿宋" w:cs="仿宋"/>
                <w:b w:val="0"/>
                <w:color w:val="000000"/>
                <w:spacing w:val="0"/>
                <w:kern w:val="32"/>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2"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78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7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3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镇区绕城灌缝工程</w:t>
            </w:r>
            <w:r>
              <w:rPr>
                <w:rFonts w:hint="eastAsia" w:ascii="Times New Roman" w:hAnsi="Times New Roman" w:eastAsia="仿宋" w:cs="仿宋"/>
                <w:b w:val="0"/>
                <w:color w:val="000000"/>
                <w:spacing w:val="0"/>
                <w:kern w:val="32"/>
                <w:sz w:val="24"/>
                <w:szCs w:val="24"/>
                <w:highlight w:val="none"/>
                <w:lang w:val="en-US" w:eastAsia="zh-CN"/>
              </w:rPr>
              <w:t>完工率</w:t>
            </w:r>
          </w:p>
        </w:tc>
        <w:tc>
          <w:tcPr>
            <w:tcW w:w="8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正向</w:t>
            </w:r>
          </w:p>
        </w:tc>
        <w:tc>
          <w:tcPr>
            <w:tcW w:w="8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等于</w:t>
            </w:r>
          </w:p>
        </w:tc>
        <w:tc>
          <w:tcPr>
            <w:tcW w:w="10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2"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78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7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3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草皮滩生态补水旧塘坝修复淤泥补水管道工程</w:t>
            </w:r>
            <w:r>
              <w:rPr>
                <w:rFonts w:hint="eastAsia" w:ascii="Times New Roman" w:hAnsi="Times New Roman" w:eastAsia="仿宋" w:cs="仿宋"/>
                <w:b w:val="0"/>
                <w:color w:val="000000"/>
                <w:spacing w:val="0"/>
                <w:kern w:val="32"/>
                <w:sz w:val="24"/>
                <w:szCs w:val="24"/>
                <w:highlight w:val="none"/>
                <w:lang w:val="en-US" w:eastAsia="zh-CN"/>
              </w:rPr>
              <w:t>完工率</w:t>
            </w:r>
          </w:p>
        </w:tc>
        <w:tc>
          <w:tcPr>
            <w:tcW w:w="8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正向</w:t>
            </w:r>
          </w:p>
        </w:tc>
        <w:tc>
          <w:tcPr>
            <w:tcW w:w="8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等于</w:t>
            </w:r>
          </w:p>
        </w:tc>
        <w:tc>
          <w:tcPr>
            <w:tcW w:w="10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2"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78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75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质量指标</w:t>
            </w:r>
          </w:p>
        </w:tc>
        <w:tc>
          <w:tcPr>
            <w:tcW w:w="3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lang w:val="en-US"/>
              </w:rPr>
            </w:pPr>
            <w:r>
              <w:rPr>
                <w:rFonts w:hint="eastAsia" w:ascii="Times New Roman" w:hAnsi="Times New Roman" w:eastAsia="仿宋" w:cs="仿宋"/>
                <w:b w:val="0"/>
                <w:color w:val="000000"/>
                <w:spacing w:val="0"/>
                <w:kern w:val="32"/>
                <w:sz w:val="24"/>
                <w:szCs w:val="24"/>
                <w:highlight w:val="none"/>
              </w:rPr>
              <w:t>绕城路路面标线</w:t>
            </w:r>
            <w:r>
              <w:rPr>
                <w:rFonts w:hint="eastAsia" w:ascii="Times New Roman" w:hAnsi="Times New Roman" w:eastAsia="仿宋" w:cs="仿宋"/>
                <w:b w:val="0"/>
                <w:color w:val="000000"/>
                <w:spacing w:val="0"/>
                <w:kern w:val="32"/>
                <w:sz w:val="24"/>
                <w:szCs w:val="24"/>
                <w:highlight w:val="none"/>
                <w:lang w:val="en-US" w:eastAsia="zh-CN"/>
              </w:rPr>
              <w:t>工程验收合格率</w:t>
            </w:r>
          </w:p>
        </w:tc>
        <w:tc>
          <w:tcPr>
            <w:tcW w:w="8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正向</w:t>
            </w:r>
          </w:p>
        </w:tc>
        <w:tc>
          <w:tcPr>
            <w:tcW w:w="8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等于</w:t>
            </w:r>
          </w:p>
        </w:tc>
        <w:tc>
          <w:tcPr>
            <w:tcW w:w="10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100</w:t>
            </w:r>
            <w:r>
              <w:rPr>
                <w:rFonts w:hint="eastAsia" w:ascii="Times New Roman" w:hAnsi="Times New Roman" w:eastAsia="仿宋" w:cs="仿宋"/>
                <w:b w:val="0"/>
                <w:color w:val="000000"/>
                <w:spacing w:val="0"/>
                <w:kern w:val="32"/>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2"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78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7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3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环境提升工程</w:t>
            </w:r>
            <w:r>
              <w:rPr>
                <w:rFonts w:hint="eastAsia" w:ascii="Times New Roman" w:hAnsi="Times New Roman" w:eastAsia="仿宋" w:cs="仿宋"/>
                <w:b w:val="0"/>
                <w:color w:val="000000"/>
                <w:spacing w:val="0"/>
                <w:kern w:val="32"/>
                <w:sz w:val="24"/>
                <w:szCs w:val="24"/>
                <w:highlight w:val="none"/>
                <w:lang w:val="en-US" w:eastAsia="zh-CN"/>
              </w:rPr>
              <w:t>验收合格率</w:t>
            </w:r>
          </w:p>
        </w:tc>
        <w:tc>
          <w:tcPr>
            <w:tcW w:w="8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正向</w:t>
            </w:r>
          </w:p>
        </w:tc>
        <w:tc>
          <w:tcPr>
            <w:tcW w:w="8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等于</w:t>
            </w:r>
          </w:p>
        </w:tc>
        <w:tc>
          <w:tcPr>
            <w:tcW w:w="10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100</w:t>
            </w:r>
            <w:r>
              <w:rPr>
                <w:rFonts w:hint="eastAsia" w:ascii="Times New Roman" w:hAnsi="Times New Roman" w:eastAsia="仿宋" w:cs="仿宋"/>
                <w:b w:val="0"/>
                <w:color w:val="000000"/>
                <w:spacing w:val="0"/>
                <w:kern w:val="32"/>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2"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78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7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3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道路两侧硬化工程</w:t>
            </w:r>
            <w:r>
              <w:rPr>
                <w:rFonts w:hint="eastAsia" w:ascii="Times New Roman" w:hAnsi="Times New Roman" w:eastAsia="仿宋" w:cs="仿宋"/>
                <w:b w:val="0"/>
                <w:color w:val="000000"/>
                <w:spacing w:val="0"/>
                <w:kern w:val="32"/>
                <w:sz w:val="24"/>
                <w:szCs w:val="24"/>
                <w:highlight w:val="none"/>
                <w:lang w:val="en-US" w:eastAsia="zh-CN"/>
              </w:rPr>
              <w:t>验收合格率</w:t>
            </w:r>
          </w:p>
        </w:tc>
        <w:tc>
          <w:tcPr>
            <w:tcW w:w="8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正向</w:t>
            </w:r>
          </w:p>
        </w:tc>
        <w:tc>
          <w:tcPr>
            <w:tcW w:w="8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等于</w:t>
            </w:r>
          </w:p>
        </w:tc>
        <w:tc>
          <w:tcPr>
            <w:tcW w:w="10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100</w:t>
            </w:r>
            <w:r>
              <w:rPr>
                <w:rFonts w:hint="eastAsia" w:ascii="Times New Roman" w:hAnsi="Times New Roman" w:eastAsia="仿宋" w:cs="仿宋"/>
                <w:b w:val="0"/>
                <w:color w:val="000000"/>
                <w:spacing w:val="0"/>
                <w:kern w:val="32"/>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2"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78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7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3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东联路绿化工程</w:t>
            </w:r>
            <w:r>
              <w:rPr>
                <w:rFonts w:hint="eastAsia" w:ascii="Times New Roman" w:hAnsi="Times New Roman" w:eastAsia="仿宋" w:cs="仿宋"/>
                <w:b w:val="0"/>
                <w:color w:val="000000"/>
                <w:spacing w:val="0"/>
                <w:kern w:val="32"/>
                <w:sz w:val="24"/>
                <w:szCs w:val="24"/>
                <w:highlight w:val="none"/>
                <w:lang w:val="en-US" w:eastAsia="zh-CN"/>
              </w:rPr>
              <w:t>验收合格率</w:t>
            </w:r>
          </w:p>
        </w:tc>
        <w:tc>
          <w:tcPr>
            <w:tcW w:w="8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正向</w:t>
            </w:r>
          </w:p>
        </w:tc>
        <w:tc>
          <w:tcPr>
            <w:tcW w:w="8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等于</w:t>
            </w:r>
          </w:p>
        </w:tc>
        <w:tc>
          <w:tcPr>
            <w:tcW w:w="10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100</w:t>
            </w:r>
            <w:r>
              <w:rPr>
                <w:rFonts w:hint="eastAsia" w:ascii="Times New Roman" w:hAnsi="Times New Roman" w:eastAsia="仿宋" w:cs="仿宋"/>
                <w:b w:val="0"/>
                <w:color w:val="000000"/>
                <w:spacing w:val="0"/>
                <w:kern w:val="32"/>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2"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78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7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3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镇区绕城灌缝工程</w:t>
            </w:r>
            <w:r>
              <w:rPr>
                <w:rFonts w:hint="eastAsia" w:ascii="Times New Roman" w:hAnsi="Times New Roman" w:eastAsia="仿宋" w:cs="仿宋"/>
                <w:b w:val="0"/>
                <w:color w:val="000000"/>
                <w:spacing w:val="0"/>
                <w:kern w:val="32"/>
                <w:sz w:val="24"/>
                <w:szCs w:val="24"/>
                <w:highlight w:val="none"/>
                <w:lang w:val="en-US" w:eastAsia="zh-CN"/>
              </w:rPr>
              <w:t>验收合格率</w:t>
            </w:r>
          </w:p>
        </w:tc>
        <w:tc>
          <w:tcPr>
            <w:tcW w:w="8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正向</w:t>
            </w:r>
          </w:p>
        </w:tc>
        <w:tc>
          <w:tcPr>
            <w:tcW w:w="8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等于</w:t>
            </w:r>
          </w:p>
        </w:tc>
        <w:tc>
          <w:tcPr>
            <w:tcW w:w="10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100</w:t>
            </w:r>
            <w:r>
              <w:rPr>
                <w:rFonts w:hint="eastAsia" w:ascii="Times New Roman" w:hAnsi="Times New Roman" w:eastAsia="仿宋" w:cs="仿宋"/>
                <w:b w:val="0"/>
                <w:color w:val="000000"/>
                <w:spacing w:val="0"/>
                <w:kern w:val="32"/>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2"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78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7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3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草皮滩生态补水旧塘坝修复淤泥补水管道工程</w:t>
            </w:r>
            <w:r>
              <w:rPr>
                <w:rFonts w:hint="eastAsia" w:ascii="Times New Roman" w:hAnsi="Times New Roman" w:eastAsia="仿宋" w:cs="仿宋"/>
                <w:b w:val="0"/>
                <w:color w:val="000000"/>
                <w:spacing w:val="0"/>
                <w:kern w:val="32"/>
                <w:sz w:val="24"/>
                <w:szCs w:val="24"/>
                <w:highlight w:val="none"/>
                <w:lang w:val="en-US" w:eastAsia="zh-CN"/>
              </w:rPr>
              <w:t>完工率</w:t>
            </w:r>
          </w:p>
        </w:tc>
        <w:tc>
          <w:tcPr>
            <w:tcW w:w="8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正向</w:t>
            </w:r>
          </w:p>
        </w:tc>
        <w:tc>
          <w:tcPr>
            <w:tcW w:w="8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等于</w:t>
            </w:r>
          </w:p>
        </w:tc>
        <w:tc>
          <w:tcPr>
            <w:tcW w:w="10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100</w:t>
            </w:r>
            <w:r>
              <w:rPr>
                <w:rFonts w:hint="eastAsia" w:ascii="Times New Roman" w:hAnsi="Times New Roman" w:eastAsia="仿宋" w:cs="仿宋"/>
                <w:b w:val="0"/>
                <w:color w:val="000000"/>
                <w:spacing w:val="0"/>
                <w:kern w:val="32"/>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2"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78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时效指标</w:t>
            </w:r>
          </w:p>
        </w:tc>
        <w:tc>
          <w:tcPr>
            <w:tcW w:w="3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lang w:val="en-US" w:eastAsia="zh-CN"/>
              </w:rPr>
            </w:pPr>
            <w:r>
              <w:rPr>
                <w:rFonts w:hint="eastAsia" w:ascii="Times New Roman" w:hAnsi="Times New Roman" w:eastAsia="仿宋" w:cs="仿宋"/>
                <w:b w:val="0"/>
                <w:color w:val="000000"/>
                <w:spacing w:val="0"/>
                <w:kern w:val="32"/>
                <w:sz w:val="24"/>
                <w:szCs w:val="24"/>
                <w:highlight w:val="none"/>
                <w:lang w:val="en-US" w:eastAsia="zh-CN"/>
              </w:rPr>
              <w:t>各项工程完工及时率</w:t>
            </w:r>
          </w:p>
        </w:tc>
        <w:tc>
          <w:tcPr>
            <w:tcW w:w="8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正向</w:t>
            </w:r>
          </w:p>
        </w:tc>
        <w:tc>
          <w:tcPr>
            <w:tcW w:w="8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等于</w:t>
            </w:r>
          </w:p>
        </w:tc>
        <w:tc>
          <w:tcPr>
            <w:tcW w:w="10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lang w:val="en-US" w:eastAsia="zh-CN"/>
              </w:rPr>
            </w:pPr>
            <w:r>
              <w:rPr>
                <w:rFonts w:hint="eastAsia" w:ascii="Times New Roman" w:hAnsi="Times New Roman" w:eastAsia="仿宋" w:cs="仿宋"/>
                <w:b w:val="0"/>
                <w:color w:val="000000"/>
                <w:spacing w:val="0"/>
                <w:kern w:val="32"/>
                <w:sz w:val="24"/>
                <w:szCs w:val="24"/>
                <w:highlight w:val="none"/>
              </w:rPr>
              <w:t>100</w:t>
            </w:r>
            <w:r>
              <w:rPr>
                <w:rFonts w:hint="eastAsia" w:ascii="Times New Roman" w:hAnsi="Times New Roman" w:eastAsia="仿宋" w:cs="仿宋"/>
                <w:b w:val="0"/>
                <w:color w:val="000000"/>
                <w:spacing w:val="0"/>
                <w:kern w:val="32"/>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2"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78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成本指标</w:t>
            </w:r>
          </w:p>
        </w:tc>
        <w:tc>
          <w:tcPr>
            <w:tcW w:w="3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lang w:val="en-US" w:eastAsia="zh-CN"/>
              </w:rPr>
            </w:pPr>
            <w:r>
              <w:rPr>
                <w:rFonts w:hint="eastAsia" w:ascii="Times New Roman" w:hAnsi="Times New Roman" w:eastAsia="仿宋" w:cs="仿宋"/>
                <w:b w:val="0"/>
                <w:color w:val="000000"/>
                <w:spacing w:val="0"/>
                <w:kern w:val="32"/>
                <w:sz w:val="24"/>
                <w:szCs w:val="24"/>
                <w:highlight w:val="none"/>
                <w:lang w:val="en-US" w:eastAsia="zh-CN"/>
              </w:rPr>
              <w:t>项目总成本</w:t>
            </w:r>
          </w:p>
        </w:tc>
        <w:tc>
          <w:tcPr>
            <w:tcW w:w="8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lang w:eastAsia="zh-CN"/>
              </w:rPr>
            </w:pPr>
            <w:r>
              <w:rPr>
                <w:rFonts w:hint="eastAsia" w:ascii="Times New Roman" w:hAnsi="Times New Roman" w:eastAsia="仿宋" w:cs="仿宋"/>
                <w:b w:val="0"/>
                <w:color w:val="000000"/>
                <w:spacing w:val="0"/>
                <w:kern w:val="32"/>
                <w:sz w:val="24"/>
                <w:szCs w:val="24"/>
                <w:highlight w:val="none"/>
                <w:lang w:val="en-US" w:eastAsia="zh-CN"/>
              </w:rPr>
              <w:t>反向</w:t>
            </w:r>
          </w:p>
        </w:tc>
        <w:tc>
          <w:tcPr>
            <w:tcW w:w="8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lang w:eastAsia="zh-CN"/>
              </w:rPr>
            </w:pPr>
            <w:r>
              <w:rPr>
                <w:rFonts w:hint="eastAsia" w:ascii="Times New Roman" w:hAnsi="Times New Roman" w:eastAsia="仿宋" w:cs="仿宋"/>
                <w:b w:val="0"/>
                <w:color w:val="000000"/>
                <w:spacing w:val="0"/>
                <w:kern w:val="32"/>
                <w:sz w:val="24"/>
                <w:szCs w:val="24"/>
                <w:highlight w:val="none"/>
                <w:lang w:val="en-US" w:eastAsia="zh-CN"/>
              </w:rPr>
              <w:t>小于等于</w:t>
            </w:r>
          </w:p>
        </w:tc>
        <w:tc>
          <w:tcPr>
            <w:tcW w:w="10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lang w:val="en-US" w:eastAsia="zh-CN"/>
              </w:rPr>
              <w:t>420万元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2"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787"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lang w:val="en-US" w:eastAsia="zh-CN"/>
              </w:rPr>
            </w:pPr>
            <w:r>
              <w:rPr>
                <w:rFonts w:hint="eastAsia" w:ascii="Times New Roman" w:hAnsi="Times New Roman" w:eastAsia="仿宋" w:cs="仿宋"/>
                <w:b w:val="0"/>
                <w:color w:val="000000"/>
                <w:spacing w:val="0"/>
                <w:kern w:val="32"/>
                <w:sz w:val="24"/>
                <w:szCs w:val="24"/>
                <w:highlight w:val="none"/>
                <w:lang w:val="en-US" w:eastAsia="zh-CN"/>
              </w:rPr>
              <w:t>效益指标</w:t>
            </w:r>
          </w:p>
        </w:tc>
        <w:tc>
          <w:tcPr>
            <w:tcW w:w="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lang w:val="en-US" w:eastAsia="zh-CN"/>
              </w:rPr>
            </w:pPr>
            <w:r>
              <w:rPr>
                <w:rFonts w:hint="eastAsia" w:ascii="Times New Roman" w:hAnsi="Times New Roman" w:eastAsia="仿宋" w:cs="仿宋"/>
                <w:b w:val="0"/>
                <w:color w:val="000000"/>
                <w:spacing w:val="0"/>
                <w:kern w:val="32"/>
                <w:sz w:val="24"/>
                <w:szCs w:val="24"/>
                <w:highlight w:val="none"/>
                <w:lang w:val="en-US" w:eastAsia="zh-CN"/>
              </w:rPr>
              <w:t>经济效益</w:t>
            </w:r>
          </w:p>
        </w:tc>
        <w:tc>
          <w:tcPr>
            <w:tcW w:w="3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lang w:val="en-US" w:eastAsia="zh-CN"/>
              </w:rPr>
            </w:pPr>
            <w:r>
              <w:rPr>
                <w:rFonts w:hint="eastAsia" w:ascii="Times New Roman" w:hAnsi="Times New Roman" w:eastAsia="仿宋" w:cs="仿宋"/>
                <w:b w:val="0"/>
                <w:color w:val="000000"/>
                <w:spacing w:val="0"/>
                <w:kern w:val="32"/>
                <w:sz w:val="24"/>
                <w:szCs w:val="24"/>
                <w:highlight w:val="none"/>
                <w:lang w:val="en-US" w:eastAsia="zh-CN"/>
              </w:rPr>
              <w:t>带动伊金霍洛镇的经济发展</w:t>
            </w:r>
          </w:p>
        </w:tc>
        <w:tc>
          <w:tcPr>
            <w:tcW w:w="8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lang w:val="en-US" w:eastAsia="zh-CN"/>
              </w:rPr>
            </w:pPr>
            <w:r>
              <w:rPr>
                <w:rFonts w:hint="eastAsia" w:ascii="Times New Roman" w:hAnsi="Times New Roman" w:eastAsia="仿宋" w:cs="仿宋"/>
                <w:b w:val="0"/>
                <w:color w:val="000000"/>
                <w:spacing w:val="0"/>
                <w:kern w:val="32"/>
                <w:sz w:val="24"/>
                <w:szCs w:val="24"/>
                <w:highlight w:val="none"/>
              </w:rPr>
              <w:t>定性</w:t>
            </w:r>
          </w:p>
        </w:tc>
        <w:tc>
          <w:tcPr>
            <w:tcW w:w="8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lang w:val="en-US" w:eastAsia="zh-CN"/>
              </w:rPr>
            </w:pPr>
            <w:r>
              <w:rPr>
                <w:rFonts w:hint="eastAsia" w:ascii="Times New Roman" w:hAnsi="Times New Roman" w:eastAsia="仿宋" w:cs="仿宋"/>
                <w:b w:val="0"/>
                <w:color w:val="000000"/>
                <w:spacing w:val="0"/>
                <w:kern w:val="32"/>
                <w:sz w:val="24"/>
                <w:szCs w:val="24"/>
                <w:highlight w:val="none"/>
              </w:rPr>
              <w:t>　</w:t>
            </w:r>
          </w:p>
        </w:tc>
        <w:tc>
          <w:tcPr>
            <w:tcW w:w="10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lang w:val="en-US" w:eastAsia="zh-CN"/>
              </w:rPr>
            </w:pPr>
            <w:r>
              <w:rPr>
                <w:rFonts w:hint="eastAsia" w:ascii="Times New Roman" w:hAnsi="Times New Roman" w:eastAsia="仿宋" w:cs="仿宋"/>
                <w:b w:val="0"/>
                <w:color w:val="000000"/>
                <w:spacing w:val="0"/>
                <w:kern w:val="32"/>
                <w:sz w:val="24"/>
                <w:szCs w:val="24"/>
                <w:highlight w:val="none"/>
                <w:lang w:val="en-US" w:eastAsia="zh-CN"/>
              </w:rPr>
              <w:t>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2"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78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lang w:val="en-US" w:eastAsia="zh-CN"/>
              </w:rPr>
            </w:pPr>
          </w:p>
        </w:tc>
        <w:tc>
          <w:tcPr>
            <w:tcW w:w="75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社会效益</w:t>
            </w:r>
          </w:p>
        </w:tc>
        <w:tc>
          <w:tcPr>
            <w:tcW w:w="3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lang w:val="en-US" w:eastAsia="zh-CN"/>
              </w:rPr>
            </w:pPr>
            <w:r>
              <w:rPr>
                <w:rFonts w:hint="eastAsia" w:ascii="Times New Roman" w:hAnsi="Times New Roman" w:eastAsia="仿宋" w:cs="仿宋"/>
                <w:b w:val="0"/>
                <w:color w:val="000000"/>
                <w:spacing w:val="0"/>
                <w:kern w:val="32"/>
                <w:sz w:val="24"/>
                <w:szCs w:val="24"/>
                <w:highlight w:val="none"/>
                <w:lang w:val="en-US" w:eastAsia="zh-CN"/>
              </w:rPr>
              <w:t>改善区域交通环境</w:t>
            </w:r>
          </w:p>
        </w:tc>
        <w:tc>
          <w:tcPr>
            <w:tcW w:w="8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定性</w:t>
            </w:r>
          </w:p>
        </w:tc>
        <w:tc>
          <w:tcPr>
            <w:tcW w:w="8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　</w:t>
            </w:r>
          </w:p>
        </w:tc>
        <w:tc>
          <w:tcPr>
            <w:tcW w:w="10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lang w:val="en-US" w:eastAsia="zh-CN"/>
              </w:rPr>
              <w:t>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2"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78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7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3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lang w:val="en-US" w:eastAsia="zh-CN"/>
              </w:rPr>
            </w:pPr>
            <w:r>
              <w:rPr>
                <w:rFonts w:hint="eastAsia" w:ascii="Times New Roman" w:hAnsi="Times New Roman" w:eastAsia="仿宋" w:cs="仿宋"/>
                <w:b w:val="0"/>
                <w:color w:val="000000"/>
                <w:spacing w:val="0"/>
                <w:kern w:val="32"/>
                <w:sz w:val="24"/>
                <w:szCs w:val="24"/>
                <w:highlight w:val="none"/>
                <w:lang w:val="en-US" w:eastAsia="zh-CN"/>
              </w:rPr>
              <w:t>为区域内的旅游资源开发提供有力保障</w:t>
            </w:r>
          </w:p>
        </w:tc>
        <w:tc>
          <w:tcPr>
            <w:tcW w:w="8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定性</w:t>
            </w:r>
          </w:p>
        </w:tc>
        <w:tc>
          <w:tcPr>
            <w:tcW w:w="8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　</w:t>
            </w:r>
          </w:p>
        </w:tc>
        <w:tc>
          <w:tcPr>
            <w:tcW w:w="10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lang w:val="en-US" w:eastAsia="zh-CN"/>
              </w:rPr>
              <w:t>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2"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78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75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生态效益</w:t>
            </w:r>
          </w:p>
        </w:tc>
        <w:tc>
          <w:tcPr>
            <w:tcW w:w="3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lang w:val="en-US" w:eastAsia="zh-CN"/>
              </w:rPr>
            </w:pPr>
            <w:r>
              <w:rPr>
                <w:rFonts w:hint="eastAsia" w:ascii="Times New Roman" w:hAnsi="Times New Roman" w:eastAsia="仿宋" w:cs="仿宋"/>
                <w:b w:val="0"/>
                <w:color w:val="000000"/>
                <w:spacing w:val="0"/>
                <w:kern w:val="32"/>
                <w:sz w:val="24"/>
                <w:szCs w:val="24"/>
                <w:highlight w:val="none"/>
                <w:lang w:val="en-US" w:eastAsia="zh-CN"/>
              </w:rPr>
              <w:t>保护草原生态发展</w:t>
            </w:r>
          </w:p>
        </w:tc>
        <w:tc>
          <w:tcPr>
            <w:tcW w:w="8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定性</w:t>
            </w:r>
          </w:p>
        </w:tc>
        <w:tc>
          <w:tcPr>
            <w:tcW w:w="8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　</w:t>
            </w:r>
          </w:p>
        </w:tc>
        <w:tc>
          <w:tcPr>
            <w:tcW w:w="10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lang w:val="en-US" w:eastAsia="zh-CN"/>
              </w:rPr>
              <w:t>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2"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78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7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3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lang w:val="en-US" w:eastAsia="zh-CN"/>
              </w:rPr>
            </w:pPr>
            <w:r>
              <w:rPr>
                <w:rFonts w:hint="eastAsia" w:ascii="Times New Roman" w:hAnsi="Times New Roman" w:eastAsia="仿宋" w:cs="仿宋"/>
                <w:b w:val="0"/>
                <w:color w:val="000000"/>
                <w:spacing w:val="0"/>
                <w:kern w:val="32"/>
                <w:sz w:val="24"/>
                <w:szCs w:val="24"/>
                <w:highlight w:val="none"/>
                <w:lang w:val="en-US" w:eastAsia="zh-CN"/>
              </w:rPr>
              <w:t>美化城市景观</w:t>
            </w:r>
          </w:p>
        </w:tc>
        <w:tc>
          <w:tcPr>
            <w:tcW w:w="8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定性</w:t>
            </w:r>
          </w:p>
        </w:tc>
        <w:tc>
          <w:tcPr>
            <w:tcW w:w="8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　</w:t>
            </w:r>
          </w:p>
        </w:tc>
        <w:tc>
          <w:tcPr>
            <w:tcW w:w="10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lang w:eastAsia="zh-CN"/>
              </w:rPr>
            </w:pPr>
            <w:r>
              <w:rPr>
                <w:rFonts w:hint="eastAsia" w:ascii="Times New Roman" w:hAnsi="Times New Roman" w:eastAsia="仿宋" w:cs="仿宋"/>
                <w:b w:val="0"/>
                <w:color w:val="000000"/>
                <w:spacing w:val="0"/>
                <w:kern w:val="32"/>
                <w:sz w:val="24"/>
                <w:szCs w:val="24"/>
                <w:highlight w:val="none"/>
                <w:lang w:val="en-US" w:eastAsia="zh-CN"/>
              </w:rPr>
              <w:t>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2"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78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可持续影响</w:t>
            </w:r>
          </w:p>
        </w:tc>
        <w:tc>
          <w:tcPr>
            <w:tcW w:w="3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lang w:val="en-US" w:eastAsia="zh-CN"/>
              </w:rPr>
            </w:pPr>
            <w:r>
              <w:rPr>
                <w:rFonts w:hint="eastAsia" w:ascii="Times New Roman" w:hAnsi="Times New Roman" w:eastAsia="仿宋" w:cs="仿宋"/>
                <w:b w:val="0"/>
                <w:color w:val="000000"/>
                <w:spacing w:val="0"/>
                <w:kern w:val="32"/>
                <w:sz w:val="24"/>
                <w:szCs w:val="24"/>
                <w:highlight w:val="none"/>
                <w:lang w:val="en-US" w:eastAsia="zh-CN"/>
              </w:rPr>
              <w:t>基础设施可使用年限</w:t>
            </w:r>
          </w:p>
        </w:tc>
        <w:tc>
          <w:tcPr>
            <w:tcW w:w="8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正向</w:t>
            </w:r>
          </w:p>
        </w:tc>
        <w:tc>
          <w:tcPr>
            <w:tcW w:w="8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lang w:val="en-US" w:eastAsia="zh-CN"/>
              </w:rPr>
              <w:t>大于</w:t>
            </w:r>
            <w:r>
              <w:rPr>
                <w:rFonts w:hint="eastAsia" w:ascii="Times New Roman" w:hAnsi="Times New Roman" w:eastAsia="仿宋" w:cs="仿宋"/>
                <w:b w:val="0"/>
                <w:color w:val="000000"/>
                <w:spacing w:val="0"/>
                <w:kern w:val="32"/>
                <w:sz w:val="24"/>
                <w:szCs w:val="24"/>
                <w:highlight w:val="none"/>
              </w:rPr>
              <w:t>等于</w:t>
            </w:r>
          </w:p>
        </w:tc>
        <w:tc>
          <w:tcPr>
            <w:tcW w:w="10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lang w:val="en-US" w:eastAsia="zh-CN"/>
              </w:rPr>
            </w:pPr>
            <w:r>
              <w:rPr>
                <w:rFonts w:hint="eastAsia" w:ascii="Times New Roman" w:hAnsi="Times New Roman" w:eastAsia="仿宋" w:cs="仿宋"/>
                <w:b w:val="0"/>
                <w:color w:val="000000"/>
                <w:spacing w:val="0"/>
                <w:kern w:val="32"/>
                <w:sz w:val="24"/>
                <w:szCs w:val="24"/>
                <w:highlight w:val="none"/>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2"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787"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满意度指标</w:t>
            </w:r>
          </w:p>
        </w:tc>
        <w:tc>
          <w:tcPr>
            <w:tcW w:w="75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服务对象满意度</w:t>
            </w:r>
          </w:p>
        </w:tc>
        <w:tc>
          <w:tcPr>
            <w:tcW w:w="3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委托方满意度</w:t>
            </w:r>
          </w:p>
        </w:tc>
        <w:tc>
          <w:tcPr>
            <w:tcW w:w="8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正向</w:t>
            </w:r>
          </w:p>
        </w:tc>
        <w:tc>
          <w:tcPr>
            <w:tcW w:w="8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大于等于</w:t>
            </w:r>
          </w:p>
        </w:tc>
        <w:tc>
          <w:tcPr>
            <w:tcW w:w="10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lang w:val="en-US" w:eastAsia="zh-CN"/>
              </w:rPr>
            </w:pPr>
            <w:r>
              <w:rPr>
                <w:rFonts w:hint="eastAsia" w:ascii="Times New Roman" w:hAnsi="Times New Roman" w:eastAsia="仿宋" w:cs="仿宋"/>
                <w:b w:val="0"/>
                <w:color w:val="000000"/>
                <w:spacing w:val="0"/>
                <w:kern w:val="32"/>
                <w:sz w:val="24"/>
                <w:szCs w:val="24"/>
                <w:highlight w:val="none"/>
              </w:rPr>
              <w:t>95</w:t>
            </w:r>
            <w:r>
              <w:rPr>
                <w:rFonts w:hint="eastAsia" w:ascii="Times New Roman" w:hAnsi="Times New Roman" w:eastAsia="仿宋" w:cs="仿宋"/>
                <w:b w:val="0"/>
                <w:color w:val="000000"/>
                <w:spacing w:val="0"/>
                <w:kern w:val="32"/>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2"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78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7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3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lang w:val="en-US" w:eastAsia="zh-CN"/>
              </w:rPr>
              <w:t>游客</w:t>
            </w:r>
            <w:r>
              <w:rPr>
                <w:rFonts w:hint="eastAsia" w:ascii="Times New Roman" w:hAnsi="Times New Roman" w:eastAsia="仿宋" w:cs="仿宋"/>
                <w:b w:val="0"/>
                <w:color w:val="000000"/>
                <w:spacing w:val="0"/>
                <w:kern w:val="32"/>
                <w:sz w:val="24"/>
                <w:szCs w:val="24"/>
                <w:highlight w:val="none"/>
              </w:rPr>
              <w:t>满意度</w:t>
            </w:r>
          </w:p>
        </w:tc>
        <w:tc>
          <w:tcPr>
            <w:tcW w:w="8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正向</w:t>
            </w:r>
          </w:p>
        </w:tc>
        <w:tc>
          <w:tcPr>
            <w:tcW w:w="8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大于等于</w:t>
            </w:r>
          </w:p>
        </w:tc>
        <w:tc>
          <w:tcPr>
            <w:tcW w:w="10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90</w:t>
            </w:r>
            <w:r>
              <w:rPr>
                <w:rFonts w:hint="eastAsia" w:ascii="Times New Roman" w:hAnsi="Times New Roman" w:eastAsia="仿宋" w:cs="仿宋"/>
                <w:b w:val="0"/>
                <w:color w:val="000000"/>
                <w:spacing w:val="0"/>
                <w:kern w:val="32"/>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2"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78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7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p>
        </w:tc>
        <w:tc>
          <w:tcPr>
            <w:tcW w:w="3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lang w:val="en-US" w:eastAsia="zh-CN"/>
              </w:rPr>
              <w:t>伊金霍洛镇人民群众</w:t>
            </w:r>
            <w:r>
              <w:rPr>
                <w:rFonts w:hint="eastAsia" w:ascii="Times New Roman" w:hAnsi="Times New Roman" w:eastAsia="仿宋" w:cs="仿宋"/>
                <w:b w:val="0"/>
                <w:color w:val="000000"/>
                <w:spacing w:val="0"/>
                <w:kern w:val="32"/>
                <w:sz w:val="24"/>
                <w:szCs w:val="24"/>
                <w:highlight w:val="none"/>
              </w:rPr>
              <w:t>满意度</w:t>
            </w:r>
          </w:p>
        </w:tc>
        <w:tc>
          <w:tcPr>
            <w:tcW w:w="8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正向</w:t>
            </w:r>
          </w:p>
        </w:tc>
        <w:tc>
          <w:tcPr>
            <w:tcW w:w="8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大于等于</w:t>
            </w:r>
          </w:p>
        </w:tc>
        <w:tc>
          <w:tcPr>
            <w:tcW w:w="10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仿宋"/>
                <w:b w:val="0"/>
                <w:color w:val="000000"/>
                <w:spacing w:val="0"/>
                <w:kern w:val="32"/>
                <w:sz w:val="24"/>
                <w:szCs w:val="24"/>
                <w:highlight w:val="none"/>
              </w:rPr>
            </w:pPr>
            <w:r>
              <w:rPr>
                <w:rFonts w:hint="eastAsia" w:ascii="Times New Roman" w:hAnsi="Times New Roman" w:eastAsia="仿宋" w:cs="仿宋"/>
                <w:b w:val="0"/>
                <w:color w:val="000000"/>
                <w:spacing w:val="0"/>
                <w:kern w:val="32"/>
                <w:sz w:val="24"/>
                <w:szCs w:val="24"/>
                <w:highlight w:val="none"/>
              </w:rPr>
              <w:t>90</w:t>
            </w:r>
            <w:r>
              <w:rPr>
                <w:rFonts w:hint="eastAsia" w:ascii="Times New Roman" w:hAnsi="Times New Roman" w:eastAsia="仿宋" w:cs="仿宋"/>
                <w:b w:val="0"/>
                <w:color w:val="000000"/>
                <w:spacing w:val="0"/>
                <w:kern w:val="32"/>
                <w:sz w:val="24"/>
                <w:szCs w:val="24"/>
                <w:highlight w:val="none"/>
                <w:lang w:val="en-US" w:eastAsia="zh-CN"/>
              </w:rPr>
              <w:t>%</w:t>
            </w:r>
          </w:p>
        </w:tc>
      </w:tr>
      <w:bookmarkEnd w:id="35"/>
      <w:bookmarkEnd w:id="36"/>
    </w:tbl>
    <w:p>
      <w:pPr>
        <w:keepNext w:val="0"/>
        <w:keepLines w:val="0"/>
        <w:pageBreakBefore w:val="0"/>
        <w:widowControl w:val="0"/>
        <w:kinsoku/>
        <w:wordWrap/>
        <w:overflowPunct/>
        <w:topLinePunct w:val="0"/>
        <w:autoSpaceDE/>
        <w:autoSpaceDN/>
        <w:bidi w:val="0"/>
        <w:adjustRightInd/>
        <w:snapToGrid/>
        <w:spacing w:before="0" w:beforeAutospacing="0" w:after="0" w:line="360" w:lineRule="auto"/>
        <w:ind w:left="0" w:leftChars="0" w:right="0" w:rightChars="0" w:firstLine="640" w:firstLineChars="200"/>
        <w:jc w:val="both"/>
        <w:textAlignment w:val="auto"/>
        <w:outlineLvl w:val="0"/>
        <w:rPr>
          <w:rFonts w:hint="eastAsia" w:ascii="Times New Roman" w:hAnsi="Times New Roman" w:eastAsia="黑体" w:cs="Times New Roman"/>
          <w:b w:val="0"/>
          <w:bCs w:val="0"/>
          <w:spacing w:val="0"/>
          <w:kern w:val="32"/>
          <w:sz w:val="32"/>
          <w:szCs w:val="32"/>
          <w:highlight w:val="none"/>
          <w:lang w:val="en-US" w:eastAsia="zh-CN"/>
        </w:rPr>
      </w:pPr>
      <w:bookmarkStart w:id="39" w:name="_Toc25676"/>
      <w:bookmarkStart w:id="40" w:name="_Toc12947"/>
      <w:bookmarkStart w:id="41" w:name="_Toc26550"/>
      <w:r>
        <w:rPr>
          <w:rFonts w:hint="eastAsia" w:ascii="Times New Roman" w:hAnsi="Times New Roman" w:eastAsia="黑体" w:cs="Times New Roman"/>
          <w:b w:val="0"/>
          <w:bCs w:val="0"/>
          <w:spacing w:val="0"/>
          <w:kern w:val="32"/>
          <w:sz w:val="32"/>
          <w:szCs w:val="32"/>
          <w:highlight w:val="none"/>
          <w:lang w:val="en-US" w:eastAsia="zh-CN"/>
        </w:rPr>
        <w:t>二</w:t>
      </w:r>
      <w:r>
        <w:rPr>
          <w:rFonts w:hint="eastAsia" w:ascii="Times New Roman" w:hAnsi="Times New Roman" w:eastAsia="黑体" w:cs="Times New Roman"/>
          <w:b w:val="0"/>
          <w:bCs w:val="0"/>
          <w:spacing w:val="0"/>
          <w:kern w:val="32"/>
          <w:sz w:val="32"/>
          <w:szCs w:val="32"/>
          <w:highlight w:val="none"/>
          <w:lang w:eastAsia="zh-CN"/>
        </w:rPr>
        <w:t>、</w:t>
      </w:r>
      <w:bookmarkEnd w:id="37"/>
      <w:bookmarkEnd w:id="38"/>
      <w:bookmarkEnd w:id="39"/>
      <w:bookmarkEnd w:id="40"/>
      <w:bookmarkEnd w:id="41"/>
      <w:bookmarkStart w:id="42" w:name="_Toc18325"/>
      <w:bookmarkStart w:id="43" w:name="_Toc113973821"/>
      <w:bookmarkStart w:id="44" w:name="_Toc7813"/>
      <w:bookmarkStart w:id="45" w:name="_Toc9548"/>
      <w:bookmarkStart w:id="46" w:name="_Toc12650"/>
      <w:r>
        <w:rPr>
          <w:rFonts w:hint="eastAsia" w:ascii="Times New Roman" w:hAnsi="Times New Roman" w:eastAsia="黑体" w:cs="Times New Roman"/>
          <w:b w:val="0"/>
          <w:bCs w:val="0"/>
          <w:spacing w:val="0"/>
          <w:kern w:val="32"/>
          <w:sz w:val="32"/>
          <w:szCs w:val="32"/>
          <w:highlight w:val="none"/>
          <w:lang w:val="en-US" w:eastAsia="zh-CN"/>
        </w:rPr>
        <w:t>评价结论</w:t>
      </w:r>
      <w:bookmarkEnd w:id="42"/>
      <w:bookmarkEnd w:id="43"/>
      <w:bookmarkEnd w:id="44"/>
      <w:bookmarkEnd w:id="45"/>
      <w:bookmarkEnd w:id="46"/>
    </w:p>
    <w:p>
      <w:pPr>
        <w:pStyle w:val="8"/>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firstLine="640" w:firstLineChars="200"/>
        <w:jc w:val="both"/>
        <w:textAlignment w:val="auto"/>
        <w:outlineLvl w:val="9"/>
        <w:rPr>
          <w:rFonts w:hint="default" w:ascii="Times New Roman" w:hAnsi="Times New Roman" w:eastAsia="仿宋_GB2312" w:cs="仿宋_GB2312"/>
          <w:b w:val="0"/>
          <w:spacing w:val="0"/>
          <w:kern w:val="32"/>
          <w:sz w:val="32"/>
          <w:szCs w:val="32"/>
          <w:highlight w:val="none"/>
          <w:lang w:val="en-US" w:eastAsia="zh-CN"/>
        </w:rPr>
      </w:pPr>
      <w:bookmarkStart w:id="47" w:name="_Toc22801"/>
      <w:bookmarkStart w:id="48" w:name="_Toc42532310"/>
      <w:r>
        <w:rPr>
          <w:rFonts w:hint="eastAsia" w:ascii="Times New Roman" w:hAnsi="Times New Roman" w:eastAsia="仿宋_GB2312" w:cs="仿宋_GB2312"/>
          <w:b w:val="0"/>
          <w:spacing w:val="0"/>
          <w:kern w:val="32"/>
          <w:sz w:val="32"/>
          <w:szCs w:val="32"/>
          <w:highlight w:val="none"/>
          <w:lang w:val="en-US" w:eastAsia="zh-CN"/>
        </w:rPr>
        <w:t>评价工作组运用科学的评价指标体系及评分标准，通过数据采集、问卷调查及访谈，对2022年巴音昌胡格草原旅游基础设施及镇区基础设施建设项目进行客观评价，综合评分。本次绩效评价综合评分结果为70.2分，综合评定等级为“中”。该项目主要用于巴音昌胡格草原旅游基础设施及镇区基础设施建设工作。经评价分析，该项目总体实施情况一般，各项建设任务均已完成，但项目管理水平较差，业务管理制度不完善，部分子项目的政府采购未进行公开；合同签订不规范，未明确具体实施内容及质量标准；监理施工资料缺失；项目验收不规范</w:t>
      </w:r>
      <w:r>
        <w:rPr>
          <w:rFonts w:hint="eastAsia" w:ascii="Times New Roman" w:hAnsi="Times New Roman" w:cs="仿宋_GB2312"/>
          <w:b w:val="0"/>
          <w:spacing w:val="0"/>
          <w:kern w:val="32"/>
          <w:sz w:val="32"/>
          <w:szCs w:val="32"/>
          <w:highlight w:val="none"/>
          <w:lang w:val="en-US" w:eastAsia="zh-CN"/>
        </w:rPr>
        <w:t>等。</w:t>
      </w:r>
      <w:r>
        <w:rPr>
          <w:rFonts w:hint="eastAsia" w:ascii="Times New Roman" w:hAnsi="Times New Roman" w:eastAsia="仿宋_GB2312" w:cs="仿宋_GB2312"/>
          <w:b w:val="0"/>
          <w:bCs w:val="0"/>
          <w:spacing w:val="0"/>
          <w:kern w:val="32"/>
          <w:sz w:val="32"/>
          <w:szCs w:val="32"/>
          <w:highlight w:val="none"/>
          <w:lang w:val="en-US" w:eastAsia="zh-CN"/>
        </w:rPr>
        <w:t>财务监管不到位，资金使用不合规</w:t>
      </w:r>
      <w:r>
        <w:rPr>
          <w:rFonts w:hint="eastAsia" w:ascii="Times New Roman" w:hAnsi="Times New Roman" w:eastAsia="仿宋_GB2312" w:cs="仿宋_GB2312"/>
          <w:b w:val="0"/>
          <w:spacing w:val="0"/>
          <w:kern w:val="32"/>
          <w:sz w:val="32"/>
          <w:szCs w:val="32"/>
          <w:highlight w:val="none"/>
          <w:lang w:val="en-US" w:eastAsia="zh-CN"/>
        </w:rPr>
        <w:t>。项目效益一般，可持续性较差。</w:t>
      </w:r>
    </w:p>
    <w:bookmarkEnd w:id="47"/>
    <w:p>
      <w:pPr>
        <w:keepNext w:val="0"/>
        <w:keepLines w:val="0"/>
        <w:pageBreakBefore w:val="0"/>
        <w:widowControl w:val="0"/>
        <w:kinsoku/>
        <w:wordWrap/>
        <w:overflowPunct/>
        <w:topLinePunct w:val="0"/>
        <w:autoSpaceDE/>
        <w:autoSpaceDN/>
        <w:bidi w:val="0"/>
        <w:adjustRightInd/>
        <w:snapToGrid/>
        <w:spacing w:before="0" w:beforeAutospacing="0" w:after="0" w:line="360" w:lineRule="auto"/>
        <w:ind w:left="0" w:leftChars="0" w:right="0" w:rightChars="0" w:firstLine="640" w:firstLineChars="200"/>
        <w:jc w:val="both"/>
        <w:textAlignment w:val="auto"/>
        <w:outlineLvl w:val="0"/>
        <w:rPr>
          <w:rFonts w:hint="default" w:ascii="Times New Roman" w:hAnsi="Times New Roman" w:eastAsia="黑体" w:cs="Times New Roman"/>
          <w:b w:val="0"/>
          <w:bCs w:val="0"/>
          <w:spacing w:val="0"/>
          <w:kern w:val="32"/>
          <w:sz w:val="32"/>
          <w:szCs w:val="32"/>
          <w:highlight w:val="none"/>
          <w:lang w:val="en-US" w:eastAsia="zh-CN"/>
        </w:rPr>
      </w:pPr>
      <w:bookmarkStart w:id="49" w:name="_Toc20510"/>
      <w:bookmarkStart w:id="50" w:name="_Toc10502"/>
      <w:bookmarkStart w:id="51" w:name="_Toc7036"/>
      <w:bookmarkStart w:id="52" w:name="_Toc20144"/>
      <w:bookmarkStart w:id="53" w:name="_Toc5689"/>
      <w:r>
        <w:rPr>
          <w:rFonts w:hint="eastAsia" w:ascii="Times New Roman" w:hAnsi="Times New Roman" w:eastAsia="黑体" w:cs="Times New Roman"/>
          <w:b w:val="0"/>
          <w:bCs w:val="0"/>
          <w:spacing w:val="0"/>
          <w:kern w:val="32"/>
          <w:sz w:val="32"/>
          <w:szCs w:val="32"/>
          <w:highlight w:val="none"/>
          <w:lang w:val="en-US" w:eastAsia="zh-CN"/>
        </w:rPr>
        <w:t>三、存在的问题及原因分析</w:t>
      </w:r>
      <w:bookmarkEnd w:id="49"/>
      <w:bookmarkEnd w:id="50"/>
      <w:bookmarkEnd w:id="51"/>
    </w:p>
    <w:bookmarkEnd w:id="52"/>
    <w:bookmarkEnd w:id="53"/>
    <w:p>
      <w:pPr>
        <w:keepNext w:val="0"/>
        <w:keepLines w:val="0"/>
        <w:pageBreakBefore w:val="0"/>
        <w:widowControl w:val="0"/>
        <w:kinsoku/>
        <w:wordWrap/>
        <w:overflowPunct/>
        <w:topLinePunct w:val="0"/>
        <w:autoSpaceDE/>
        <w:autoSpaceDN/>
        <w:bidi w:val="0"/>
        <w:adjustRightInd/>
        <w:snapToGrid/>
        <w:spacing w:before="0" w:beforeAutospacing="0" w:after="0" w:line="360" w:lineRule="auto"/>
        <w:ind w:left="0" w:leftChars="0" w:right="0" w:rightChars="0" w:firstLine="640" w:firstLineChars="200"/>
        <w:jc w:val="both"/>
        <w:textAlignment w:val="auto"/>
        <w:outlineLvl w:val="9"/>
        <w:rPr>
          <w:rFonts w:hint="eastAsia" w:ascii="Times New Roman" w:hAnsi="Times New Roman" w:eastAsia="仿宋_GB2312" w:cs="仿宋_GB2312"/>
          <w:b w:val="0"/>
          <w:bCs/>
          <w:spacing w:val="0"/>
          <w:kern w:val="32"/>
          <w:sz w:val="32"/>
          <w:szCs w:val="32"/>
          <w:highlight w:val="none"/>
          <w:lang w:val="en-US" w:eastAsia="zh-CN" w:bidi="ar-SA"/>
        </w:rPr>
      </w:pPr>
      <w:bookmarkStart w:id="54" w:name="_Toc31428"/>
      <w:bookmarkStart w:id="55" w:name="_Toc32106"/>
      <w:bookmarkStart w:id="56" w:name="_Toc28042"/>
      <w:r>
        <w:rPr>
          <w:rFonts w:hint="eastAsia" w:ascii="Times New Roman" w:hAnsi="Times New Roman" w:eastAsia="仿宋_GB2312" w:cs="仿宋_GB2312"/>
          <w:b w:val="0"/>
          <w:bCs/>
          <w:spacing w:val="0"/>
          <w:kern w:val="32"/>
          <w:sz w:val="32"/>
          <w:szCs w:val="32"/>
          <w:highlight w:val="none"/>
          <w:lang w:val="en-US" w:eastAsia="zh-CN" w:bidi="ar-SA"/>
        </w:rPr>
        <w:t>（一）项目立项程序不规范</w:t>
      </w:r>
      <w:bookmarkEnd w:id="54"/>
    </w:p>
    <w:p>
      <w:pPr>
        <w:keepNext w:val="0"/>
        <w:keepLines w:val="0"/>
        <w:pageBreakBefore w:val="0"/>
        <w:widowControl w:val="0"/>
        <w:kinsoku/>
        <w:wordWrap/>
        <w:overflowPunct/>
        <w:topLinePunct w:val="0"/>
        <w:autoSpaceDE/>
        <w:autoSpaceDN/>
        <w:bidi w:val="0"/>
        <w:adjustRightInd/>
        <w:snapToGrid/>
        <w:spacing w:before="0" w:beforeAutospacing="0" w:after="0" w:line="360" w:lineRule="auto"/>
        <w:ind w:left="0" w:leftChars="0" w:right="0" w:rightChars="0" w:firstLine="640" w:firstLineChars="200"/>
        <w:jc w:val="both"/>
        <w:textAlignment w:val="auto"/>
        <w:outlineLvl w:val="9"/>
        <w:rPr>
          <w:rFonts w:hint="eastAsia" w:ascii="Times New Roman" w:hAnsi="Times New Roman" w:eastAsia="仿宋_GB2312" w:cs="仿宋_GB2312"/>
          <w:b w:val="0"/>
          <w:bCs/>
          <w:spacing w:val="0"/>
          <w:kern w:val="32"/>
          <w:sz w:val="32"/>
          <w:szCs w:val="32"/>
          <w:highlight w:val="none"/>
          <w:lang w:val="en-US" w:eastAsia="zh-CN" w:bidi="ar-SA"/>
        </w:rPr>
      </w:pPr>
      <w:bookmarkStart w:id="57" w:name="_Toc1036"/>
      <w:r>
        <w:rPr>
          <w:rFonts w:hint="eastAsia" w:ascii="Times New Roman" w:hAnsi="Times New Roman" w:eastAsia="仿宋_GB2312" w:cs="仿宋_GB2312"/>
          <w:b w:val="0"/>
          <w:bCs/>
          <w:spacing w:val="0"/>
          <w:kern w:val="32"/>
          <w:sz w:val="32"/>
          <w:szCs w:val="32"/>
          <w:highlight w:val="none"/>
          <w:lang w:val="en-US" w:eastAsia="zh-CN" w:bidi="ar-SA"/>
        </w:rPr>
        <w:t>该项目属于工程类项目，且涉及资金数额较大，项目立项前未进行必要的可行性研究和事前绩效评估，立项程序不规范。</w:t>
      </w:r>
      <w:bookmarkEnd w:id="57"/>
    </w:p>
    <w:p>
      <w:pPr>
        <w:keepNext w:val="0"/>
        <w:keepLines w:val="0"/>
        <w:pageBreakBefore w:val="0"/>
        <w:widowControl w:val="0"/>
        <w:kinsoku/>
        <w:wordWrap/>
        <w:overflowPunct/>
        <w:topLinePunct w:val="0"/>
        <w:autoSpaceDE/>
        <w:autoSpaceDN/>
        <w:bidi w:val="0"/>
        <w:adjustRightInd/>
        <w:snapToGrid/>
        <w:spacing w:before="0" w:beforeAutospacing="0" w:after="0" w:line="360" w:lineRule="auto"/>
        <w:ind w:left="0" w:leftChars="0" w:right="0" w:rightChars="0" w:firstLine="640" w:firstLineChars="200"/>
        <w:jc w:val="both"/>
        <w:textAlignment w:val="auto"/>
        <w:outlineLvl w:val="9"/>
        <w:rPr>
          <w:rFonts w:hint="eastAsia" w:ascii="Times New Roman" w:hAnsi="Times New Roman" w:eastAsia="仿宋_GB2312" w:cs="仿宋_GB2312"/>
          <w:b w:val="0"/>
          <w:bCs/>
          <w:spacing w:val="0"/>
          <w:kern w:val="32"/>
          <w:sz w:val="32"/>
          <w:szCs w:val="32"/>
          <w:highlight w:val="none"/>
          <w:lang w:val="en-US" w:eastAsia="zh-CN" w:bidi="ar-SA"/>
        </w:rPr>
      </w:pPr>
      <w:bookmarkStart w:id="58" w:name="_Toc7514"/>
      <w:r>
        <w:rPr>
          <w:rFonts w:hint="eastAsia" w:ascii="Times New Roman" w:hAnsi="Times New Roman" w:eastAsia="仿宋_GB2312" w:cs="仿宋_GB2312"/>
          <w:b w:val="0"/>
          <w:bCs/>
          <w:spacing w:val="0"/>
          <w:kern w:val="32"/>
          <w:sz w:val="32"/>
          <w:szCs w:val="32"/>
          <w:highlight w:val="none"/>
          <w:lang w:val="en-US" w:eastAsia="zh-CN" w:bidi="ar-SA"/>
        </w:rPr>
        <w:t>（二）资金使用不合规</w:t>
      </w:r>
      <w:bookmarkEnd w:id="58"/>
    </w:p>
    <w:p>
      <w:pPr>
        <w:keepNext w:val="0"/>
        <w:keepLines w:val="0"/>
        <w:pageBreakBefore w:val="0"/>
        <w:widowControl w:val="0"/>
        <w:kinsoku/>
        <w:wordWrap/>
        <w:overflowPunct/>
        <w:topLinePunct w:val="0"/>
        <w:autoSpaceDE/>
        <w:autoSpaceDN/>
        <w:bidi w:val="0"/>
        <w:adjustRightInd/>
        <w:snapToGrid/>
        <w:spacing w:before="0" w:beforeAutospacing="0" w:after="0" w:line="360" w:lineRule="auto"/>
        <w:ind w:left="0" w:leftChars="0" w:right="0" w:rightChars="0" w:firstLine="640" w:firstLineChars="200"/>
        <w:jc w:val="both"/>
        <w:textAlignment w:val="auto"/>
        <w:outlineLvl w:val="9"/>
        <w:rPr>
          <w:rFonts w:hint="eastAsia" w:ascii="Times New Roman" w:hAnsi="Times New Roman" w:eastAsia="仿宋_GB2312" w:cs="仿宋_GB2312"/>
          <w:b w:val="0"/>
          <w:bCs/>
          <w:spacing w:val="0"/>
          <w:kern w:val="32"/>
          <w:sz w:val="32"/>
          <w:szCs w:val="32"/>
          <w:highlight w:val="none"/>
          <w:lang w:val="en-US" w:eastAsia="zh-CN" w:bidi="ar-SA"/>
        </w:rPr>
      </w:pPr>
      <w:bookmarkStart w:id="59" w:name="_Toc32303"/>
      <w:r>
        <w:rPr>
          <w:rFonts w:hint="eastAsia" w:ascii="Times New Roman" w:hAnsi="Times New Roman" w:eastAsia="仿宋_GB2312" w:cs="仿宋_GB2312"/>
          <w:b w:val="0"/>
          <w:bCs/>
          <w:spacing w:val="0"/>
          <w:kern w:val="32"/>
          <w:sz w:val="32"/>
          <w:szCs w:val="32"/>
          <w:highlight w:val="none"/>
          <w:lang w:val="en-US" w:eastAsia="zh-CN" w:bidi="ar-SA"/>
        </w:rPr>
        <w:t>评价组通过资料核查，</w:t>
      </w:r>
      <w:r>
        <w:rPr>
          <w:rFonts w:hint="eastAsia" w:eastAsia="仿宋_GB2312" w:cs="仿宋_GB2312"/>
          <w:b w:val="0"/>
          <w:bCs/>
          <w:spacing w:val="0"/>
          <w:kern w:val="32"/>
          <w:sz w:val="32"/>
          <w:szCs w:val="32"/>
          <w:highlight w:val="none"/>
          <w:lang w:val="en-US" w:eastAsia="zh-CN" w:bidi="ar-SA"/>
        </w:rPr>
        <w:t>发现</w:t>
      </w:r>
      <w:r>
        <w:rPr>
          <w:rFonts w:hint="eastAsia" w:ascii="Times New Roman" w:hAnsi="Times New Roman" w:eastAsia="仿宋_GB2312" w:cs="仿宋_GB2312"/>
          <w:b w:val="0"/>
          <w:bCs/>
          <w:spacing w:val="0"/>
          <w:kern w:val="32"/>
          <w:sz w:val="32"/>
          <w:szCs w:val="32"/>
          <w:highlight w:val="none"/>
          <w:lang w:val="en-US" w:eastAsia="zh-CN" w:bidi="ar-SA"/>
        </w:rPr>
        <w:t>部分子项目资金使用不合规，</w:t>
      </w:r>
      <w:r>
        <w:rPr>
          <w:rFonts w:hint="eastAsia" w:eastAsia="仿宋_GB2312" w:cs="仿宋_GB2312"/>
          <w:b w:val="0"/>
          <w:bCs/>
          <w:spacing w:val="0"/>
          <w:kern w:val="32"/>
          <w:sz w:val="32"/>
          <w:szCs w:val="32"/>
          <w:highlight w:val="none"/>
          <w:lang w:val="en-US" w:eastAsia="zh-CN" w:bidi="ar-SA"/>
        </w:rPr>
        <w:t>例</w:t>
      </w:r>
      <w:r>
        <w:rPr>
          <w:rFonts w:hint="eastAsia" w:ascii="Times New Roman" w:hAnsi="Times New Roman" w:eastAsia="仿宋_GB2312" w:cs="仿宋_GB2312"/>
          <w:b w:val="0"/>
          <w:bCs/>
          <w:spacing w:val="0"/>
          <w:kern w:val="32"/>
          <w:sz w:val="32"/>
          <w:szCs w:val="32"/>
          <w:highlight w:val="none"/>
          <w:lang w:val="en-US" w:eastAsia="zh-CN" w:bidi="ar-SA"/>
        </w:rPr>
        <w:t>如2022年11月19#财务凭证“支怡德建设绕城路路面标工程款”不符合合同约定的服务内容，且资金支付无调整手续。</w:t>
      </w:r>
      <w:bookmarkEnd w:id="59"/>
    </w:p>
    <w:p>
      <w:pPr>
        <w:keepNext w:val="0"/>
        <w:keepLines w:val="0"/>
        <w:pageBreakBefore w:val="0"/>
        <w:widowControl w:val="0"/>
        <w:kinsoku/>
        <w:wordWrap/>
        <w:overflowPunct/>
        <w:topLinePunct w:val="0"/>
        <w:autoSpaceDE/>
        <w:autoSpaceDN/>
        <w:bidi w:val="0"/>
        <w:adjustRightInd/>
        <w:snapToGrid/>
        <w:spacing w:before="0" w:beforeAutospacing="0" w:after="0" w:line="360" w:lineRule="auto"/>
        <w:ind w:left="0" w:leftChars="0" w:right="0" w:rightChars="0" w:firstLine="640" w:firstLineChars="200"/>
        <w:jc w:val="both"/>
        <w:textAlignment w:val="auto"/>
        <w:outlineLvl w:val="9"/>
        <w:rPr>
          <w:rFonts w:hint="eastAsia" w:ascii="Times New Roman" w:hAnsi="Times New Roman" w:eastAsia="仿宋_GB2312" w:cs="仿宋_GB2312"/>
          <w:b w:val="0"/>
          <w:bCs/>
          <w:spacing w:val="0"/>
          <w:kern w:val="32"/>
          <w:sz w:val="32"/>
          <w:szCs w:val="32"/>
          <w:highlight w:val="none"/>
          <w:lang w:val="en-US" w:eastAsia="zh-CN" w:bidi="ar-SA"/>
        </w:rPr>
      </w:pPr>
      <w:bookmarkStart w:id="60" w:name="_Toc12513"/>
      <w:r>
        <w:rPr>
          <w:rFonts w:hint="eastAsia" w:ascii="Times New Roman" w:hAnsi="Times New Roman" w:eastAsia="仿宋_GB2312" w:cs="仿宋_GB2312"/>
          <w:b w:val="0"/>
          <w:bCs/>
          <w:spacing w:val="0"/>
          <w:kern w:val="32"/>
          <w:sz w:val="32"/>
          <w:szCs w:val="32"/>
          <w:highlight w:val="none"/>
          <w:lang w:val="en-US" w:eastAsia="zh-CN" w:bidi="ar-SA"/>
        </w:rPr>
        <w:t>（三）项目管理水平较差</w:t>
      </w:r>
      <w:bookmarkEnd w:id="60"/>
    </w:p>
    <w:p>
      <w:pPr>
        <w:keepNext w:val="0"/>
        <w:keepLines w:val="0"/>
        <w:pageBreakBefore w:val="0"/>
        <w:widowControl w:val="0"/>
        <w:kinsoku/>
        <w:wordWrap/>
        <w:overflowPunct/>
        <w:topLinePunct w:val="0"/>
        <w:autoSpaceDE/>
        <w:autoSpaceDN/>
        <w:bidi w:val="0"/>
        <w:adjustRightInd/>
        <w:snapToGrid/>
        <w:spacing w:before="0" w:beforeAutospacing="0" w:after="0" w:line="360" w:lineRule="auto"/>
        <w:ind w:left="0" w:leftChars="0" w:right="0" w:rightChars="0" w:firstLine="640" w:firstLineChars="200"/>
        <w:jc w:val="both"/>
        <w:textAlignment w:val="auto"/>
        <w:outlineLvl w:val="9"/>
        <w:rPr>
          <w:rFonts w:hint="eastAsia" w:ascii="Times New Roman" w:hAnsi="Times New Roman" w:eastAsia="仿宋_GB2312" w:cs="仿宋_GB2312"/>
          <w:b w:val="0"/>
          <w:bCs/>
          <w:spacing w:val="0"/>
          <w:kern w:val="32"/>
          <w:sz w:val="32"/>
          <w:szCs w:val="32"/>
          <w:highlight w:val="none"/>
          <w:lang w:val="en-US" w:eastAsia="zh-CN" w:bidi="ar-SA"/>
        </w:rPr>
      </w:pPr>
      <w:bookmarkStart w:id="61" w:name="_Toc18154"/>
      <w:r>
        <w:rPr>
          <w:rFonts w:hint="eastAsia" w:ascii="Times New Roman" w:hAnsi="Times New Roman" w:eastAsia="仿宋_GB2312" w:cs="仿宋_GB2312"/>
          <w:b w:val="0"/>
          <w:bCs/>
          <w:spacing w:val="0"/>
          <w:kern w:val="32"/>
          <w:sz w:val="32"/>
          <w:szCs w:val="32"/>
          <w:highlight w:val="none"/>
          <w:lang w:val="en-US" w:eastAsia="zh-CN" w:bidi="ar-SA"/>
        </w:rPr>
        <w:t>1.项目管理制度不完善，执行不到位。项目业务管理制度不健全，缺少对政府采购程序的相关规定或管理办法，导致政府采购存在以下问题：①部分子项目缺失招标采购资料，如“绕城路路面标线工程”“绕城路灌缝工程”及“各个造价咨询、审计结算项目”等；②该项目的政府采购资料均未在“内蒙古自治区政府采购网”及“鄂尔多斯市公共资源交易中心”进行公开，无法核查项目的采购流程是否规范。③自行采购的</w:t>
      </w:r>
      <w:r>
        <w:rPr>
          <w:rFonts w:hint="eastAsia" w:eastAsia="仿宋_GB2312" w:cs="仿宋_GB2312"/>
          <w:b w:val="0"/>
          <w:bCs/>
          <w:spacing w:val="0"/>
          <w:kern w:val="32"/>
          <w:sz w:val="32"/>
          <w:szCs w:val="32"/>
          <w:highlight w:val="none"/>
          <w:lang w:val="en-US" w:eastAsia="zh-CN" w:bidi="ar-SA"/>
        </w:rPr>
        <w:t>，</w:t>
      </w:r>
      <w:r>
        <w:rPr>
          <w:rFonts w:hint="eastAsia" w:ascii="Times New Roman" w:hAnsi="Times New Roman" w:eastAsia="仿宋_GB2312" w:cs="仿宋_GB2312"/>
          <w:b w:val="0"/>
          <w:bCs/>
          <w:spacing w:val="0"/>
          <w:kern w:val="32"/>
          <w:sz w:val="32"/>
          <w:szCs w:val="32"/>
          <w:highlight w:val="none"/>
          <w:lang w:val="en-US" w:eastAsia="zh-CN" w:bidi="ar-SA"/>
        </w:rPr>
        <w:t>无采购过程资料，未进行比价。</w:t>
      </w:r>
      <w:bookmarkEnd w:id="61"/>
    </w:p>
    <w:p>
      <w:pPr>
        <w:keepNext w:val="0"/>
        <w:keepLines w:val="0"/>
        <w:pageBreakBefore w:val="0"/>
        <w:widowControl w:val="0"/>
        <w:kinsoku/>
        <w:wordWrap/>
        <w:overflowPunct/>
        <w:topLinePunct w:val="0"/>
        <w:autoSpaceDE/>
        <w:autoSpaceDN/>
        <w:bidi w:val="0"/>
        <w:adjustRightInd/>
        <w:snapToGrid/>
        <w:spacing w:before="0" w:beforeAutospacing="0" w:after="0" w:line="360" w:lineRule="auto"/>
        <w:ind w:left="0" w:leftChars="0" w:right="0" w:rightChars="0" w:firstLine="640" w:firstLineChars="200"/>
        <w:jc w:val="both"/>
        <w:textAlignment w:val="auto"/>
        <w:outlineLvl w:val="9"/>
        <w:rPr>
          <w:rFonts w:hint="eastAsia" w:ascii="Times New Roman" w:hAnsi="Times New Roman" w:eastAsia="仿宋_GB2312" w:cs="仿宋_GB2312"/>
          <w:b w:val="0"/>
          <w:bCs/>
          <w:spacing w:val="0"/>
          <w:kern w:val="32"/>
          <w:sz w:val="32"/>
          <w:szCs w:val="32"/>
          <w:highlight w:val="none"/>
          <w:lang w:val="en-US" w:eastAsia="zh-CN" w:bidi="ar-SA"/>
        </w:rPr>
      </w:pPr>
      <w:bookmarkStart w:id="62" w:name="_Toc12637"/>
      <w:r>
        <w:rPr>
          <w:rFonts w:hint="eastAsia" w:ascii="Times New Roman" w:hAnsi="Times New Roman" w:eastAsia="仿宋_GB2312" w:cs="仿宋_GB2312"/>
          <w:b w:val="0"/>
          <w:bCs/>
          <w:spacing w:val="0"/>
          <w:kern w:val="32"/>
          <w:sz w:val="32"/>
          <w:szCs w:val="32"/>
          <w:highlight w:val="none"/>
          <w:lang w:val="en-US" w:eastAsia="zh-CN" w:bidi="ar-SA"/>
        </w:rPr>
        <w:t>2.合同管理不到位。①部分子项目合同工程内容不具体、实施内容不明确，无法核实项目验收内容与合同约定是否一致；②“绕城路路面标线工程”子项目的合同发包方未盖公章或合同章；③“绕城路灌缝工程”子项目未签订合同；④“绕城路路面标线工程”子项目实际实施过程中发现更改了合同实质性内容，且未签订补充合同或走相关审批流程。</w:t>
      </w:r>
      <w:bookmarkEnd w:id="62"/>
    </w:p>
    <w:p>
      <w:pPr>
        <w:keepNext w:val="0"/>
        <w:keepLines w:val="0"/>
        <w:pageBreakBefore w:val="0"/>
        <w:widowControl w:val="0"/>
        <w:kinsoku/>
        <w:wordWrap/>
        <w:overflowPunct/>
        <w:topLinePunct w:val="0"/>
        <w:autoSpaceDE/>
        <w:autoSpaceDN/>
        <w:bidi w:val="0"/>
        <w:adjustRightInd/>
        <w:snapToGrid/>
        <w:spacing w:before="0" w:beforeAutospacing="0" w:after="0" w:line="360" w:lineRule="auto"/>
        <w:ind w:left="0" w:leftChars="0" w:right="0" w:rightChars="0" w:firstLine="640" w:firstLineChars="200"/>
        <w:jc w:val="both"/>
        <w:textAlignment w:val="auto"/>
        <w:outlineLvl w:val="9"/>
        <w:rPr>
          <w:rFonts w:hint="eastAsia" w:ascii="Times New Roman" w:hAnsi="Times New Roman" w:eastAsia="仿宋_GB2312" w:cs="仿宋_GB2312"/>
          <w:b w:val="0"/>
          <w:bCs/>
          <w:spacing w:val="0"/>
          <w:kern w:val="32"/>
          <w:sz w:val="32"/>
          <w:szCs w:val="32"/>
          <w:highlight w:val="none"/>
          <w:lang w:val="en-US" w:eastAsia="zh-CN" w:bidi="ar-SA"/>
        </w:rPr>
      </w:pPr>
      <w:bookmarkStart w:id="63" w:name="_Toc1934"/>
      <w:r>
        <w:rPr>
          <w:rFonts w:hint="eastAsia" w:ascii="Times New Roman" w:hAnsi="Times New Roman" w:eastAsia="仿宋_GB2312" w:cs="仿宋_GB2312"/>
          <w:b w:val="0"/>
          <w:bCs/>
          <w:spacing w:val="0"/>
          <w:kern w:val="32"/>
          <w:sz w:val="32"/>
          <w:szCs w:val="32"/>
          <w:highlight w:val="none"/>
          <w:lang w:val="en-US" w:eastAsia="zh-CN" w:bidi="ar-SA"/>
        </w:rPr>
        <w:t>3.项目监理资料缺失。根据项目单位提供的资料，未见工程监理的招标采购资料及合同，现场核查时无监理日志及监理核查资料。</w:t>
      </w:r>
      <w:bookmarkEnd w:id="63"/>
    </w:p>
    <w:p>
      <w:pPr>
        <w:keepNext w:val="0"/>
        <w:keepLines w:val="0"/>
        <w:pageBreakBefore w:val="0"/>
        <w:widowControl w:val="0"/>
        <w:kinsoku/>
        <w:wordWrap/>
        <w:overflowPunct/>
        <w:topLinePunct w:val="0"/>
        <w:autoSpaceDE/>
        <w:autoSpaceDN/>
        <w:bidi w:val="0"/>
        <w:adjustRightInd/>
        <w:snapToGrid/>
        <w:spacing w:before="0" w:beforeAutospacing="0" w:after="0" w:line="360" w:lineRule="auto"/>
        <w:ind w:left="0" w:leftChars="0" w:right="0" w:rightChars="0" w:firstLine="640" w:firstLineChars="200"/>
        <w:jc w:val="both"/>
        <w:textAlignment w:val="auto"/>
        <w:outlineLvl w:val="9"/>
        <w:rPr>
          <w:rFonts w:hint="eastAsia" w:ascii="Times New Roman" w:hAnsi="Times New Roman" w:eastAsia="仿宋_GB2312" w:cs="仿宋_GB2312"/>
          <w:b w:val="0"/>
          <w:bCs/>
          <w:spacing w:val="0"/>
          <w:kern w:val="32"/>
          <w:sz w:val="32"/>
          <w:szCs w:val="32"/>
          <w:highlight w:val="none"/>
          <w:lang w:val="en-US" w:eastAsia="zh-CN" w:bidi="ar-SA"/>
        </w:rPr>
      </w:pPr>
      <w:bookmarkStart w:id="64" w:name="_Toc13009"/>
      <w:r>
        <w:rPr>
          <w:rFonts w:hint="eastAsia" w:ascii="Times New Roman" w:hAnsi="Times New Roman" w:eastAsia="仿宋_GB2312" w:cs="仿宋_GB2312"/>
          <w:b w:val="0"/>
          <w:bCs/>
          <w:spacing w:val="0"/>
          <w:kern w:val="32"/>
          <w:sz w:val="32"/>
          <w:szCs w:val="32"/>
          <w:highlight w:val="none"/>
          <w:lang w:val="en-US" w:eastAsia="zh-CN" w:bidi="ar-SA"/>
        </w:rPr>
        <w:t>（四）项目验收不规范，部分子项目验收延期</w:t>
      </w:r>
      <w:bookmarkEnd w:id="64"/>
    </w:p>
    <w:p>
      <w:pPr>
        <w:keepNext w:val="0"/>
        <w:keepLines w:val="0"/>
        <w:pageBreakBefore w:val="0"/>
        <w:widowControl w:val="0"/>
        <w:kinsoku/>
        <w:wordWrap/>
        <w:overflowPunct/>
        <w:topLinePunct w:val="0"/>
        <w:autoSpaceDE/>
        <w:autoSpaceDN/>
        <w:bidi w:val="0"/>
        <w:adjustRightInd/>
        <w:snapToGrid/>
        <w:spacing w:before="0" w:beforeAutospacing="0" w:after="0" w:line="360" w:lineRule="auto"/>
        <w:ind w:left="0" w:leftChars="0" w:right="0" w:rightChars="0" w:firstLine="640" w:firstLineChars="200"/>
        <w:jc w:val="both"/>
        <w:textAlignment w:val="auto"/>
        <w:outlineLvl w:val="9"/>
        <w:rPr>
          <w:rFonts w:hint="eastAsia" w:ascii="Times New Roman" w:hAnsi="Times New Roman" w:eastAsia="仿宋_GB2312" w:cs="仿宋_GB2312"/>
          <w:b w:val="0"/>
          <w:bCs/>
          <w:spacing w:val="0"/>
          <w:kern w:val="32"/>
          <w:sz w:val="32"/>
          <w:szCs w:val="32"/>
          <w:highlight w:val="none"/>
          <w:lang w:val="en-US" w:eastAsia="zh-CN" w:bidi="ar-SA"/>
        </w:rPr>
      </w:pPr>
      <w:bookmarkStart w:id="65" w:name="_Toc7223"/>
      <w:r>
        <w:rPr>
          <w:rFonts w:hint="eastAsia" w:ascii="Times New Roman" w:hAnsi="Times New Roman" w:eastAsia="仿宋_GB2312" w:cs="仿宋_GB2312"/>
          <w:b w:val="0"/>
          <w:bCs/>
          <w:spacing w:val="0"/>
          <w:kern w:val="32"/>
          <w:sz w:val="32"/>
          <w:szCs w:val="32"/>
          <w:highlight w:val="none"/>
          <w:lang w:val="en-US" w:eastAsia="zh-CN" w:bidi="ar-SA"/>
        </w:rPr>
        <w:t>1.项目验收不规范。①部分子项目验收标准不明确，验收单上项目单位未盖公章，如2022年12月137#凭证支</w:t>
      </w:r>
      <w:r>
        <w:rPr>
          <w:rFonts w:hint="eastAsia" w:eastAsia="仿宋_GB2312" w:cs="仿宋_GB2312"/>
          <w:b w:val="0"/>
          <w:bCs/>
          <w:spacing w:val="0"/>
          <w:kern w:val="32"/>
          <w:sz w:val="32"/>
          <w:szCs w:val="32"/>
          <w:highlight w:val="none"/>
          <w:lang w:val="en-US" w:eastAsia="zh-CN" w:bidi="ar-SA"/>
        </w:rPr>
        <w:t>付</w:t>
      </w:r>
      <w:r>
        <w:rPr>
          <w:rFonts w:hint="eastAsia" w:ascii="Times New Roman" w:hAnsi="Times New Roman" w:eastAsia="仿宋_GB2312" w:cs="仿宋_GB2312"/>
          <w:b w:val="0"/>
          <w:bCs/>
          <w:spacing w:val="0"/>
          <w:kern w:val="32"/>
          <w:sz w:val="32"/>
          <w:szCs w:val="32"/>
          <w:highlight w:val="none"/>
          <w:lang w:val="en-US" w:eastAsia="zh-CN" w:bidi="ar-SA"/>
        </w:rPr>
        <w:t>高乐工程造价咨询公司管线土方回填工程造价咨询款3,000.00元；②“环境提升工程”“路面标线工程”“绕城路灌缝工程”</w:t>
      </w:r>
      <w:r>
        <w:rPr>
          <w:rFonts w:hint="eastAsia" w:eastAsia="仿宋_GB2312" w:cs="仿宋_GB2312"/>
          <w:b w:val="0"/>
          <w:bCs/>
          <w:spacing w:val="0"/>
          <w:kern w:val="32"/>
          <w:sz w:val="32"/>
          <w:szCs w:val="32"/>
          <w:highlight w:val="none"/>
          <w:lang w:val="en-US" w:eastAsia="zh-CN" w:bidi="ar-SA"/>
        </w:rPr>
        <w:t>以</w:t>
      </w:r>
      <w:r>
        <w:rPr>
          <w:rFonts w:hint="eastAsia" w:ascii="Times New Roman" w:hAnsi="Times New Roman" w:eastAsia="仿宋_GB2312" w:cs="仿宋_GB2312"/>
          <w:b w:val="0"/>
          <w:bCs/>
          <w:spacing w:val="0"/>
          <w:kern w:val="32"/>
          <w:sz w:val="32"/>
          <w:szCs w:val="32"/>
          <w:highlight w:val="none"/>
          <w:lang w:val="en-US" w:eastAsia="zh-CN" w:bidi="ar-SA"/>
        </w:rPr>
        <w:t>及“草皮滩零星工程”的验收单无验收意见；③“达尔扈特配套管网等工程竣工结算审核费”的验收单“开工日期”与“完工日期”存在手写更改问题。</w:t>
      </w:r>
      <w:bookmarkEnd w:id="65"/>
    </w:p>
    <w:p>
      <w:pPr>
        <w:keepNext w:val="0"/>
        <w:keepLines w:val="0"/>
        <w:pageBreakBefore w:val="0"/>
        <w:widowControl w:val="0"/>
        <w:kinsoku/>
        <w:wordWrap/>
        <w:overflowPunct/>
        <w:topLinePunct w:val="0"/>
        <w:autoSpaceDE/>
        <w:autoSpaceDN/>
        <w:bidi w:val="0"/>
        <w:adjustRightInd/>
        <w:snapToGrid/>
        <w:spacing w:before="0" w:beforeAutospacing="0" w:after="0" w:line="360" w:lineRule="auto"/>
        <w:ind w:left="0" w:leftChars="0" w:right="0" w:rightChars="0" w:firstLine="640" w:firstLineChars="200"/>
        <w:jc w:val="both"/>
        <w:textAlignment w:val="auto"/>
        <w:outlineLvl w:val="9"/>
        <w:rPr>
          <w:rFonts w:hint="eastAsia" w:ascii="Times New Roman" w:hAnsi="Times New Roman" w:eastAsia="仿宋_GB2312" w:cs="仿宋_GB2312"/>
          <w:b w:val="0"/>
          <w:bCs/>
          <w:spacing w:val="0"/>
          <w:kern w:val="32"/>
          <w:sz w:val="32"/>
          <w:szCs w:val="32"/>
          <w:highlight w:val="none"/>
          <w:lang w:val="en-US" w:eastAsia="zh-CN" w:bidi="ar-SA"/>
        </w:rPr>
      </w:pPr>
      <w:bookmarkStart w:id="66" w:name="_Toc101"/>
      <w:r>
        <w:rPr>
          <w:rFonts w:hint="eastAsia" w:ascii="Times New Roman" w:hAnsi="Times New Roman" w:eastAsia="仿宋_GB2312" w:cs="仿宋_GB2312"/>
          <w:b w:val="0"/>
          <w:bCs/>
          <w:spacing w:val="0"/>
          <w:kern w:val="32"/>
          <w:sz w:val="32"/>
          <w:szCs w:val="32"/>
          <w:highlight w:val="none"/>
          <w:lang w:val="en-US" w:eastAsia="zh-CN" w:bidi="ar-SA"/>
        </w:rPr>
        <w:t>2.部分子项目验收延期。如“草皮滩零星工程”合同约定于2019年9月25日竣工，实际在2019年11月1日完成验收；“草皮滩生态补水旧水塘坝、修复淤泥补水管道”合同约定于2019年7月10日竣工，实际在2019年12月20日完成验收。</w:t>
      </w:r>
      <w:bookmarkEnd w:id="66"/>
    </w:p>
    <w:p>
      <w:pPr>
        <w:keepNext w:val="0"/>
        <w:keepLines w:val="0"/>
        <w:pageBreakBefore w:val="0"/>
        <w:widowControl w:val="0"/>
        <w:kinsoku/>
        <w:wordWrap/>
        <w:overflowPunct/>
        <w:topLinePunct w:val="0"/>
        <w:autoSpaceDE/>
        <w:autoSpaceDN/>
        <w:bidi w:val="0"/>
        <w:adjustRightInd/>
        <w:snapToGrid/>
        <w:spacing w:before="0" w:beforeAutospacing="0" w:after="0" w:line="360" w:lineRule="auto"/>
        <w:ind w:left="0" w:leftChars="0" w:right="0" w:rightChars="0" w:firstLine="640" w:firstLineChars="200"/>
        <w:jc w:val="both"/>
        <w:textAlignment w:val="auto"/>
        <w:outlineLvl w:val="9"/>
        <w:rPr>
          <w:rFonts w:hint="eastAsia" w:ascii="Times New Roman" w:hAnsi="Times New Roman" w:eastAsia="仿宋_GB2312" w:cs="仿宋_GB2312"/>
          <w:b w:val="0"/>
          <w:bCs/>
          <w:spacing w:val="0"/>
          <w:kern w:val="32"/>
          <w:sz w:val="32"/>
          <w:szCs w:val="32"/>
          <w:highlight w:val="none"/>
          <w:lang w:val="en-US" w:eastAsia="zh-CN" w:bidi="ar-SA"/>
        </w:rPr>
      </w:pPr>
      <w:bookmarkStart w:id="67" w:name="_Toc3304"/>
      <w:r>
        <w:rPr>
          <w:rFonts w:hint="eastAsia" w:ascii="Times New Roman" w:hAnsi="Times New Roman" w:eastAsia="仿宋_GB2312" w:cs="仿宋_GB2312"/>
          <w:b w:val="0"/>
          <w:bCs/>
          <w:spacing w:val="0"/>
          <w:kern w:val="32"/>
          <w:sz w:val="32"/>
          <w:szCs w:val="32"/>
          <w:highlight w:val="none"/>
          <w:lang w:val="en-US" w:eastAsia="zh-CN" w:bidi="ar-SA"/>
        </w:rPr>
        <w:t>（五）项目效益未充分显现</w:t>
      </w:r>
      <w:bookmarkEnd w:id="67"/>
    </w:p>
    <w:p>
      <w:pPr>
        <w:keepNext w:val="0"/>
        <w:keepLines w:val="0"/>
        <w:pageBreakBefore w:val="0"/>
        <w:widowControl w:val="0"/>
        <w:kinsoku/>
        <w:wordWrap/>
        <w:overflowPunct/>
        <w:topLinePunct w:val="0"/>
        <w:autoSpaceDE/>
        <w:autoSpaceDN/>
        <w:bidi w:val="0"/>
        <w:adjustRightInd/>
        <w:snapToGrid/>
        <w:spacing w:before="0" w:beforeAutospacing="0" w:after="0" w:line="360" w:lineRule="auto"/>
        <w:ind w:left="0" w:leftChars="0" w:right="0" w:rightChars="0" w:firstLine="640" w:firstLineChars="200"/>
        <w:jc w:val="both"/>
        <w:textAlignment w:val="auto"/>
        <w:outlineLvl w:val="9"/>
        <w:rPr>
          <w:rFonts w:hint="eastAsia" w:ascii="Times New Roman" w:hAnsi="Times New Roman" w:eastAsia="仿宋_GB2312" w:cs="仿宋_GB2312"/>
          <w:b w:val="0"/>
          <w:bCs/>
          <w:spacing w:val="0"/>
          <w:kern w:val="32"/>
          <w:sz w:val="32"/>
          <w:szCs w:val="32"/>
          <w:highlight w:val="none"/>
          <w:lang w:val="en-US" w:eastAsia="zh-CN" w:bidi="ar-SA"/>
        </w:rPr>
      </w:pPr>
      <w:bookmarkStart w:id="68" w:name="_Toc11687"/>
      <w:r>
        <w:rPr>
          <w:rFonts w:hint="eastAsia" w:ascii="Times New Roman" w:hAnsi="Times New Roman" w:eastAsia="仿宋_GB2312" w:cs="仿宋_GB2312"/>
          <w:b w:val="0"/>
          <w:bCs/>
          <w:spacing w:val="0"/>
          <w:kern w:val="32"/>
          <w:sz w:val="32"/>
          <w:szCs w:val="32"/>
          <w:highlight w:val="none"/>
          <w:lang w:val="en-US" w:eastAsia="zh-CN" w:bidi="ar-SA"/>
        </w:rPr>
        <w:t>根据项目单位提供的《政府工作报告》，乡村旅游整体带动了经济指标增长，但未明确巴音昌胡格草原旅游基础设施建设项目带来的经济影响，该项目的经济效益无相关经济数据支撑。评价组通过问卷调查及现场核查发现，在七、八月草原旅游旺季</w:t>
      </w:r>
      <w:r>
        <w:rPr>
          <w:rFonts w:hint="eastAsia" w:eastAsia="仿宋_GB2312" w:cs="仿宋_GB2312"/>
          <w:b w:val="0"/>
          <w:bCs/>
          <w:spacing w:val="0"/>
          <w:kern w:val="32"/>
          <w:sz w:val="32"/>
          <w:szCs w:val="32"/>
          <w:highlight w:val="none"/>
          <w:lang w:val="en-US" w:eastAsia="zh-CN" w:bidi="ar-SA"/>
        </w:rPr>
        <w:t>，</w:t>
      </w:r>
      <w:r>
        <w:rPr>
          <w:rFonts w:hint="eastAsia" w:ascii="Times New Roman" w:hAnsi="Times New Roman" w:eastAsia="仿宋_GB2312" w:cs="仿宋_GB2312"/>
          <w:b w:val="0"/>
          <w:bCs/>
          <w:spacing w:val="0"/>
          <w:kern w:val="32"/>
          <w:sz w:val="32"/>
          <w:szCs w:val="32"/>
          <w:highlight w:val="none"/>
          <w:lang w:val="en-US" w:eastAsia="zh-CN" w:bidi="ar-SA"/>
        </w:rPr>
        <w:t>巴音昌胡格草原旅游景区的游客人数仍然较少，项目社会效益一般。造成此种现象的原因</w:t>
      </w:r>
      <w:r>
        <w:rPr>
          <w:rFonts w:hint="eastAsia" w:eastAsia="仿宋_GB2312" w:cs="仿宋_GB2312"/>
          <w:b w:val="0"/>
          <w:bCs/>
          <w:spacing w:val="0"/>
          <w:kern w:val="32"/>
          <w:sz w:val="32"/>
          <w:szCs w:val="32"/>
          <w:highlight w:val="none"/>
          <w:lang w:val="en-US" w:eastAsia="zh-CN" w:bidi="ar-SA"/>
        </w:rPr>
        <w:t>，</w:t>
      </w:r>
      <w:r>
        <w:rPr>
          <w:rFonts w:hint="eastAsia" w:ascii="Times New Roman" w:hAnsi="Times New Roman" w:eastAsia="仿宋_GB2312" w:cs="仿宋_GB2312"/>
          <w:b w:val="0"/>
          <w:bCs/>
          <w:spacing w:val="0"/>
          <w:kern w:val="32"/>
          <w:sz w:val="32"/>
          <w:szCs w:val="32"/>
          <w:highlight w:val="none"/>
          <w:lang w:val="en-US" w:eastAsia="zh-CN" w:bidi="ar-SA"/>
        </w:rPr>
        <w:t>一是景区宣传不到位，知名度较低；二是景区娱乐设施较少，景点单一。</w:t>
      </w:r>
      <w:bookmarkEnd w:id="68"/>
    </w:p>
    <w:p>
      <w:pPr>
        <w:keepNext w:val="0"/>
        <w:keepLines w:val="0"/>
        <w:pageBreakBefore w:val="0"/>
        <w:widowControl w:val="0"/>
        <w:kinsoku/>
        <w:wordWrap/>
        <w:overflowPunct/>
        <w:topLinePunct w:val="0"/>
        <w:autoSpaceDE/>
        <w:autoSpaceDN/>
        <w:bidi w:val="0"/>
        <w:adjustRightInd/>
        <w:snapToGrid/>
        <w:spacing w:before="0" w:beforeAutospacing="0" w:after="0" w:line="360" w:lineRule="auto"/>
        <w:ind w:left="0" w:leftChars="0" w:right="0" w:rightChars="0" w:firstLine="640" w:firstLineChars="200"/>
        <w:jc w:val="both"/>
        <w:textAlignment w:val="auto"/>
        <w:outlineLvl w:val="9"/>
        <w:rPr>
          <w:rFonts w:hint="eastAsia" w:ascii="Times New Roman" w:hAnsi="Times New Roman" w:eastAsia="仿宋_GB2312" w:cs="仿宋_GB2312"/>
          <w:b w:val="0"/>
          <w:bCs/>
          <w:spacing w:val="0"/>
          <w:kern w:val="32"/>
          <w:sz w:val="32"/>
          <w:szCs w:val="32"/>
          <w:highlight w:val="none"/>
          <w:lang w:val="en-US" w:eastAsia="zh-CN" w:bidi="ar-SA"/>
        </w:rPr>
      </w:pPr>
      <w:bookmarkStart w:id="69" w:name="_Toc25668"/>
      <w:r>
        <w:rPr>
          <w:rFonts w:hint="eastAsia" w:ascii="Times New Roman" w:hAnsi="Times New Roman" w:eastAsia="仿宋_GB2312" w:cs="仿宋_GB2312"/>
          <w:b w:val="0"/>
          <w:bCs/>
          <w:spacing w:val="0"/>
          <w:kern w:val="32"/>
          <w:sz w:val="32"/>
          <w:szCs w:val="32"/>
          <w:highlight w:val="none"/>
          <w:lang w:val="en-US" w:eastAsia="zh-CN" w:bidi="ar-SA"/>
        </w:rPr>
        <w:t>（六）项目可持续性较差</w:t>
      </w:r>
      <w:bookmarkEnd w:id="69"/>
    </w:p>
    <w:p>
      <w:pPr>
        <w:keepNext w:val="0"/>
        <w:keepLines w:val="0"/>
        <w:pageBreakBefore w:val="0"/>
        <w:widowControl w:val="0"/>
        <w:kinsoku/>
        <w:wordWrap/>
        <w:overflowPunct/>
        <w:topLinePunct w:val="0"/>
        <w:autoSpaceDE/>
        <w:autoSpaceDN/>
        <w:bidi w:val="0"/>
        <w:adjustRightInd/>
        <w:snapToGrid/>
        <w:spacing w:before="0" w:beforeAutospacing="0" w:after="0" w:line="360" w:lineRule="auto"/>
        <w:ind w:left="0" w:leftChars="0" w:right="0" w:rightChars="0" w:firstLine="640" w:firstLineChars="200"/>
        <w:jc w:val="both"/>
        <w:textAlignment w:val="auto"/>
        <w:outlineLvl w:val="9"/>
        <w:rPr>
          <w:rFonts w:hint="eastAsia" w:ascii="Times New Roman" w:hAnsi="Times New Roman" w:eastAsia="仿宋_GB2312" w:cs="仿宋_GB2312"/>
          <w:b w:val="0"/>
          <w:bCs/>
          <w:spacing w:val="0"/>
          <w:kern w:val="32"/>
          <w:sz w:val="32"/>
          <w:szCs w:val="32"/>
          <w:highlight w:val="none"/>
          <w:lang w:val="en-US" w:eastAsia="zh-CN" w:bidi="ar-SA"/>
        </w:rPr>
      </w:pPr>
      <w:bookmarkStart w:id="70" w:name="_Toc29389"/>
      <w:r>
        <w:rPr>
          <w:rFonts w:hint="eastAsia" w:ascii="Times New Roman" w:hAnsi="Times New Roman" w:eastAsia="仿宋_GB2312" w:cs="仿宋_GB2312"/>
          <w:b w:val="0"/>
          <w:bCs/>
          <w:spacing w:val="0"/>
          <w:kern w:val="32"/>
          <w:sz w:val="32"/>
          <w:szCs w:val="32"/>
          <w:highlight w:val="none"/>
          <w:lang w:val="en-US" w:eastAsia="zh-CN" w:bidi="ar-SA"/>
        </w:rPr>
        <w:t>项目单位未建立运维管护相关管理制度及对运维方的考核办法，未明确项目运维方及运维管护内容，项目的运维管护未落实，可持续性较差。</w:t>
      </w:r>
      <w:bookmarkEnd w:id="70"/>
    </w:p>
    <w:p>
      <w:pPr>
        <w:keepNext w:val="0"/>
        <w:keepLines w:val="0"/>
        <w:pageBreakBefore w:val="0"/>
        <w:widowControl w:val="0"/>
        <w:kinsoku/>
        <w:wordWrap/>
        <w:overflowPunct/>
        <w:topLinePunct w:val="0"/>
        <w:autoSpaceDE/>
        <w:autoSpaceDN/>
        <w:bidi w:val="0"/>
        <w:adjustRightInd/>
        <w:snapToGrid/>
        <w:spacing w:before="0" w:beforeAutospacing="0" w:after="0" w:line="360" w:lineRule="auto"/>
        <w:ind w:left="0" w:leftChars="0" w:right="0" w:rightChars="0" w:firstLine="640" w:firstLineChars="200"/>
        <w:jc w:val="both"/>
        <w:textAlignment w:val="auto"/>
        <w:outlineLvl w:val="0"/>
        <w:rPr>
          <w:rFonts w:hint="default" w:ascii="Times New Roman" w:hAnsi="Times New Roman" w:eastAsia="黑体" w:cs="Times New Roman"/>
          <w:b w:val="0"/>
          <w:bCs w:val="0"/>
          <w:spacing w:val="0"/>
          <w:kern w:val="32"/>
          <w:sz w:val="32"/>
          <w:szCs w:val="32"/>
          <w:highlight w:val="none"/>
          <w:lang w:val="en-US" w:eastAsia="zh-CN"/>
        </w:rPr>
      </w:pPr>
      <w:bookmarkStart w:id="71" w:name="_Toc30634"/>
      <w:bookmarkStart w:id="72" w:name="_Toc31040"/>
      <w:r>
        <w:rPr>
          <w:rFonts w:hint="eastAsia" w:ascii="Times New Roman" w:hAnsi="Times New Roman" w:eastAsia="黑体" w:cs="Times New Roman"/>
          <w:b w:val="0"/>
          <w:bCs w:val="0"/>
          <w:spacing w:val="0"/>
          <w:kern w:val="32"/>
          <w:sz w:val="32"/>
          <w:szCs w:val="32"/>
          <w:highlight w:val="none"/>
          <w:lang w:val="en-US" w:eastAsia="zh-CN"/>
        </w:rPr>
        <w:t>四、有关建议</w:t>
      </w:r>
      <w:bookmarkEnd w:id="55"/>
      <w:bookmarkEnd w:id="56"/>
      <w:bookmarkEnd w:id="71"/>
      <w:bookmarkEnd w:id="72"/>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640" w:firstLineChars="200"/>
        <w:jc w:val="both"/>
        <w:textAlignment w:val="auto"/>
        <w:outlineLvl w:val="1"/>
        <w:rPr>
          <w:rFonts w:hint="eastAsia" w:ascii="Times New Roman" w:hAnsi="Times New Roman" w:eastAsia="楷体" w:cs="Times New Roman"/>
          <w:b/>
          <w:bCs/>
          <w:spacing w:val="0"/>
          <w:kern w:val="32"/>
          <w:sz w:val="32"/>
          <w:szCs w:val="32"/>
          <w:highlight w:val="none"/>
          <w:lang w:val="en-US" w:eastAsia="zh-CN"/>
        </w:rPr>
      </w:pPr>
      <w:bookmarkStart w:id="73" w:name="_Toc30288"/>
      <w:bookmarkStart w:id="74" w:name="_Toc18930"/>
      <w:bookmarkStart w:id="75" w:name="_Toc9352"/>
      <w:bookmarkStart w:id="76" w:name="_Toc20341"/>
      <w:bookmarkStart w:id="77" w:name="_Toc19188"/>
      <w:bookmarkStart w:id="78" w:name="_Toc22916"/>
      <w:bookmarkStart w:id="79" w:name="_Toc2185"/>
      <w:bookmarkStart w:id="80" w:name="_Toc20085"/>
      <w:bookmarkStart w:id="81" w:name="_Toc6851"/>
      <w:bookmarkStart w:id="82" w:name="_Toc30676"/>
      <w:bookmarkStart w:id="83" w:name="_Toc21929"/>
      <w:bookmarkStart w:id="84" w:name="_Toc21623"/>
      <w:r>
        <w:rPr>
          <w:rFonts w:hint="eastAsia" w:ascii="Times New Roman" w:hAnsi="Times New Roman" w:eastAsia="楷体" w:cs="Times New Roman"/>
          <w:b w:val="0"/>
          <w:bCs w:val="0"/>
          <w:spacing w:val="0"/>
          <w:kern w:val="32"/>
          <w:sz w:val="32"/>
          <w:szCs w:val="32"/>
          <w:highlight w:val="none"/>
          <w:lang w:val="en-US" w:eastAsia="zh-CN"/>
        </w:rPr>
        <w:t>（一）规范立项程序，进行可行性研究</w:t>
      </w:r>
      <w:bookmarkEnd w:id="73"/>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640" w:firstLineChars="200"/>
        <w:jc w:val="both"/>
        <w:textAlignment w:val="auto"/>
        <w:outlineLvl w:val="9"/>
        <w:rPr>
          <w:rFonts w:hint="eastAsia" w:ascii="Times New Roman" w:hAnsi="Times New Roman" w:eastAsia="仿宋_GB2312" w:cs="Times New Roman"/>
          <w:b w:val="0"/>
          <w:bCs/>
          <w:spacing w:val="0"/>
          <w:kern w:val="32"/>
          <w:sz w:val="32"/>
          <w:szCs w:val="32"/>
          <w:highlight w:val="none"/>
          <w:lang w:val="en-US" w:eastAsia="zh-CN"/>
        </w:rPr>
      </w:pPr>
      <w:r>
        <w:rPr>
          <w:rFonts w:hint="eastAsia" w:ascii="Times New Roman" w:hAnsi="Times New Roman" w:eastAsia="仿宋_GB2312" w:cs="Times New Roman"/>
          <w:b w:val="0"/>
          <w:bCs/>
          <w:spacing w:val="0"/>
          <w:kern w:val="32"/>
          <w:sz w:val="32"/>
          <w:szCs w:val="32"/>
          <w:highlight w:val="none"/>
          <w:lang w:val="en-US" w:eastAsia="zh-CN"/>
        </w:rPr>
        <w:t>可行性研究作为项目投资决策、工程设计、设备订货、施工准备等基本建设前期工作的依据，是项目投资的首要环节，也是必不可少的一个环节，它决定着一个建设项目是否应该投资和如何投资。建议项目单位</w:t>
      </w:r>
      <w:r>
        <w:rPr>
          <w:rFonts w:hint="eastAsia" w:eastAsia="仿宋_GB2312" w:cs="Times New Roman"/>
          <w:b w:val="0"/>
          <w:bCs/>
          <w:spacing w:val="0"/>
          <w:kern w:val="32"/>
          <w:sz w:val="32"/>
          <w:szCs w:val="32"/>
          <w:highlight w:val="none"/>
          <w:lang w:val="en-US" w:eastAsia="zh-CN"/>
        </w:rPr>
        <w:t>对</w:t>
      </w:r>
      <w:r>
        <w:rPr>
          <w:rFonts w:hint="eastAsia" w:ascii="Times New Roman" w:hAnsi="Times New Roman" w:eastAsia="仿宋_GB2312" w:cs="Times New Roman"/>
          <w:b w:val="0"/>
          <w:bCs/>
          <w:spacing w:val="0"/>
          <w:kern w:val="32"/>
          <w:sz w:val="32"/>
          <w:szCs w:val="32"/>
          <w:highlight w:val="none"/>
          <w:lang w:val="en-US" w:eastAsia="zh-CN"/>
        </w:rPr>
        <w:t>后续的工程项目进行可行性研究，规范立项，减少因决策错误导致的财政资金浪费。</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640" w:firstLineChars="200"/>
        <w:jc w:val="both"/>
        <w:textAlignment w:val="auto"/>
        <w:outlineLvl w:val="1"/>
        <w:rPr>
          <w:rFonts w:hint="eastAsia" w:ascii="Times New Roman" w:hAnsi="Times New Roman" w:eastAsia="楷体" w:cs="Times New Roman"/>
          <w:b/>
          <w:bCs/>
          <w:spacing w:val="0"/>
          <w:kern w:val="32"/>
          <w:sz w:val="32"/>
          <w:szCs w:val="32"/>
          <w:highlight w:val="none"/>
          <w:lang w:val="en-US" w:eastAsia="zh-CN"/>
        </w:rPr>
      </w:pPr>
      <w:bookmarkStart w:id="85" w:name="_Toc20130"/>
      <w:r>
        <w:rPr>
          <w:rFonts w:hint="eastAsia" w:ascii="Times New Roman" w:hAnsi="Times New Roman" w:eastAsia="楷体" w:cs="Times New Roman"/>
          <w:b w:val="0"/>
          <w:bCs w:val="0"/>
          <w:spacing w:val="0"/>
          <w:kern w:val="32"/>
          <w:sz w:val="32"/>
          <w:szCs w:val="32"/>
          <w:highlight w:val="none"/>
          <w:lang w:val="en-US" w:eastAsia="zh-CN"/>
        </w:rPr>
        <w:t>（二）加强财务监管，严格规范使用资金</w:t>
      </w:r>
      <w:bookmarkEnd w:id="85"/>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640" w:firstLineChars="200"/>
        <w:jc w:val="both"/>
        <w:textAlignment w:val="auto"/>
        <w:outlineLvl w:val="9"/>
        <w:rPr>
          <w:rFonts w:hint="eastAsia" w:ascii="Times New Roman" w:hAnsi="Times New Roman" w:eastAsia="仿宋_GB2312" w:cs="Times New Roman"/>
          <w:b w:val="0"/>
          <w:bCs/>
          <w:spacing w:val="0"/>
          <w:kern w:val="32"/>
          <w:sz w:val="32"/>
          <w:szCs w:val="32"/>
          <w:highlight w:val="none"/>
          <w:lang w:val="en-US" w:eastAsia="zh-CN"/>
        </w:rPr>
      </w:pPr>
      <w:r>
        <w:rPr>
          <w:rFonts w:hint="eastAsia" w:ascii="Times New Roman" w:hAnsi="Times New Roman" w:eastAsia="仿宋_GB2312" w:cs="Times New Roman"/>
          <w:b w:val="0"/>
          <w:bCs/>
          <w:spacing w:val="0"/>
          <w:kern w:val="32"/>
          <w:sz w:val="32"/>
          <w:szCs w:val="32"/>
          <w:highlight w:val="none"/>
          <w:lang w:val="en-US" w:eastAsia="zh-CN"/>
        </w:rPr>
        <w:t>项目单位应加强财务监管，确保资金使用的合规性。进一步更新细化预算安排、资金分配、项目审批、财务支出、资产管理等各项制度，梳理和规范各项工作流程，形成程序规范、制约有效的办事机制，确保财政资金使用安全。规范财务管理，严格执行专项资金管理、财务管理制度、政府采购管理制度的相关规定，做到“专账核算”和“专款专用”，列入政府采购目录的项目严格执行政府采购程序，严格按申报项目执行预算，严禁将专项资金用于上年度结转或与本项目不相关的支出，提高会计信息质量。</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640" w:firstLineChars="200"/>
        <w:jc w:val="both"/>
        <w:textAlignment w:val="auto"/>
        <w:outlineLvl w:val="1"/>
        <w:rPr>
          <w:rFonts w:hint="eastAsia" w:ascii="Times New Roman" w:hAnsi="Times New Roman" w:eastAsia="楷体" w:cs="Times New Roman"/>
          <w:b w:val="0"/>
          <w:bCs w:val="0"/>
          <w:spacing w:val="0"/>
          <w:kern w:val="32"/>
          <w:sz w:val="32"/>
          <w:szCs w:val="32"/>
          <w:highlight w:val="none"/>
          <w:lang w:val="en-US" w:eastAsia="zh-CN"/>
        </w:rPr>
      </w:pPr>
      <w:bookmarkStart w:id="86" w:name="_Toc18762"/>
      <w:r>
        <w:rPr>
          <w:rFonts w:hint="eastAsia" w:ascii="Times New Roman" w:hAnsi="Times New Roman" w:eastAsia="楷体" w:cs="Times New Roman"/>
          <w:b w:val="0"/>
          <w:bCs w:val="0"/>
          <w:spacing w:val="0"/>
          <w:kern w:val="32"/>
          <w:sz w:val="32"/>
          <w:szCs w:val="32"/>
          <w:highlight w:val="none"/>
          <w:lang w:val="en-US" w:eastAsia="zh-CN"/>
        </w:rPr>
        <w:t>（三）加强单位内控建设，规范政府采购管理，提高项目管理水平，规范项目验收管理和档案管理，保障项目实施质量</w:t>
      </w:r>
      <w:bookmarkEnd w:id="86"/>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640" w:firstLineChars="200"/>
        <w:jc w:val="both"/>
        <w:textAlignment w:val="auto"/>
        <w:outlineLvl w:val="9"/>
        <w:rPr>
          <w:rFonts w:hint="eastAsia" w:ascii="Times New Roman" w:hAnsi="Times New Roman" w:eastAsia="仿宋_GB2312" w:cs="Times New Roman"/>
          <w:b w:val="0"/>
          <w:bCs/>
          <w:spacing w:val="0"/>
          <w:kern w:val="32"/>
          <w:sz w:val="32"/>
          <w:szCs w:val="32"/>
          <w:highlight w:val="none"/>
          <w:lang w:val="en-US" w:eastAsia="zh-CN"/>
        </w:rPr>
      </w:pPr>
      <w:r>
        <w:rPr>
          <w:rFonts w:hint="eastAsia" w:ascii="Times New Roman" w:hAnsi="Times New Roman" w:eastAsia="仿宋_GB2312" w:cs="Times New Roman"/>
          <w:b w:val="0"/>
          <w:bCs/>
          <w:spacing w:val="0"/>
          <w:kern w:val="32"/>
          <w:sz w:val="32"/>
          <w:szCs w:val="32"/>
          <w:highlight w:val="none"/>
          <w:lang w:val="en-US" w:eastAsia="zh-CN"/>
        </w:rPr>
        <w:t>建议项目单位加强单位内控建设，提高制度执行有效性；规范政府采购流程管理，根据项目特点选取合适的政府采购方式，充分进行市场调研，多方面咨询论证，避免仅对一家企业进行询价的情况发生，坚决杜绝政府采购定向采购情况发生，维护政府采购公平性原则。</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640" w:firstLineChars="200"/>
        <w:jc w:val="both"/>
        <w:textAlignment w:val="auto"/>
        <w:outlineLvl w:val="9"/>
        <w:rPr>
          <w:rFonts w:hint="eastAsia" w:ascii="Times New Roman" w:hAnsi="Times New Roman" w:eastAsia="仿宋_GB2312" w:cs="Times New Roman"/>
          <w:b w:val="0"/>
          <w:bCs/>
          <w:spacing w:val="0"/>
          <w:kern w:val="32"/>
          <w:sz w:val="32"/>
          <w:szCs w:val="32"/>
          <w:highlight w:val="none"/>
          <w:lang w:val="en-US" w:eastAsia="zh-CN"/>
        </w:rPr>
      </w:pPr>
      <w:r>
        <w:rPr>
          <w:rFonts w:hint="eastAsia" w:ascii="Times New Roman" w:hAnsi="Times New Roman" w:eastAsia="仿宋_GB2312" w:cs="Times New Roman"/>
          <w:b w:val="0"/>
          <w:bCs/>
          <w:spacing w:val="0"/>
          <w:kern w:val="32"/>
          <w:sz w:val="32"/>
          <w:szCs w:val="32"/>
          <w:highlight w:val="none"/>
          <w:lang w:val="en-US" w:eastAsia="zh-CN"/>
        </w:rPr>
        <w:t>规范合同管理，加强对施工单位和监理单位的监管。合同签订要明确实施内容、时间及达到的质量标准，实施内容要具体到修建栈道长度、河水清淤面积、硬化路面长度、道路绿化栽种的树木种类及棵数等，按照合同约定好的内容进行规范验收，降低合同履行的隐患。在项目实施过程中及时审查监理大纲、监理日志、施工图纸、进度计划等资料；项目竣工验收后</w:t>
      </w:r>
      <w:r>
        <w:rPr>
          <w:rFonts w:hint="eastAsia" w:eastAsia="仿宋_GB2312" w:cs="Times New Roman"/>
          <w:b w:val="0"/>
          <w:bCs/>
          <w:spacing w:val="0"/>
          <w:kern w:val="32"/>
          <w:sz w:val="32"/>
          <w:szCs w:val="32"/>
          <w:highlight w:val="none"/>
          <w:lang w:val="en-US" w:eastAsia="zh-CN"/>
        </w:rPr>
        <w:t>，</w:t>
      </w:r>
      <w:r>
        <w:rPr>
          <w:rFonts w:hint="eastAsia" w:ascii="Times New Roman" w:hAnsi="Times New Roman" w:eastAsia="仿宋_GB2312" w:cs="Times New Roman"/>
          <w:b w:val="0"/>
          <w:bCs/>
          <w:spacing w:val="0"/>
          <w:kern w:val="32"/>
          <w:sz w:val="32"/>
          <w:szCs w:val="32"/>
          <w:highlight w:val="none"/>
          <w:lang w:val="en-US" w:eastAsia="zh-CN"/>
        </w:rPr>
        <w:t>将监理资料、施工过程资料、竣工验收等资料备案留档。</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640" w:firstLineChars="200"/>
        <w:jc w:val="both"/>
        <w:textAlignment w:val="auto"/>
        <w:outlineLvl w:val="9"/>
        <w:rPr>
          <w:rFonts w:hint="eastAsia" w:ascii="Times New Roman" w:hAnsi="Times New Roman" w:eastAsia="仿宋_GB2312" w:cs="Times New Roman"/>
          <w:b w:val="0"/>
          <w:bCs/>
          <w:spacing w:val="0"/>
          <w:kern w:val="32"/>
          <w:sz w:val="32"/>
          <w:szCs w:val="32"/>
          <w:highlight w:val="none"/>
          <w:lang w:val="en-US" w:eastAsia="zh-CN"/>
        </w:rPr>
      </w:pPr>
      <w:r>
        <w:rPr>
          <w:rFonts w:hint="eastAsia" w:ascii="Times New Roman" w:hAnsi="Times New Roman" w:eastAsia="仿宋_GB2312" w:cs="Times New Roman"/>
          <w:b w:val="0"/>
          <w:bCs/>
          <w:spacing w:val="0"/>
          <w:kern w:val="32"/>
          <w:sz w:val="32"/>
          <w:szCs w:val="32"/>
          <w:highlight w:val="none"/>
          <w:lang w:val="en-US" w:eastAsia="zh-CN"/>
        </w:rPr>
        <w:t>针对工程类项目制定明确项目验收制度和档案管理制度，项目完成后按照管理制度及时验收，并统一管理项目实施中产生的日常巡检记录、施工记录及验收报告，以便于随时查阅和核对，为项目后期验收和考核提供依据。同时，建议项目单位将项目付费与进度或验收结果挂钩，为项目的实施质量提供保障。</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640" w:firstLineChars="200"/>
        <w:jc w:val="both"/>
        <w:textAlignment w:val="auto"/>
        <w:outlineLvl w:val="1"/>
        <w:rPr>
          <w:rFonts w:hint="eastAsia" w:ascii="Times New Roman" w:hAnsi="Times New Roman" w:eastAsia="楷体" w:cs="Times New Roman"/>
          <w:b/>
          <w:bCs/>
          <w:spacing w:val="0"/>
          <w:kern w:val="32"/>
          <w:sz w:val="32"/>
          <w:szCs w:val="32"/>
          <w:highlight w:val="none"/>
          <w:lang w:val="en-US" w:eastAsia="zh-CN"/>
        </w:rPr>
      </w:pPr>
      <w:bookmarkStart w:id="87" w:name="_Toc3363"/>
      <w:r>
        <w:rPr>
          <w:rFonts w:hint="eastAsia" w:ascii="Times New Roman" w:hAnsi="Times New Roman" w:eastAsia="楷体" w:cs="Times New Roman"/>
          <w:b w:val="0"/>
          <w:bCs w:val="0"/>
          <w:spacing w:val="0"/>
          <w:kern w:val="32"/>
          <w:sz w:val="32"/>
          <w:szCs w:val="32"/>
          <w:highlight w:val="none"/>
          <w:lang w:val="en-US" w:eastAsia="zh-CN"/>
        </w:rPr>
        <w:t>（四）加强进度控制，及时进行项目验收</w:t>
      </w:r>
      <w:bookmarkEnd w:id="87"/>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640" w:firstLineChars="200"/>
        <w:jc w:val="both"/>
        <w:textAlignment w:val="auto"/>
        <w:outlineLvl w:val="9"/>
        <w:rPr>
          <w:rFonts w:hint="eastAsia" w:ascii="Times New Roman" w:hAnsi="Times New Roman" w:eastAsia="仿宋_GB2312" w:cs="Times New Roman"/>
          <w:b w:val="0"/>
          <w:bCs/>
          <w:spacing w:val="0"/>
          <w:kern w:val="32"/>
          <w:sz w:val="32"/>
          <w:szCs w:val="32"/>
          <w:highlight w:val="none"/>
          <w:lang w:val="en-US" w:eastAsia="zh-CN"/>
        </w:rPr>
      </w:pPr>
      <w:r>
        <w:rPr>
          <w:rFonts w:hint="eastAsia" w:ascii="Times New Roman" w:hAnsi="Times New Roman" w:eastAsia="仿宋_GB2312" w:cs="Times New Roman"/>
          <w:b w:val="0"/>
          <w:bCs/>
          <w:spacing w:val="0"/>
          <w:kern w:val="32"/>
          <w:sz w:val="32"/>
          <w:szCs w:val="32"/>
          <w:highlight w:val="none"/>
          <w:lang w:val="en-US" w:eastAsia="zh-CN"/>
        </w:rPr>
        <w:t>建议项目建设单位在项目实施过程中保持对每个工程环节的进度控制，将实际工期控制在计划工期之内。对于天气因素影响施工的，建议优先安排易受季节条件影响的工序，尽量使其避开季节因素对施工的影响。在工程完工后，及时进行项目验收。</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640" w:firstLineChars="200"/>
        <w:jc w:val="both"/>
        <w:textAlignment w:val="auto"/>
        <w:outlineLvl w:val="1"/>
        <w:rPr>
          <w:rFonts w:hint="eastAsia" w:ascii="Times New Roman" w:hAnsi="Times New Roman" w:eastAsia="楷体" w:cs="Times New Roman"/>
          <w:b w:val="0"/>
          <w:bCs w:val="0"/>
          <w:spacing w:val="0"/>
          <w:kern w:val="32"/>
          <w:sz w:val="32"/>
          <w:szCs w:val="32"/>
          <w:highlight w:val="none"/>
          <w:lang w:val="en-US" w:eastAsia="zh-CN"/>
        </w:rPr>
      </w:pPr>
      <w:bookmarkStart w:id="88" w:name="_Toc10776"/>
      <w:r>
        <w:rPr>
          <w:rFonts w:hint="eastAsia" w:ascii="Times New Roman" w:hAnsi="Times New Roman" w:eastAsia="楷体" w:cs="Times New Roman"/>
          <w:b w:val="0"/>
          <w:bCs w:val="0"/>
          <w:spacing w:val="0"/>
          <w:kern w:val="32"/>
          <w:sz w:val="32"/>
          <w:szCs w:val="32"/>
          <w:highlight w:val="none"/>
          <w:lang w:val="en-US" w:eastAsia="zh-CN"/>
        </w:rPr>
        <w:t>（五）加强草原旅游的宣传力度，完善配套设施，带动经济发展</w:t>
      </w:r>
      <w:bookmarkEnd w:id="88"/>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640" w:firstLineChars="200"/>
        <w:jc w:val="both"/>
        <w:textAlignment w:val="auto"/>
        <w:outlineLvl w:val="9"/>
        <w:rPr>
          <w:rFonts w:hint="eastAsia" w:ascii="Times New Roman" w:hAnsi="Times New Roman" w:eastAsia="仿宋_GB2312" w:cs="Times New Roman"/>
          <w:b w:val="0"/>
          <w:bCs/>
          <w:spacing w:val="0"/>
          <w:kern w:val="32"/>
          <w:sz w:val="32"/>
          <w:szCs w:val="32"/>
          <w:highlight w:val="none"/>
          <w:lang w:val="en-US" w:eastAsia="zh-CN"/>
        </w:rPr>
      </w:pPr>
      <w:r>
        <w:rPr>
          <w:rFonts w:hint="eastAsia" w:ascii="Times New Roman" w:hAnsi="Times New Roman" w:eastAsia="仿宋_GB2312" w:cs="Times New Roman"/>
          <w:b w:val="0"/>
          <w:bCs/>
          <w:spacing w:val="0"/>
          <w:kern w:val="32"/>
          <w:sz w:val="32"/>
          <w:szCs w:val="32"/>
          <w:highlight w:val="none"/>
          <w:lang w:val="en-US" w:eastAsia="zh-CN"/>
        </w:rPr>
        <w:t>一方面建议加强巴音昌胡格草原旅游的宣传力度，针对游客群体的不同</w:t>
      </w:r>
      <w:r>
        <w:rPr>
          <w:rFonts w:hint="eastAsia" w:eastAsia="仿宋_GB2312" w:cs="Times New Roman"/>
          <w:b w:val="0"/>
          <w:bCs/>
          <w:spacing w:val="0"/>
          <w:kern w:val="32"/>
          <w:sz w:val="32"/>
          <w:szCs w:val="32"/>
          <w:highlight w:val="none"/>
          <w:lang w:val="en-US" w:eastAsia="zh-CN"/>
        </w:rPr>
        <w:t>，</w:t>
      </w:r>
      <w:r>
        <w:rPr>
          <w:rFonts w:hint="eastAsia" w:ascii="Times New Roman" w:hAnsi="Times New Roman" w:eastAsia="仿宋_GB2312" w:cs="Times New Roman"/>
          <w:b w:val="0"/>
          <w:bCs/>
          <w:spacing w:val="0"/>
          <w:kern w:val="32"/>
          <w:sz w:val="32"/>
          <w:szCs w:val="32"/>
          <w:highlight w:val="none"/>
          <w:lang w:val="en-US" w:eastAsia="zh-CN"/>
        </w:rPr>
        <w:t>可分为以下三种方式进行宣传推介。①学生群体：针对学生群体可采取与学校合作的“研学”方式进行推广，通过集体旅行、集中食宿的方式开展研究性学习和旅行体验相结合的教育活动；②成年人群体：采取线下举办活动与线上媒体推广的方式，如举办音乐节、那达慕大会等活动，在“抖音、快手”等软件上加大对景区的宣传，扩大景区的知名度；③老年人群体：可采取与旅行社合作的方式</w:t>
      </w:r>
      <w:r>
        <w:rPr>
          <w:rFonts w:hint="eastAsia" w:eastAsia="仿宋_GB2312" w:cs="Times New Roman"/>
          <w:b w:val="0"/>
          <w:bCs/>
          <w:spacing w:val="0"/>
          <w:kern w:val="32"/>
          <w:sz w:val="32"/>
          <w:szCs w:val="32"/>
          <w:highlight w:val="none"/>
          <w:lang w:val="en-US" w:eastAsia="zh-CN"/>
        </w:rPr>
        <w:t>，</w:t>
      </w:r>
      <w:bookmarkStart w:id="90" w:name="_GoBack"/>
      <w:bookmarkEnd w:id="90"/>
      <w:r>
        <w:rPr>
          <w:rFonts w:hint="eastAsia" w:ascii="Times New Roman" w:hAnsi="Times New Roman" w:eastAsia="仿宋_GB2312" w:cs="Times New Roman"/>
          <w:b w:val="0"/>
          <w:bCs/>
          <w:spacing w:val="0"/>
          <w:kern w:val="32"/>
          <w:sz w:val="32"/>
          <w:szCs w:val="32"/>
          <w:highlight w:val="none"/>
          <w:lang w:val="en-US" w:eastAsia="zh-CN"/>
        </w:rPr>
        <w:t>增加老年人群体的游客数量。</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640" w:firstLineChars="200"/>
        <w:jc w:val="both"/>
        <w:textAlignment w:val="auto"/>
        <w:outlineLvl w:val="9"/>
        <w:rPr>
          <w:rFonts w:hint="eastAsia" w:ascii="Times New Roman" w:hAnsi="Times New Roman" w:eastAsia="仿宋_GB2312" w:cs="Times New Roman"/>
          <w:b w:val="0"/>
          <w:bCs/>
          <w:spacing w:val="0"/>
          <w:kern w:val="32"/>
          <w:sz w:val="32"/>
          <w:szCs w:val="32"/>
          <w:highlight w:val="none"/>
          <w:lang w:val="en-US" w:eastAsia="zh-CN"/>
        </w:rPr>
      </w:pPr>
      <w:r>
        <w:rPr>
          <w:rFonts w:hint="eastAsia" w:ascii="Times New Roman" w:hAnsi="Times New Roman" w:eastAsia="仿宋_GB2312" w:cs="Times New Roman"/>
          <w:b w:val="0"/>
          <w:bCs/>
          <w:spacing w:val="0"/>
          <w:kern w:val="32"/>
          <w:sz w:val="32"/>
          <w:szCs w:val="32"/>
          <w:highlight w:val="none"/>
          <w:lang w:val="en-US" w:eastAsia="zh-CN"/>
        </w:rPr>
        <w:t>另一方面建议完善景区的配套设施，用优惠政策吸引各类商家入驻，完善景区配套的娱乐设施、餐饮、住宿、卫生间等，合理收费，提高服务质量，增强景区的回头客效应。</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640" w:firstLineChars="200"/>
        <w:jc w:val="both"/>
        <w:textAlignment w:val="auto"/>
        <w:outlineLvl w:val="1"/>
        <w:rPr>
          <w:rFonts w:hint="eastAsia" w:ascii="Times New Roman" w:hAnsi="Times New Roman" w:eastAsia="楷体" w:cs="Times New Roman"/>
          <w:b w:val="0"/>
          <w:bCs w:val="0"/>
          <w:spacing w:val="0"/>
          <w:kern w:val="32"/>
          <w:sz w:val="32"/>
          <w:szCs w:val="32"/>
          <w:highlight w:val="none"/>
          <w:lang w:val="en-US" w:eastAsia="zh-CN"/>
        </w:rPr>
      </w:pPr>
      <w:bookmarkStart w:id="89" w:name="_Toc19946"/>
      <w:r>
        <w:rPr>
          <w:rFonts w:hint="eastAsia" w:ascii="Times New Roman" w:hAnsi="Times New Roman" w:eastAsia="楷体" w:cs="Times New Roman"/>
          <w:b w:val="0"/>
          <w:bCs w:val="0"/>
          <w:spacing w:val="0"/>
          <w:kern w:val="32"/>
          <w:sz w:val="32"/>
          <w:szCs w:val="32"/>
          <w:highlight w:val="none"/>
          <w:lang w:val="en-US" w:eastAsia="zh-CN"/>
        </w:rPr>
        <w:t>（六）加强运维管护可持续性</w:t>
      </w:r>
      <w:bookmarkEnd w:id="89"/>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640" w:firstLineChars="200"/>
        <w:jc w:val="both"/>
        <w:textAlignment w:val="auto"/>
        <w:outlineLvl w:val="9"/>
        <w:rPr>
          <w:rFonts w:hint="eastAsia" w:ascii="Times New Roman" w:hAnsi="Times New Roman" w:eastAsia="仿宋_GB2312" w:cs="Times New Roman"/>
          <w:b w:val="0"/>
          <w:bCs/>
          <w:spacing w:val="0"/>
          <w:kern w:val="32"/>
          <w:sz w:val="32"/>
          <w:szCs w:val="32"/>
          <w:highlight w:val="none"/>
          <w:lang w:val="en-US" w:eastAsia="zh-CN"/>
        </w:rPr>
      </w:pPr>
      <w:r>
        <w:rPr>
          <w:rFonts w:hint="eastAsia" w:ascii="Times New Roman" w:hAnsi="Times New Roman" w:eastAsia="仿宋_GB2312" w:cs="Times New Roman"/>
          <w:b w:val="0"/>
          <w:bCs/>
          <w:spacing w:val="0"/>
          <w:kern w:val="32"/>
          <w:sz w:val="32"/>
          <w:szCs w:val="32"/>
          <w:highlight w:val="none"/>
          <w:lang w:val="en-US" w:eastAsia="zh-CN"/>
        </w:rPr>
        <w:t>建议项目单位明确巴音昌胡格草原的运维方及运维内容，制定运维管护相关管理办法并严格按照制度执行，落实运维管护责任，加强项目的可持续发展。</w:t>
      </w:r>
      <w:bookmarkEnd w:id="48"/>
      <w:bookmarkEnd w:id="74"/>
      <w:bookmarkEnd w:id="75"/>
      <w:bookmarkEnd w:id="76"/>
      <w:bookmarkEnd w:id="77"/>
      <w:bookmarkEnd w:id="78"/>
      <w:bookmarkEnd w:id="79"/>
      <w:bookmarkEnd w:id="80"/>
      <w:bookmarkEnd w:id="81"/>
      <w:bookmarkEnd w:id="82"/>
      <w:bookmarkEnd w:id="83"/>
      <w:bookmarkEnd w:id="84"/>
    </w:p>
    <w:sectPr>
      <w:headerReference r:id="rId5" w:type="default"/>
      <w:footerReference r:id="rId6" w:type="default"/>
      <w:pgSz w:w="11906" w:h="16838"/>
      <w:pgMar w:top="1587" w:right="1440" w:bottom="1587" w:left="1440" w:header="850" w:footer="822" w:gutter="0"/>
      <w:pgNumType w:fmt="decimal"/>
      <w:cols w:space="72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6268F5F-F220-42BC-A894-D8496F1789C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New York">
    <w:altName w:val="Segoe Print"/>
    <w:panose1 w:val="02040503060506020304"/>
    <w:charset w:val="00"/>
    <w:family w:val="roman"/>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embedRegular r:id="rId2" w:fontKey="{478399CA-5385-4047-8B7C-92AA96ABF557}"/>
  </w:font>
  <w:font w:name="方正姚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6ED0921E-A78A-4347-B8BE-480F61480CFF}"/>
  </w:font>
  <w:font w:name="Helv">
    <w:altName w:val="Segoe Print"/>
    <w:panose1 w:val="020B0604020202030204"/>
    <w:charset w:val="00"/>
    <w:family w:val="swiss"/>
    <w:pitch w:val="default"/>
    <w:sig w:usb0="00000000" w:usb1="00000000" w:usb2="00000000" w:usb3="00000000" w:csb0="00000001" w:csb1="00000000"/>
  </w:font>
  <w:font w:name="Tms Rmn">
    <w:altName w:val="Segoe Print"/>
    <w:panose1 w:val="020206030405050203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embedRegular r:id="rId4" w:fontKey="{A965997F-866F-41D4-9EB3-5956167B4E16}"/>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69</w:t>
                          </w:r>
                          <w:r>
                            <w:fldChar w:fldCharType="end"/>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TMaMl3gEAAL8DAAAOAAAAAAAA&#10;AAEAIAAAAB4BAABkcnMvZTJvRG9jLnhtbFBLBQYAAAAABgAGAFkBAABu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69</w:t>
                    </w:r>
                    <w:r>
                      <w:fldChar w:fldCharType="end"/>
                    </w:r>
                  </w:p>
                </w:txbxContent>
              </v:textbox>
            </v:shape>
          </w:pict>
        </mc:Fallback>
      </mc:AlternateConten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keepNext w:val="0"/>
      <w:keepLines w:val="0"/>
      <w:pageBreakBefore w:val="0"/>
      <w:widowControl/>
      <w:pBdr>
        <w:bottom w:val="none" w:color="auto" w:sz="0" w:space="0"/>
      </w:pBdr>
      <w:kinsoku/>
      <w:wordWrap/>
      <w:overflowPunct/>
      <w:topLinePunct w:val="0"/>
      <w:autoSpaceDE/>
      <w:autoSpaceDN/>
      <w:bidi w:val="0"/>
      <w:adjustRightInd/>
      <w:snapToGrid/>
      <w:spacing w:after="0" w:line="600" w:lineRule="exact"/>
      <w:ind w:left="0" w:leftChars="0" w:firstLine="0" w:firstLineChars="0"/>
      <w:jc w:val="center"/>
      <w:textAlignment w:val="auto"/>
      <w:outlineLvl w:val="0"/>
      <w:rPr>
        <w:rFonts w:hint="eastAsia" w:ascii="宋体" w:hAnsi="宋体" w:eastAsia="宋体" w:cs="宋体"/>
        <w:color w:val="000000"/>
        <w:w w:val="90"/>
        <w:kern w:val="0"/>
        <w:sz w:val="21"/>
        <w:szCs w:val="21"/>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both"/>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pStyle w:val="4"/>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23BD3230"/>
    <w:multiLevelType w:val="multilevel"/>
    <w:tmpl w:val="23BD3230"/>
    <w:lvl w:ilvl="0" w:tentative="0">
      <w:start w:val="1"/>
      <w:numFmt w:val="decimal"/>
      <w:lvlText w:val="%1"/>
      <w:lvlJc w:val="left"/>
      <w:pPr>
        <w:ind w:left="425" w:hanging="425"/>
      </w:pPr>
      <w:rPr>
        <w:rFonts w:hint="eastAsia" w:cs="Times New Roman"/>
      </w:rPr>
    </w:lvl>
    <w:lvl w:ilvl="1" w:tentative="0">
      <w:start w:val="1"/>
      <w:numFmt w:val="decimal"/>
      <w:lvlText w:val="%1.%2"/>
      <w:lvlJc w:val="left"/>
      <w:pPr>
        <w:ind w:left="992" w:hanging="567"/>
      </w:pPr>
      <w:rPr>
        <w:rFonts w:hint="eastAsia" w:cs="Times New Roman"/>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850" w:hanging="708"/>
      </w:pPr>
      <w:rPr>
        <w:rFonts w:hint="eastAsia" w:cs="Times New Roman"/>
      </w:rPr>
    </w:lvl>
    <w:lvl w:ilvl="4" w:tentative="0">
      <w:start w:val="1"/>
      <w:numFmt w:val="decimal"/>
      <w:pStyle w:val="5"/>
      <w:lvlText w:val="%1.%2.%3.%4.%5"/>
      <w:lvlJc w:val="left"/>
      <w:pPr>
        <w:ind w:left="2551" w:hanging="850"/>
      </w:pPr>
      <w:rPr>
        <w:rFonts w:hint="eastAsia" w:cs="Times New Roman"/>
      </w:rPr>
    </w:lvl>
    <w:lvl w:ilvl="5" w:tentative="0">
      <w:start w:val="1"/>
      <w:numFmt w:val="decimal"/>
      <w:lvlText w:val="%1.%2.%3.%4.%5.%6"/>
      <w:lvlJc w:val="left"/>
      <w:pPr>
        <w:ind w:left="1134"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6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ZTdjZDgyMWJmMjRlNTU5OGMxYjdmNjdmZmRlMWMifQ=="/>
  </w:docVars>
  <w:rsids>
    <w:rsidRoot w:val="001D197E"/>
    <w:rsid w:val="00003E86"/>
    <w:rsid w:val="0005107D"/>
    <w:rsid w:val="00083100"/>
    <w:rsid w:val="00094AE8"/>
    <w:rsid w:val="000C7B30"/>
    <w:rsid w:val="00113D72"/>
    <w:rsid w:val="00132311"/>
    <w:rsid w:val="00164CF3"/>
    <w:rsid w:val="001741DF"/>
    <w:rsid w:val="00182658"/>
    <w:rsid w:val="00185006"/>
    <w:rsid w:val="001A13F9"/>
    <w:rsid w:val="001A2AF9"/>
    <w:rsid w:val="001B446E"/>
    <w:rsid w:val="001C0AC5"/>
    <w:rsid w:val="001D197E"/>
    <w:rsid w:val="00201085"/>
    <w:rsid w:val="0021396B"/>
    <w:rsid w:val="002531FD"/>
    <w:rsid w:val="002634BE"/>
    <w:rsid w:val="002D1220"/>
    <w:rsid w:val="002F5585"/>
    <w:rsid w:val="0035768C"/>
    <w:rsid w:val="0037097F"/>
    <w:rsid w:val="00383345"/>
    <w:rsid w:val="003836D6"/>
    <w:rsid w:val="00394083"/>
    <w:rsid w:val="003F754B"/>
    <w:rsid w:val="004316E1"/>
    <w:rsid w:val="004C2ED6"/>
    <w:rsid w:val="00501572"/>
    <w:rsid w:val="00532C3E"/>
    <w:rsid w:val="00544B6A"/>
    <w:rsid w:val="00586683"/>
    <w:rsid w:val="005879EE"/>
    <w:rsid w:val="005A0D3A"/>
    <w:rsid w:val="005E751A"/>
    <w:rsid w:val="0060374E"/>
    <w:rsid w:val="00620379"/>
    <w:rsid w:val="006356A0"/>
    <w:rsid w:val="00644461"/>
    <w:rsid w:val="006555D6"/>
    <w:rsid w:val="006710F0"/>
    <w:rsid w:val="00671324"/>
    <w:rsid w:val="006818AF"/>
    <w:rsid w:val="00681B23"/>
    <w:rsid w:val="006A27BC"/>
    <w:rsid w:val="006A5BF1"/>
    <w:rsid w:val="006D52CA"/>
    <w:rsid w:val="006F6ADF"/>
    <w:rsid w:val="006F7DA6"/>
    <w:rsid w:val="0075367E"/>
    <w:rsid w:val="0076387B"/>
    <w:rsid w:val="007C3787"/>
    <w:rsid w:val="007D51FF"/>
    <w:rsid w:val="00802411"/>
    <w:rsid w:val="008217B5"/>
    <w:rsid w:val="0086202F"/>
    <w:rsid w:val="00880BE6"/>
    <w:rsid w:val="008C4F82"/>
    <w:rsid w:val="008F1A15"/>
    <w:rsid w:val="008F486E"/>
    <w:rsid w:val="00927939"/>
    <w:rsid w:val="00934C1B"/>
    <w:rsid w:val="00965327"/>
    <w:rsid w:val="009A0343"/>
    <w:rsid w:val="009D0D98"/>
    <w:rsid w:val="009F4DC3"/>
    <w:rsid w:val="009F62D0"/>
    <w:rsid w:val="00A15DA4"/>
    <w:rsid w:val="00A56F85"/>
    <w:rsid w:val="00A676F7"/>
    <w:rsid w:val="00A730C6"/>
    <w:rsid w:val="00A84F86"/>
    <w:rsid w:val="00AB23A9"/>
    <w:rsid w:val="00B03E11"/>
    <w:rsid w:val="00B11246"/>
    <w:rsid w:val="00B670C1"/>
    <w:rsid w:val="00B82B11"/>
    <w:rsid w:val="00B847D4"/>
    <w:rsid w:val="00BF2EDC"/>
    <w:rsid w:val="00C01C9E"/>
    <w:rsid w:val="00C11F9A"/>
    <w:rsid w:val="00C14E94"/>
    <w:rsid w:val="00C30166"/>
    <w:rsid w:val="00C86C14"/>
    <w:rsid w:val="00CD6697"/>
    <w:rsid w:val="00CE39A3"/>
    <w:rsid w:val="00CE4258"/>
    <w:rsid w:val="00D27B81"/>
    <w:rsid w:val="00D569CA"/>
    <w:rsid w:val="00D63B20"/>
    <w:rsid w:val="00DA5F84"/>
    <w:rsid w:val="00DC1487"/>
    <w:rsid w:val="00DE4F19"/>
    <w:rsid w:val="00E00BC1"/>
    <w:rsid w:val="00E06E33"/>
    <w:rsid w:val="00E33D86"/>
    <w:rsid w:val="00E34226"/>
    <w:rsid w:val="00E726BD"/>
    <w:rsid w:val="00E9238D"/>
    <w:rsid w:val="00EA6181"/>
    <w:rsid w:val="00EC460B"/>
    <w:rsid w:val="00EF3994"/>
    <w:rsid w:val="00F40FC5"/>
    <w:rsid w:val="00F6112A"/>
    <w:rsid w:val="00FC1FB7"/>
    <w:rsid w:val="00FE1F5D"/>
    <w:rsid w:val="00FE2C0B"/>
    <w:rsid w:val="00FE3BBE"/>
    <w:rsid w:val="00FE42AD"/>
    <w:rsid w:val="010F0E68"/>
    <w:rsid w:val="020D6BC9"/>
    <w:rsid w:val="03B123F3"/>
    <w:rsid w:val="03EC0177"/>
    <w:rsid w:val="0421047A"/>
    <w:rsid w:val="042500ED"/>
    <w:rsid w:val="047A1CA3"/>
    <w:rsid w:val="05B74982"/>
    <w:rsid w:val="05FB28F4"/>
    <w:rsid w:val="0620235A"/>
    <w:rsid w:val="064921E0"/>
    <w:rsid w:val="06E537CF"/>
    <w:rsid w:val="07996BA1"/>
    <w:rsid w:val="08CA45F9"/>
    <w:rsid w:val="0A951569"/>
    <w:rsid w:val="0B645853"/>
    <w:rsid w:val="0C1B4BFD"/>
    <w:rsid w:val="0C796C68"/>
    <w:rsid w:val="0CD01F46"/>
    <w:rsid w:val="0DC30C97"/>
    <w:rsid w:val="0E9279CD"/>
    <w:rsid w:val="0F083688"/>
    <w:rsid w:val="0F105D81"/>
    <w:rsid w:val="0F1D237E"/>
    <w:rsid w:val="10175134"/>
    <w:rsid w:val="12046804"/>
    <w:rsid w:val="132B00E8"/>
    <w:rsid w:val="13D702C1"/>
    <w:rsid w:val="155C4846"/>
    <w:rsid w:val="1619672B"/>
    <w:rsid w:val="16414ABA"/>
    <w:rsid w:val="17260230"/>
    <w:rsid w:val="19136C70"/>
    <w:rsid w:val="1A34598D"/>
    <w:rsid w:val="1AA167C8"/>
    <w:rsid w:val="1ABE4A77"/>
    <w:rsid w:val="1B664315"/>
    <w:rsid w:val="1BB85DFC"/>
    <w:rsid w:val="1C085607"/>
    <w:rsid w:val="1C6740F2"/>
    <w:rsid w:val="1C9E570F"/>
    <w:rsid w:val="1D4A2837"/>
    <w:rsid w:val="1DFD50D1"/>
    <w:rsid w:val="1E1B7501"/>
    <w:rsid w:val="201B1525"/>
    <w:rsid w:val="20E465E5"/>
    <w:rsid w:val="20E65C10"/>
    <w:rsid w:val="20E74105"/>
    <w:rsid w:val="20F06781"/>
    <w:rsid w:val="21486EDD"/>
    <w:rsid w:val="21A3023F"/>
    <w:rsid w:val="22617B2B"/>
    <w:rsid w:val="22775ED6"/>
    <w:rsid w:val="22CA6D94"/>
    <w:rsid w:val="231E0047"/>
    <w:rsid w:val="245F0CFA"/>
    <w:rsid w:val="249E533F"/>
    <w:rsid w:val="24D95404"/>
    <w:rsid w:val="25257B53"/>
    <w:rsid w:val="253B3E61"/>
    <w:rsid w:val="254D59F1"/>
    <w:rsid w:val="257870F9"/>
    <w:rsid w:val="25C45A5E"/>
    <w:rsid w:val="25ED0053"/>
    <w:rsid w:val="265B65EB"/>
    <w:rsid w:val="26DC7AFE"/>
    <w:rsid w:val="276708C0"/>
    <w:rsid w:val="27800B66"/>
    <w:rsid w:val="27A04A3C"/>
    <w:rsid w:val="287772F7"/>
    <w:rsid w:val="28905838"/>
    <w:rsid w:val="289651BD"/>
    <w:rsid w:val="28A316FD"/>
    <w:rsid w:val="28A40ACD"/>
    <w:rsid w:val="28E0208E"/>
    <w:rsid w:val="29051B49"/>
    <w:rsid w:val="291929FB"/>
    <w:rsid w:val="2A385C5D"/>
    <w:rsid w:val="2B050104"/>
    <w:rsid w:val="2B8908C8"/>
    <w:rsid w:val="2B932920"/>
    <w:rsid w:val="2CBD0390"/>
    <w:rsid w:val="2CD21EE1"/>
    <w:rsid w:val="2D0C663C"/>
    <w:rsid w:val="2D314940"/>
    <w:rsid w:val="2D67080D"/>
    <w:rsid w:val="2D6D118C"/>
    <w:rsid w:val="2DE5165F"/>
    <w:rsid w:val="2E124BDF"/>
    <w:rsid w:val="2E5F7667"/>
    <w:rsid w:val="2EE8415F"/>
    <w:rsid w:val="2F7C672E"/>
    <w:rsid w:val="2F9257C7"/>
    <w:rsid w:val="2FC040E2"/>
    <w:rsid w:val="300859D5"/>
    <w:rsid w:val="315C1ABE"/>
    <w:rsid w:val="34382BED"/>
    <w:rsid w:val="348C006A"/>
    <w:rsid w:val="3491604D"/>
    <w:rsid w:val="35AC4D13"/>
    <w:rsid w:val="35C07671"/>
    <w:rsid w:val="35EB79DF"/>
    <w:rsid w:val="360739A1"/>
    <w:rsid w:val="36377F09"/>
    <w:rsid w:val="365510BE"/>
    <w:rsid w:val="373B0551"/>
    <w:rsid w:val="376C5254"/>
    <w:rsid w:val="37D344C5"/>
    <w:rsid w:val="387F7309"/>
    <w:rsid w:val="388303A3"/>
    <w:rsid w:val="38AC0087"/>
    <w:rsid w:val="38E67001"/>
    <w:rsid w:val="38EA7F28"/>
    <w:rsid w:val="38FE55BC"/>
    <w:rsid w:val="39053CAF"/>
    <w:rsid w:val="393206B2"/>
    <w:rsid w:val="39810890"/>
    <w:rsid w:val="3A0639AF"/>
    <w:rsid w:val="3A457B0E"/>
    <w:rsid w:val="3A555B0F"/>
    <w:rsid w:val="3A913816"/>
    <w:rsid w:val="3AC16F61"/>
    <w:rsid w:val="3B9100E9"/>
    <w:rsid w:val="3CDE6BC0"/>
    <w:rsid w:val="3D121CF5"/>
    <w:rsid w:val="3D30473D"/>
    <w:rsid w:val="3DD01A0C"/>
    <w:rsid w:val="3EDC3418"/>
    <w:rsid w:val="40320A39"/>
    <w:rsid w:val="40A60A4D"/>
    <w:rsid w:val="40D934F3"/>
    <w:rsid w:val="415F1F93"/>
    <w:rsid w:val="427D639A"/>
    <w:rsid w:val="42B70911"/>
    <w:rsid w:val="45A32853"/>
    <w:rsid w:val="45B738C5"/>
    <w:rsid w:val="46144D30"/>
    <w:rsid w:val="46605977"/>
    <w:rsid w:val="46B11DDD"/>
    <w:rsid w:val="47F21F6B"/>
    <w:rsid w:val="4801018D"/>
    <w:rsid w:val="48486056"/>
    <w:rsid w:val="4A276118"/>
    <w:rsid w:val="4A677B24"/>
    <w:rsid w:val="4A8C2B85"/>
    <w:rsid w:val="4A8E4EA0"/>
    <w:rsid w:val="4B714409"/>
    <w:rsid w:val="4BCA2490"/>
    <w:rsid w:val="4C155EAD"/>
    <w:rsid w:val="4C207F8B"/>
    <w:rsid w:val="4C843491"/>
    <w:rsid w:val="4CD139BF"/>
    <w:rsid w:val="4D3C6480"/>
    <w:rsid w:val="4DD06640"/>
    <w:rsid w:val="4DF97F5B"/>
    <w:rsid w:val="50D0213B"/>
    <w:rsid w:val="515346DF"/>
    <w:rsid w:val="519531C9"/>
    <w:rsid w:val="522E229E"/>
    <w:rsid w:val="52944E02"/>
    <w:rsid w:val="52B81E4F"/>
    <w:rsid w:val="52C459DC"/>
    <w:rsid w:val="5385101B"/>
    <w:rsid w:val="5451746B"/>
    <w:rsid w:val="547F3CBD"/>
    <w:rsid w:val="549F2997"/>
    <w:rsid w:val="56242C98"/>
    <w:rsid w:val="56D35E98"/>
    <w:rsid w:val="58111A7F"/>
    <w:rsid w:val="58223E5C"/>
    <w:rsid w:val="58CE2193"/>
    <w:rsid w:val="58F2184B"/>
    <w:rsid w:val="58FB558C"/>
    <w:rsid w:val="59575D47"/>
    <w:rsid w:val="596915F5"/>
    <w:rsid w:val="59B305AC"/>
    <w:rsid w:val="5AB87F28"/>
    <w:rsid w:val="5AF11D37"/>
    <w:rsid w:val="5CA65050"/>
    <w:rsid w:val="5CC04E72"/>
    <w:rsid w:val="5D3E1A26"/>
    <w:rsid w:val="5D6A1ED1"/>
    <w:rsid w:val="5E1156F0"/>
    <w:rsid w:val="5E304B6A"/>
    <w:rsid w:val="5E9D546B"/>
    <w:rsid w:val="5EAF096B"/>
    <w:rsid w:val="5F585836"/>
    <w:rsid w:val="5FB76985"/>
    <w:rsid w:val="60C25BA1"/>
    <w:rsid w:val="611D06F4"/>
    <w:rsid w:val="62C7439D"/>
    <w:rsid w:val="63092C2E"/>
    <w:rsid w:val="63483299"/>
    <w:rsid w:val="64550C9F"/>
    <w:rsid w:val="64722621"/>
    <w:rsid w:val="659303D6"/>
    <w:rsid w:val="65C726CA"/>
    <w:rsid w:val="669171BB"/>
    <w:rsid w:val="675B6274"/>
    <w:rsid w:val="684B2DCF"/>
    <w:rsid w:val="68CA7831"/>
    <w:rsid w:val="69B55B98"/>
    <w:rsid w:val="6AB53B3C"/>
    <w:rsid w:val="6ACD3633"/>
    <w:rsid w:val="6B953137"/>
    <w:rsid w:val="6C02504C"/>
    <w:rsid w:val="6C4B6CFD"/>
    <w:rsid w:val="6DE91154"/>
    <w:rsid w:val="6E326A08"/>
    <w:rsid w:val="6E5C6DC3"/>
    <w:rsid w:val="6EC56817"/>
    <w:rsid w:val="6EE97C14"/>
    <w:rsid w:val="6F6D6871"/>
    <w:rsid w:val="71E34706"/>
    <w:rsid w:val="723604ED"/>
    <w:rsid w:val="724049ED"/>
    <w:rsid w:val="738671C2"/>
    <w:rsid w:val="73D55314"/>
    <w:rsid w:val="743B1556"/>
    <w:rsid w:val="74594912"/>
    <w:rsid w:val="746B2757"/>
    <w:rsid w:val="747E75EC"/>
    <w:rsid w:val="74E86625"/>
    <w:rsid w:val="75644ADD"/>
    <w:rsid w:val="75690F76"/>
    <w:rsid w:val="756F206E"/>
    <w:rsid w:val="757E1698"/>
    <w:rsid w:val="75C563FC"/>
    <w:rsid w:val="767D0870"/>
    <w:rsid w:val="774A116B"/>
    <w:rsid w:val="78490367"/>
    <w:rsid w:val="784B5BAC"/>
    <w:rsid w:val="79F37B91"/>
    <w:rsid w:val="7A990D85"/>
    <w:rsid w:val="7AEA5C8D"/>
    <w:rsid w:val="7B1448AF"/>
    <w:rsid w:val="7B2D2F34"/>
    <w:rsid w:val="7B6C0EB4"/>
    <w:rsid w:val="7B7F681C"/>
    <w:rsid w:val="7BC962D1"/>
    <w:rsid w:val="7C281F8C"/>
    <w:rsid w:val="7CD709E3"/>
    <w:rsid w:val="7D0C5A47"/>
    <w:rsid w:val="7D5E3F3E"/>
    <w:rsid w:val="7DEF45B8"/>
    <w:rsid w:val="7E1A5715"/>
    <w:rsid w:val="7E8F1E2A"/>
    <w:rsid w:val="7EC47170"/>
    <w:rsid w:val="7F2A467C"/>
    <w:rsid w:val="7FB63689"/>
    <w:rsid w:val="7FCD0B0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qFormat/>
    <w:uiPriority w:val="0"/>
    <w:pPr>
      <w:numPr>
        <w:ilvl w:val="2"/>
        <w:numId w:val="1"/>
      </w:numPr>
      <w:spacing w:before="140" w:after="120"/>
      <w:outlineLvl w:val="2"/>
    </w:pPr>
    <w:rPr>
      <w:rFonts w:ascii="Times New Roman" w:hAnsi="Times New Roman" w:eastAsia="宋体" w:cs="Times New Roman"/>
      <w:b/>
      <w:bCs/>
      <w:kern w:val="0"/>
      <w:sz w:val="28"/>
      <w:szCs w:val="28"/>
    </w:rPr>
  </w:style>
  <w:style w:type="paragraph" w:styleId="5">
    <w:name w:val="heading 5"/>
    <w:basedOn w:val="1"/>
    <w:next w:val="1"/>
    <w:qFormat/>
    <w:uiPriority w:val="99"/>
    <w:pPr>
      <w:keepNext/>
      <w:keepLines/>
      <w:numPr>
        <w:ilvl w:val="4"/>
        <w:numId w:val="2"/>
      </w:numPr>
      <w:outlineLvl w:val="4"/>
    </w:pPr>
    <w:rPr>
      <w:b/>
      <w:bCs/>
    </w:rPr>
  </w:style>
  <w:style w:type="character" w:default="1" w:styleId="22">
    <w:name w:val="Default Paragraph Font"/>
    <w:unhideWhenUsed/>
    <w:qFormat/>
    <w:uiPriority w:val="1"/>
  </w:style>
  <w:style w:type="table" w:default="1" w:styleId="20">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toa heading"/>
    <w:basedOn w:val="1"/>
    <w:next w:val="1"/>
    <w:qFormat/>
    <w:uiPriority w:val="0"/>
    <w:pPr>
      <w:spacing w:before="120" w:beforeLines="0" w:line="360" w:lineRule="auto"/>
      <w:ind w:firstLine="200" w:firstLineChars="200"/>
      <w:jc w:val="left"/>
    </w:pPr>
    <w:rPr>
      <w:rFonts w:ascii="Arial" w:hAnsi="Arial"/>
      <w:b/>
      <w:bCs/>
      <w:sz w:val="24"/>
    </w:rPr>
  </w:style>
  <w:style w:type="paragraph" w:styleId="7">
    <w:name w:val="annotation text"/>
    <w:basedOn w:val="1"/>
    <w:unhideWhenUsed/>
    <w:qFormat/>
    <w:uiPriority w:val="99"/>
    <w:pPr>
      <w:jc w:val="left"/>
    </w:pPr>
    <w:rPr>
      <w:rFonts w:eastAsia="New York"/>
    </w:rPr>
  </w:style>
  <w:style w:type="paragraph" w:styleId="8">
    <w:name w:val="Body Text"/>
    <w:basedOn w:val="1"/>
    <w:next w:val="9"/>
    <w:qFormat/>
    <w:uiPriority w:val="1"/>
    <w:rPr>
      <w:rFonts w:ascii="仿宋_GB2312" w:hAnsi="仿宋_GB2312" w:eastAsia="仿宋_GB2312" w:cs="仿宋_GB2312"/>
      <w:sz w:val="32"/>
      <w:szCs w:val="32"/>
      <w:lang w:val="zh-CN" w:eastAsia="zh-CN" w:bidi="zh-CN"/>
    </w:rPr>
  </w:style>
  <w:style w:type="paragraph" w:styleId="9">
    <w:name w:val="toc 2"/>
    <w:basedOn w:val="1"/>
    <w:next w:val="1"/>
    <w:unhideWhenUsed/>
    <w:qFormat/>
    <w:uiPriority w:val="39"/>
    <w:pPr>
      <w:ind w:left="420" w:leftChars="200"/>
    </w:pPr>
  </w:style>
  <w:style w:type="paragraph" w:styleId="10">
    <w:name w:val="Body Text Indent"/>
    <w:basedOn w:val="1"/>
    <w:next w:val="11"/>
    <w:qFormat/>
    <w:uiPriority w:val="0"/>
    <w:pPr>
      <w:tabs>
        <w:tab w:val="left" w:pos="6075"/>
      </w:tabs>
      <w:spacing w:line="240" w:lineRule="exact"/>
      <w:ind w:firstLine="1885" w:firstLineChars="152"/>
    </w:pPr>
    <w:rPr>
      <w:rFonts w:eastAsia="方正姚体"/>
      <w:spacing w:val="20"/>
      <w:sz w:val="120"/>
    </w:rPr>
  </w:style>
  <w:style w:type="paragraph" w:styleId="11">
    <w:name w:val="Body Text First Indent 2"/>
    <w:basedOn w:val="10"/>
    <w:qFormat/>
    <w:uiPriority w:val="0"/>
    <w:pPr>
      <w:ind w:firstLine="420"/>
    </w:pPr>
    <w:rPr>
      <w:sz w:val="21"/>
    </w:r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link w:val="28"/>
    <w:qFormat/>
    <w:uiPriority w:val="0"/>
    <w:rPr>
      <w:rFonts w:ascii="宋体" w:hAnsi="Courier New" w:cs="Courier New"/>
      <w:szCs w:val="21"/>
    </w:rPr>
  </w:style>
  <w:style w:type="paragraph" w:styleId="14">
    <w:name w:val="Balloon Text"/>
    <w:basedOn w:val="1"/>
    <w:link w:val="29"/>
    <w:unhideWhenUsed/>
    <w:qFormat/>
    <w:uiPriority w:val="99"/>
    <w:rPr>
      <w:sz w:val="18"/>
      <w:szCs w:val="18"/>
    </w:rPr>
  </w:style>
  <w:style w:type="paragraph" w:styleId="15">
    <w:name w:val="footer"/>
    <w:basedOn w:val="1"/>
    <w:link w:val="30"/>
    <w:unhideWhenUsed/>
    <w:qFormat/>
    <w:uiPriority w:val="99"/>
    <w:pPr>
      <w:tabs>
        <w:tab w:val="center" w:pos="4153"/>
        <w:tab w:val="right" w:pos="8306"/>
      </w:tabs>
      <w:snapToGrid w:val="0"/>
      <w:jc w:val="left"/>
    </w:pPr>
    <w:rPr>
      <w:sz w:val="18"/>
      <w:szCs w:val="18"/>
    </w:rPr>
  </w:style>
  <w:style w:type="paragraph" w:styleId="16">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Subtitle"/>
    <w:basedOn w:val="1"/>
    <w:next w:val="1"/>
    <w:qFormat/>
    <w:uiPriority w:val="11"/>
    <w:pPr>
      <w:spacing w:before="240" w:after="60" w:line="312" w:lineRule="auto"/>
      <w:jc w:val="center"/>
      <w:outlineLvl w:val="1"/>
    </w:pPr>
    <w:rPr>
      <w:rFonts w:ascii="Calibri" w:hAnsi="Calibri" w:eastAsia="宋体" w:cs="Times New Roman"/>
      <w:b/>
      <w:bCs/>
      <w:kern w:val="28"/>
      <w:szCs w:val="32"/>
    </w:rPr>
  </w:style>
  <w:style w:type="paragraph" w:styleId="1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rPr>
  </w:style>
  <w:style w:type="character" w:styleId="24">
    <w:name w:val="Hyperlink"/>
    <w:unhideWhenUsed/>
    <w:qFormat/>
    <w:uiPriority w:val="99"/>
    <w:rPr>
      <w:color w:val="0000FF"/>
      <w:u w:val="single"/>
    </w:rPr>
  </w:style>
  <w:style w:type="character" w:styleId="25">
    <w:name w:val="annotation reference"/>
    <w:basedOn w:val="22"/>
    <w:unhideWhenUsed/>
    <w:qFormat/>
    <w:uiPriority w:val="99"/>
    <w:rPr>
      <w:sz w:val="21"/>
      <w:szCs w:val="21"/>
    </w:rPr>
  </w:style>
  <w:style w:type="character" w:customStyle="1" w:styleId="26">
    <w:name w:val="标题 1 Char"/>
    <w:link w:val="2"/>
    <w:qFormat/>
    <w:uiPriority w:val="9"/>
    <w:rPr>
      <w:b/>
      <w:bCs/>
      <w:kern w:val="44"/>
      <w:sz w:val="44"/>
      <w:szCs w:val="44"/>
    </w:rPr>
  </w:style>
  <w:style w:type="character" w:customStyle="1" w:styleId="27">
    <w:name w:val="标题 2 Char"/>
    <w:link w:val="3"/>
    <w:qFormat/>
    <w:uiPriority w:val="9"/>
    <w:rPr>
      <w:rFonts w:ascii="Cambria" w:hAnsi="Cambria" w:eastAsia="宋体" w:cs="Times New Roman"/>
      <w:b/>
      <w:bCs/>
      <w:kern w:val="2"/>
      <w:sz w:val="32"/>
      <w:szCs w:val="32"/>
    </w:rPr>
  </w:style>
  <w:style w:type="character" w:customStyle="1" w:styleId="28">
    <w:name w:val="纯文本 Char"/>
    <w:link w:val="13"/>
    <w:qFormat/>
    <w:uiPriority w:val="0"/>
    <w:rPr>
      <w:rFonts w:ascii="宋体" w:hAnsi="Courier New" w:cs="Courier New"/>
      <w:kern w:val="2"/>
      <w:sz w:val="21"/>
      <w:szCs w:val="21"/>
    </w:rPr>
  </w:style>
  <w:style w:type="character" w:customStyle="1" w:styleId="29">
    <w:name w:val="批注框文本 Char"/>
    <w:link w:val="14"/>
    <w:semiHidden/>
    <w:uiPriority w:val="99"/>
    <w:rPr>
      <w:kern w:val="2"/>
      <w:sz w:val="18"/>
      <w:szCs w:val="18"/>
    </w:rPr>
  </w:style>
  <w:style w:type="character" w:customStyle="1" w:styleId="30">
    <w:name w:val="页脚 Char"/>
    <w:link w:val="15"/>
    <w:qFormat/>
    <w:uiPriority w:val="99"/>
    <w:rPr>
      <w:sz w:val="18"/>
      <w:szCs w:val="18"/>
    </w:rPr>
  </w:style>
  <w:style w:type="character" w:customStyle="1" w:styleId="31">
    <w:name w:val="页眉 Char"/>
    <w:link w:val="16"/>
    <w:qFormat/>
    <w:uiPriority w:val="99"/>
    <w:rPr>
      <w:sz w:val="18"/>
      <w:szCs w:val="18"/>
    </w:rPr>
  </w:style>
  <w:style w:type="paragraph" w:customStyle="1" w:styleId="32">
    <w:name w:val="正文（缩进）"/>
    <w:basedOn w:val="1"/>
    <w:qFormat/>
    <w:uiPriority w:val="0"/>
    <w:pPr>
      <w:spacing w:before="156" w:after="156"/>
    </w:pPr>
  </w:style>
  <w:style w:type="paragraph" w:customStyle="1" w:styleId="33">
    <w:name w:val="列出段落1"/>
    <w:basedOn w:val="1"/>
    <w:qFormat/>
    <w:uiPriority w:val="0"/>
    <w:pPr>
      <w:ind w:firstLine="420" w:firstLineChars="200"/>
    </w:pPr>
    <w:rPr>
      <w:rFonts w:ascii="Calibri" w:hAnsi="Calibri"/>
    </w:rPr>
  </w:style>
  <w:style w:type="character" w:customStyle="1" w:styleId="34">
    <w:name w:val="bjh-p"/>
    <w:qFormat/>
    <w:uiPriority w:val="0"/>
  </w:style>
  <w:style w:type="character" w:customStyle="1" w:styleId="35">
    <w:name w:val="bjh-strong"/>
    <w:qFormat/>
    <w:uiPriority w:val="0"/>
  </w:style>
  <w:style w:type="paragraph" w:customStyle="1" w:styleId="36">
    <w:name w:val="p0"/>
    <w:basedOn w:val="1"/>
    <w:qFormat/>
    <w:uiPriority w:val="0"/>
    <w:pPr>
      <w:widowControl/>
    </w:pPr>
    <w:rPr>
      <w:kern w:val="0"/>
      <w:szCs w:val="21"/>
    </w:rPr>
  </w:style>
  <w:style w:type="paragraph" w:customStyle="1" w:styleId="37">
    <w:name w:val="Table Paragraph"/>
    <w:basedOn w:val="1"/>
    <w:qFormat/>
    <w:uiPriority w:val="1"/>
    <w:rPr>
      <w:rFonts w:ascii="宋体" w:hAnsi="宋体" w:eastAsia="宋体" w:cs="宋体"/>
      <w:lang w:val="zh-CN" w:eastAsia="zh-CN" w:bidi="zh-CN"/>
    </w:rPr>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paragraph" w:customStyle="1" w:styleId="39">
    <w:name w:val="WPSOffice手动目录 2"/>
    <w:qFormat/>
    <w:uiPriority w:val="0"/>
    <w:pPr>
      <w:ind w:leftChars="200"/>
    </w:pPr>
    <w:rPr>
      <w:rFonts w:ascii="Times New Roman" w:hAnsi="Times New Roman" w:eastAsia="宋体" w:cs="Times New Roman"/>
      <w:sz w:val="20"/>
      <w:szCs w:val="20"/>
    </w:rPr>
  </w:style>
  <w:style w:type="paragraph" w:customStyle="1" w:styleId="40">
    <w:name w:val="段"/>
    <w:qFormat/>
    <w:uiPriority w:val="0"/>
    <w:pPr>
      <w:autoSpaceDE w:val="0"/>
      <w:autoSpaceDN w:val="0"/>
      <w:ind w:firstLine="200"/>
      <w:jc w:val="both"/>
    </w:pPr>
    <w:rPr>
      <w:rFonts w:ascii="宋体" w:hAnsi="Calibri" w:eastAsia="宋体" w:cs="Times New Roman"/>
      <w:sz w:val="21"/>
      <w:szCs w:val="22"/>
      <w:lang w:val="en-US" w:eastAsia="zh-CN" w:bidi="ar-SA"/>
    </w:rPr>
  </w:style>
  <w:style w:type="character" w:customStyle="1" w:styleId="41">
    <w:name w:val="font11"/>
    <w:basedOn w:val="22"/>
    <w:qFormat/>
    <w:uiPriority w:val="0"/>
    <w:rPr>
      <w:rFonts w:hint="eastAsia" w:ascii="仿宋" w:hAnsi="仿宋" w:eastAsia="仿宋" w:cs="仿宋"/>
      <w:color w:val="000000"/>
      <w:sz w:val="24"/>
      <w:szCs w:val="24"/>
      <w:u w:val="none"/>
    </w:rPr>
  </w:style>
  <w:style w:type="paragraph" w:customStyle="1" w:styleId="42">
    <w:name w:val="表格文字"/>
    <w:basedOn w:val="43"/>
    <w:next w:val="1"/>
    <w:qFormat/>
    <w:uiPriority w:val="0"/>
    <w:pPr>
      <w:spacing w:line="360" w:lineRule="exact"/>
    </w:pPr>
    <w:rPr>
      <w:rFonts w:eastAsia="Helv" w:cs="New York"/>
      <w:sz w:val="24"/>
    </w:rPr>
  </w:style>
  <w:style w:type="paragraph" w:customStyle="1" w:styleId="43">
    <w:name w:val="独立格式"/>
    <w:basedOn w:val="18"/>
    <w:qFormat/>
    <w:uiPriority w:val="1"/>
    <w:pPr>
      <w:spacing w:before="0" w:after="0" w:line="360" w:lineRule="auto"/>
      <w:outlineLvl w:val="9"/>
    </w:pPr>
    <w:rPr>
      <w:rFonts w:ascii="Times New Roman" w:hAnsi="Times New Roman" w:eastAsia="Tms Rmn" w:cs="Times New Roman"/>
      <w:b w:val="0"/>
      <w:bCs w:val="0"/>
      <w:kern w:val="2"/>
      <w:szCs w:val="52"/>
    </w:rPr>
  </w:style>
  <w:style w:type="paragraph" w:customStyle="1" w:styleId="44">
    <w:name w:val="标题3"/>
    <w:basedOn w:val="4"/>
    <w:next w:val="1"/>
    <w:qFormat/>
    <w:uiPriority w:val="0"/>
    <w:pPr>
      <w:ind w:firstLine="643"/>
    </w:pPr>
    <w:rPr>
      <w:bCs w:val="0"/>
    </w:rPr>
  </w:style>
  <w:style w:type="paragraph" w:customStyle="1" w:styleId="45">
    <w:name w:val="表格名称"/>
    <w:basedOn w:val="1"/>
    <w:qFormat/>
    <w:uiPriority w:val="0"/>
    <w:pPr>
      <w:ind w:right="240" w:firstLine="482" w:firstLineChars="0"/>
      <w:jc w:val="center"/>
    </w:pPr>
    <w:rPr>
      <w:rFonts w:eastAsia="仿宋" w:cs="宋体"/>
      <w:b/>
      <w:sz w:val="24"/>
      <w:szCs w:val="24"/>
    </w:rPr>
  </w:style>
  <w:style w:type="paragraph" w:customStyle="1" w:styleId="46">
    <w:name w:val="Body text|1"/>
    <w:basedOn w:val="1"/>
    <w:qFormat/>
    <w:uiPriority w:val="0"/>
    <w:pPr>
      <w:widowControl w:val="0"/>
      <w:shd w:val="clear" w:color="auto" w:fill="auto"/>
      <w:spacing w:after="60" w:line="420"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75</Pages>
  <Words>27614</Words>
  <Characters>28993</Characters>
  <Lines>1</Lines>
  <Paragraphs>1</Paragraphs>
  <TotalTime>79</TotalTime>
  <ScaleCrop>false</ScaleCrop>
  <LinksUpToDate>false</LinksUpToDate>
  <CharactersWithSpaces>29319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2020-06-04T02:40:00Z</dcterms:created>
  <dc:creator>Administrator</dc:creator>
  <cp:lastModifiedBy>杨勇</cp:lastModifiedBy>
  <cp:lastPrinted>2020-07-07T02:58:00Z</cp:lastPrinted>
  <dcterms:modified xsi:type="dcterms:W3CDTF">2023-10-11T07:16:14Z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5F9B4FAADC7C40E286685BF21E142633_13</vt:lpwstr>
  </property>
</Properties>
</file>