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both"/>
        <w:outlineLvl w:val="0"/>
        <w:rPr>
          <w:rFonts w:hint="eastAsia" w:ascii="宋体" w:hAnsi="宋体" w:cs="宋体"/>
          <w:b/>
          <w:bCs/>
          <w:color w:val="000000"/>
          <w:kern w:val="0"/>
          <w:sz w:val="44"/>
          <w:szCs w:val="44"/>
          <w:lang w:val="en-US" w:eastAsia="zh-CN" w:bidi="ar"/>
        </w:rPr>
      </w:pPr>
      <w:bookmarkStart w:id="0" w:name="_Toc20356"/>
      <w:bookmarkStart w:id="1" w:name="_Toc8340"/>
      <w:bookmarkStart w:id="2" w:name="_Toc31887"/>
      <w:bookmarkStart w:id="3" w:name="_Toc14697"/>
    </w:p>
    <w:p>
      <w:pPr>
        <w:widowControl/>
        <w:shd w:val="clear" w:color="auto" w:fill="FFFFFF"/>
        <w:jc w:val="both"/>
        <w:outlineLvl w:val="0"/>
        <w:rPr>
          <w:rFonts w:hint="eastAsia" w:ascii="宋体" w:hAnsi="宋体" w:cs="宋体"/>
          <w:b/>
          <w:bCs/>
          <w:color w:val="000000"/>
          <w:kern w:val="0"/>
          <w:sz w:val="44"/>
          <w:szCs w:val="44"/>
          <w:lang w:val="en-US" w:eastAsia="zh-CN" w:bidi="ar"/>
        </w:rPr>
      </w:pPr>
    </w:p>
    <w:p>
      <w:pPr>
        <w:widowControl/>
        <w:shd w:val="clear" w:color="auto" w:fill="FFFFFF"/>
        <w:jc w:val="both"/>
        <w:outlineLvl w:val="0"/>
        <w:rPr>
          <w:rFonts w:hint="eastAsia" w:ascii="宋体" w:hAnsi="宋体" w:cs="宋体"/>
          <w:b/>
          <w:bCs/>
          <w:color w:val="000000"/>
          <w:kern w:val="0"/>
          <w:sz w:val="44"/>
          <w:szCs w:val="44"/>
          <w:lang w:val="en-US" w:eastAsia="zh-CN" w:bidi="ar"/>
        </w:rPr>
      </w:pPr>
    </w:p>
    <w:p>
      <w:pPr>
        <w:widowControl/>
        <w:shd w:val="clear" w:color="auto" w:fill="FFFFFF"/>
        <w:ind w:left="0" w:leftChars="0" w:hanging="7" w:firstLineChars="0"/>
        <w:jc w:val="center"/>
        <w:outlineLvl w:val="0"/>
        <w:rPr>
          <w:rFonts w:hint="eastAsia" w:ascii="宋体" w:hAnsi="宋体" w:cs="宋体"/>
          <w:b/>
          <w:bCs/>
          <w:color w:val="000000"/>
          <w:kern w:val="0"/>
          <w:sz w:val="44"/>
          <w:szCs w:val="44"/>
          <w:lang w:val="en-US" w:eastAsia="zh-CN" w:bidi="ar"/>
        </w:rPr>
      </w:pPr>
      <w:r>
        <w:rPr>
          <w:rFonts w:hint="eastAsia" w:ascii="宋体" w:hAnsi="宋体" w:cs="宋体"/>
          <w:b/>
          <w:bCs/>
          <w:color w:val="000000"/>
          <w:kern w:val="0"/>
          <w:sz w:val="44"/>
          <w:szCs w:val="44"/>
          <w:lang w:val="en-US" w:eastAsia="zh-CN" w:bidi="ar"/>
        </w:rPr>
        <w:t>城镇基础设施建设及社区党群服务中心</w:t>
      </w:r>
    </w:p>
    <w:p>
      <w:pPr>
        <w:widowControl/>
        <w:shd w:val="clear" w:color="auto" w:fill="FFFFFF"/>
        <w:ind w:left="0" w:leftChars="0" w:hanging="7" w:firstLineChars="0"/>
        <w:jc w:val="center"/>
        <w:outlineLvl w:val="0"/>
        <w:rPr>
          <w:rFonts w:eastAsia="黑体"/>
          <w:color w:val="000000"/>
          <w:sz w:val="44"/>
          <w:szCs w:val="44"/>
        </w:rPr>
      </w:pPr>
      <w:r>
        <w:rPr>
          <w:rFonts w:hint="eastAsia" w:ascii="宋体" w:hAnsi="宋体" w:cs="宋体"/>
          <w:b/>
          <w:bCs/>
          <w:color w:val="000000"/>
          <w:kern w:val="0"/>
          <w:sz w:val="44"/>
          <w:szCs w:val="44"/>
          <w:lang w:val="en-US" w:eastAsia="zh-CN" w:bidi="ar"/>
        </w:rPr>
        <w:t>改造建设资金绩效评价</w:t>
      </w:r>
      <w:r>
        <w:rPr>
          <w:rFonts w:ascii="宋体" w:hAnsi="宋体" w:cs="宋体"/>
          <w:b/>
          <w:bCs/>
          <w:sz w:val="44"/>
          <w:szCs w:val="44"/>
        </w:rPr>
        <w:t>报告</w:t>
      </w:r>
      <w:bookmarkEnd w:id="0"/>
      <w:bookmarkEnd w:id="1"/>
      <w:bookmarkEnd w:id="2"/>
      <w:bookmarkEnd w:id="3"/>
    </w:p>
    <w:p>
      <w:pPr>
        <w:rPr>
          <w:sz w:val="30"/>
          <w:szCs w:val="30"/>
        </w:rPr>
      </w:pPr>
    </w:p>
    <w:p>
      <w:pPr>
        <w:rPr>
          <w:sz w:val="30"/>
          <w:szCs w:val="30"/>
        </w:rPr>
      </w:pPr>
    </w:p>
    <w:p>
      <w:pPr>
        <w:rPr>
          <w:sz w:val="30"/>
          <w:szCs w:val="30"/>
        </w:rPr>
      </w:pPr>
    </w:p>
    <w:p>
      <w:pPr>
        <w:rPr>
          <w:sz w:val="30"/>
          <w:szCs w:val="30"/>
        </w:rPr>
      </w:pPr>
    </w:p>
    <w:p>
      <w:pPr>
        <w:spacing w:line="480" w:lineRule="auto"/>
        <w:rPr>
          <w:b/>
          <w:color w:val="000000"/>
          <w:sz w:val="30"/>
          <w:szCs w:val="30"/>
        </w:rPr>
      </w:pPr>
    </w:p>
    <w:p>
      <w:pPr>
        <w:spacing w:line="480" w:lineRule="auto"/>
        <w:rPr>
          <w:b/>
          <w:color w:val="000000"/>
          <w:sz w:val="30"/>
          <w:szCs w:val="30"/>
        </w:rPr>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ind w:left="2108" w:hanging="2108" w:hangingChars="700"/>
        <w:jc w:val="left"/>
        <w:rPr>
          <w:rFonts w:hint="default" w:ascii="仿宋" w:hAnsi="仿宋" w:eastAsia="仿宋" w:cs="仿宋"/>
          <w:b/>
          <w:color w:val="000000"/>
          <w:sz w:val="30"/>
          <w:szCs w:val="30"/>
          <w:lang w:val="en-US" w:eastAsia="zh-CN"/>
        </w:rPr>
      </w:pPr>
      <w:r>
        <w:rPr>
          <w:rFonts w:hint="eastAsia" w:ascii="仿宋" w:hAnsi="仿宋" w:eastAsia="仿宋" w:cs="仿宋"/>
          <w:b/>
          <w:color w:val="000000"/>
          <w:sz w:val="30"/>
          <w:szCs w:val="30"/>
          <w:lang w:val="en-US" w:eastAsia="zh-CN"/>
        </w:rPr>
        <w:t>项 目 名 称：</w:t>
      </w:r>
      <w:r>
        <w:rPr>
          <w:rFonts w:hint="eastAsia" w:ascii="仿宋" w:hAnsi="仿宋" w:eastAsia="仿宋" w:cs="仿宋"/>
          <w:b/>
          <w:color w:val="000000"/>
          <w:sz w:val="28"/>
          <w:szCs w:val="28"/>
          <w:lang w:val="en-US" w:eastAsia="zh-CN"/>
        </w:rPr>
        <w:t>城镇基础设施建设及社区党群服务中心改造建设工程</w:t>
      </w:r>
    </w:p>
    <w:p>
      <w:pPr>
        <w:jc w:val="left"/>
        <w:rPr>
          <w:rFonts w:hint="default" w:ascii="仿宋" w:hAnsi="仿宋" w:eastAsia="仿宋" w:cs="仿宋"/>
          <w:b/>
          <w:color w:val="000000"/>
          <w:sz w:val="30"/>
          <w:szCs w:val="30"/>
          <w:lang w:val="en-US" w:eastAsia="zh-CN"/>
        </w:rPr>
      </w:pPr>
      <w:r>
        <w:rPr>
          <w:rFonts w:hint="eastAsia" w:ascii="仿宋" w:hAnsi="仿宋" w:eastAsia="仿宋" w:cs="仿宋"/>
          <w:b/>
          <w:color w:val="000000"/>
          <w:sz w:val="30"/>
          <w:szCs w:val="30"/>
        </w:rPr>
        <w:t>项目</w:t>
      </w:r>
      <w:r>
        <w:rPr>
          <w:rFonts w:hint="eastAsia" w:ascii="仿宋" w:hAnsi="仿宋" w:eastAsia="仿宋" w:cs="仿宋"/>
          <w:b/>
          <w:color w:val="000000"/>
          <w:sz w:val="30"/>
          <w:szCs w:val="30"/>
          <w:lang w:eastAsia="zh-CN"/>
        </w:rPr>
        <w:t>实施</w:t>
      </w:r>
      <w:r>
        <w:rPr>
          <w:rFonts w:hint="eastAsia" w:ascii="仿宋" w:hAnsi="仿宋" w:eastAsia="仿宋" w:cs="仿宋"/>
          <w:b/>
          <w:color w:val="000000"/>
          <w:sz w:val="30"/>
          <w:szCs w:val="30"/>
        </w:rPr>
        <w:t>单位</w:t>
      </w:r>
      <w:r>
        <w:rPr>
          <w:rFonts w:hint="eastAsia" w:ascii="仿宋" w:hAnsi="仿宋" w:eastAsia="仿宋" w:cs="仿宋"/>
          <w:b/>
          <w:color w:val="000000"/>
          <w:sz w:val="30"/>
          <w:szCs w:val="30"/>
          <w:lang w:eastAsia="zh-CN"/>
        </w:rPr>
        <w:t>：</w:t>
      </w:r>
      <w:r>
        <w:rPr>
          <w:rFonts w:hint="eastAsia" w:ascii="仿宋" w:hAnsi="仿宋" w:eastAsia="仿宋" w:cs="仿宋"/>
          <w:b/>
          <w:color w:val="000000"/>
          <w:sz w:val="30"/>
          <w:szCs w:val="30"/>
          <w:lang w:val="en-US" w:eastAsia="zh-CN"/>
        </w:rPr>
        <w:t>伊金霍洛旗纳林陶亥镇人民政府</w:t>
      </w:r>
    </w:p>
    <w:p>
      <w:pPr>
        <w:ind w:left="2108" w:hanging="2108" w:hangingChars="700"/>
        <w:jc w:val="left"/>
        <w:rPr>
          <w:rFonts w:hint="default" w:ascii="仿宋" w:hAnsi="仿宋" w:eastAsia="仿宋" w:cs="仿宋"/>
          <w:b/>
          <w:color w:val="000000"/>
          <w:sz w:val="30"/>
          <w:szCs w:val="30"/>
          <w:lang w:val="en-US" w:eastAsia="zh-CN"/>
        </w:rPr>
      </w:pPr>
      <w:r>
        <w:rPr>
          <w:rFonts w:hint="eastAsia" w:ascii="仿宋" w:hAnsi="仿宋" w:eastAsia="仿宋" w:cs="仿宋"/>
          <w:b/>
          <w:color w:val="000000"/>
          <w:sz w:val="30"/>
          <w:szCs w:val="30"/>
        </w:rPr>
        <w:t>评 价 机 构</w:t>
      </w:r>
      <w:r>
        <w:rPr>
          <w:rFonts w:hint="eastAsia" w:ascii="仿宋" w:hAnsi="仿宋" w:eastAsia="仿宋" w:cs="仿宋"/>
          <w:b/>
          <w:color w:val="000000"/>
          <w:sz w:val="30"/>
          <w:szCs w:val="30"/>
          <w:lang w:eastAsia="zh-CN"/>
        </w:rPr>
        <w:t>：</w:t>
      </w:r>
      <w:r>
        <w:rPr>
          <w:rFonts w:hint="eastAsia" w:ascii="仿宋" w:hAnsi="仿宋" w:eastAsia="仿宋" w:cs="仿宋"/>
          <w:b/>
          <w:color w:val="000000"/>
          <w:sz w:val="30"/>
          <w:szCs w:val="30"/>
          <w:lang w:val="en-US" w:eastAsia="zh-CN"/>
        </w:rPr>
        <w:t>内蒙古中路华辰会计师事务所（特殊普通合伙）鄂尔多斯分所</w:t>
      </w:r>
    </w:p>
    <w:p>
      <w:pPr>
        <w:spacing w:line="480" w:lineRule="auto"/>
        <w:rPr>
          <w:b/>
          <w:color w:val="000000"/>
          <w:sz w:val="30"/>
          <w:szCs w:val="30"/>
        </w:rPr>
      </w:pPr>
    </w:p>
    <w:p>
      <w:pPr>
        <w:spacing w:line="480" w:lineRule="auto"/>
        <w:rPr>
          <w:b/>
          <w:color w:val="000000"/>
          <w:sz w:val="30"/>
          <w:szCs w:val="30"/>
        </w:rPr>
        <w:sectPr>
          <w:headerReference r:id="rId10" w:type="first"/>
          <w:footerReference r:id="rId12" w:type="first"/>
          <w:headerReference r:id="rId8" w:type="default"/>
          <w:headerReference r:id="rId9" w:type="even"/>
          <w:footerReference r:id="rId11" w:type="even"/>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tabs>
          <w:tab w:val="left" w:pos="2552"/>
        </w:tabs>
        <w:spacing w:before="468" w:beforeLines="150" w:line="480" w:lineRule="auto"/>
        <w:rPr>
          <w:b/>
          <w:color w:val="000000"/>
          <w:sz w:val="30"/>
          <w:szCs w:val="30"/>
        </w:rPr>
      </w:pPr>
    </w:p>
    <w:p>
      <w:pPr>
        <w:keepNext w:val="0"/>
        <w:keepLines w:val="0"/>
        <w:pageBreakBefore w:val="0"/>
        <w:widowControl w:val="0"/>
        <w:kinsoku/>
        <w:wordWrap/>
        <w:overflowPunct/>
        <w:topLinePunct w:val="0"/>
        <w:autoSpaceDE/>
        <w:autoSpaceDN/>
        <w:bidi w:val="0"/>
        <w:adjustRightInd w:val="0"/>
        <w:snapToGrid w:val="0"/>
        <w:spacing w:before="0" w:after="0" w:line="336" w:lineRule="auto"/>
        <w:ind w:left="0" w:leftChars="0" w:right="0" w:rightChars="0" w:firstLine="0" w:firstLineChars="0"/>
        <w:jc w:val="both"/>
        <w:textAlignment w:val="auto"/>
        <w:outlineLvl w:val="9"/>
        <w:sectPr>
          <w:headerReference r:id="rId13" w:type="default"/>
          <w:footerReference r:id="rId14" w:type="default"/>
          <w:type w:val="continuous"/>
          <w:pgSz w:w="11906" w:h="16838"/>
          <w:pgMar w:top="1928" w:right="1531" w:bottom="1701" w:left="1531" w:header="737" w:footer="851" w:gutter="0"/>
          <w:pgBorders>
            <w:top w:val="none" w:sz="0" w:space="0"/>
            <w:left w:val="none" w:sz="0" w:space="0"/>
            <w:bottom w:val="none" w:sz="0" w:space="0"/>
            <w:right w:val="none" w:sz="0" w:space="0"/>
          </w:pgBorders>
          <w:pgNumType w:fmt="decimal" w:start="1"/>
          <w:cols w:space="720" w:num="1"/>
          <w:docGrid w:type="lines" w:linePitch="408" w:charSpace="0"/>
        </w:sectPr>
      </w:pPr>
    </w:p>
    <w:p>
      <w:pPr>
        <w:spacing w:line="600" w:lineRule="atLeast"/>
        <w:jc w:val="left"/>
        <w:rPr>
          <w:rFonts w:eastAsia="华文行楷"/>
          <w:sz w:val="38"/>
          <w:szCs w:val="38"/>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i w:val="0"/>
          <w:iCs w:val="0"/>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i w:val="0"/>
          <w:iCs w:val="0"/>
          <w:sz w:val="36"/>
          <w:szCs w:val="36"/>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i w:val="0"/>
          <w:iCs w:val="0"/>
          <w:sz w:val="36"/>
          <w:szCs w:val="36"/>
          <w:lang w:val="en-US" w:eastAsia="zh-CN"/>
        </w:rPr>
      </w:pPr>
      <w:bookmarkStart w:id="4" w:name="_GoBack"/>
      <w:bookmarkEnd w:id="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iCs w:val="0"/>
          <w:sz w:val="36"/>
          <w:szCs w:val="36"/>
          <w:lang w:val="en-US" w:eastAsia="zh-CN"/>
        </w:rPr>
      </w:pPr>
      <w:r>
        <w:rPr>
          <w:rFonts w:hint="eastAsia" w:ascii="黑体" w:hAnsi="黑体" w:eastAsia="黑体" w:cs="黑体"/>
          <w:b w:val="0"/>
          <w:bCs w:val="0"/>
          <w:i w:val="0"/>
          <w:iCs w:val="0"/>
          <w:sz w:val="36"/>
          <w:szCs w:val="36"/>
          <w:lang w:val="en-US" w:eastAsia="zh-CN"/>
        </w:rPr>
        <w:t>城镇基础设施建设及社区党群服务中心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i w:val="0"/>
          <w:iCs w:val="0"/>
          <w:sz w:val="36"/>
          <w:szCs w:val="36"/>
        </w:rPr>
      </w:pPr>
      <w:r>
        <w:rPr>
          <w:rFonts w:hint="eastAsia" w:ascii="黑体" w:hAnsi="黑体" w:eastAsia="黑体" w:cs="黑体"/>
          <w:b w:val="0"/>
          <w:bCs w:val="0"/>
          <w:i w:val="0"/>
          <w:iCs w:val="0"/>
          <w:sz w:val="36"/>
          <w:szCs w:val="36"/>
          <w:lang w:val="en-US" w:eastAsia="zh-CN"/>
        </w:rPr>
        <w:t>改造建设资金绩效评价</w:t>
      </w:r>
      <w:r>
        <w:rPr>
          <w:rFonts w:hint="eastAsia" w:ascii="黑体" w:hAnsi="黑体" w:eastAsia="黑体" w:cs="黑体"/>
          <w:b w:val="0"/>
          <w:bCs w:val="0"/>
          <w:i w:val="0"/>
          <w:iCs w:val="0"/>
          <w:sz w:val="36"/>
          <w:szCs w:val="36"/>
        </w:rPr>
        <w:t>报告</w:t>
      </w:r>
    </w:p>
    <w:p>
      <w:pPr>
        <w:jc w:val="right"/>
        <w:rPr>
          <w:rFonts w:hint="eastAsia" w:ascii="仿宋" w:hAnsi="仿宋" w:eastAsia="仿宋" w:cs="仿宋"/>
          <w:b w:val="0"/>
          <w:bCs w:val="0"/>
          <w:sz w:val="24"/>
          <w:szCs w:val="24"/>
          <w:lang w:val="en-US" w:eastAsia="zh-CN"/>
        </w:rPr>
      </w:pPr>
    </w:p>
    <w:p>
      <w:pPr>
        <w:jc w:val="center"/>
        <w:rPr>
          <w:rFonts w:ascii="仿宋_GB2312"/>
          <w:szCs w:val="30"/>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黑体" w:hAnsi="黑体" w:eastAsia="黑体"/>
          <w:sz w:val="28"/>
          <w:szCs w:val="28"/>
        </w:rPr>
      </w:pPr>
      <w:r>
        <w:rPr>
          <w:rFonts w:hint="eastAsia" w:ascii="黑体" w:hAnsi="黑体" w:eastAsia="黑体"/>
          <w:sz w:val="28"/>
          <w:szCs w:val="28"/>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0"/>
        <w:rPr>
          <w:rFonts w:hint="eastAsia" w:ascii="仿宋_GB2312"/>
          <w:sz w:val="28"/>
          <w:szCs w:val="28"/>
          <w:lang w:val="en-US" w:eastAsia="zh-CN"/>
        </w:rPr>
      </w:pPr>
      <w:r>
        <w:rPr>
          <w:rFonts w:hint="eastAsia" w:ascii="仿宋_GB2312"/>
          <w:sz w:val="28"/>
          <w:szCs w:val="28"/>
        </w:rPr>
        <w:t>（一）</w:t>
      </w:r>
      <w:r>
        <w:rPr>
          <w:rFonts w:hint="eastAsia" w:ascii="仿宋_GB2312"/>
          <w:sz w:val="28"/>
          <w:szCs w:val="28"/>
          <w:lang w:val="en-US" w:eastAsia="zh-CN"/>
        </w:rPr>
        <w:t xml:space="preserve">项目背景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0"/>
        <w:rPr>
          <w:rFonts w:hint="default" w:ascii="仿宋_GB2312" w:hAnsi="Times New Roman" w:eastAsia="仿宋_GB2312" w:cs="Times New Roman"/>
          <w:kern w:val="2"/>
          <w:sz w:val="28"/>
          <w:szCs w:val="28"/>
          <w:lang w:val="en-US" w:eastAsia="zh-CN" w:bidi="ar-SA"/>
        </w:rPr>
      </w:pPr>
      <w:r>
        <w:rPr>
          <w:rFonts w:hint="eastAsia" w:ascii="仿宋" w:hAnsi="仿宋" w:eastAsia="仿宋" w:cs="仿宋"/>
          <w:sz w:val="28"/>
          <w:szCs w:val="28"/>
          <w:lang w:val="en-US" w:eastAsia="zh-CN"/>
        </w:rPr>
        <w:t>“十四五”时期，城镇化发展面临的问题挑战和机遇动力并存。一方面，城镇化质量有待进一步提升，户籍制度改革及其配套政策尚未全面落实，城镇基本公共服务尚未覆盖全部常住人口，城市治理能力亟待增强，城乡融合发展任重道远。另一方面，我国仍处在城镇化快速发展期，城镇化动力依然较强；城市物质技术基础不断强化，满足城市居民对优质公共服务和生态环境、健康安全等需求的能力日益增强，城市可持续发展的客观条件更为坚实。当前，我们需要破解问题、应对挑战、紧抓机遇、释放动力，推进新型城镇化不断向纵深发展。纳林陶亥镇当前存在污水处理设施陈旧无法满足城市发展的需求、煤泥矸石违规堆放等问题，经伊金霍洛旗纳林陶亥镇党委会研究决定申请预算资金，用于污水处理厂修建、城镇垃圾清理、城镇环卫保洁等项目，旨在提高城市管理水平和城市居民的生活质量，改善城市卫生环境和城市形象</w:t>
      </w:r>
      <w:r>
        <w:rPr>
          <w:rFonts w:hint="eastAsia" w:ascii="仿宋_GB2312" w:hAnsi="Times New Roman" w:eastAsia="仿宋_GB2312" w:cs="Times New Roman"/>
          <w:kern w:val="2"/>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outlineLvl w:val="0"/>
        <w:rPr>
          <w:rFonts w:hint="eastAsia" w:ascii="仿宋_GB2312"/>
          <w:sz w:val="28"/>
          <w:szCs w:val="28"/>
          <w:lang w:val="en-US" w:eastAsia="zh-CN"/>
        </w:rPr>
      </w:pPr>
      <w:r>
        <w:rPr>
          <w:rFonts w:hint="eastAsia" w:ascii="仿宋" w:hAnsi="仿宋" w:eastAsia="仿宋" w:cs="仿宋"/>
          <w:sz w:val="30"/>
          <w:szCs w:val="30"/>
          <w:lang w:val="en-US" w:eastAsia="zh-CN"/>
        </w:rPr>
        <w:t>（二）</w:t>
      </w:r>
      <w:r>
        <w:rPr>
          <w:rFonts w:hint="eastAsia" w:ascii="仿宋_GB2312"/>
          <w:sz w:val="28"/>
          <w:szCs w:val="28"/>
          <w:lang w:val="en-US" w:eastAsia="zh-CN"/>
        </w:rPr>
        <w:t>项目立项依据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textAlignment w:val="auto"/>
        <w:outlineLvl w:val="0"/>
        <w:rPr>
          <w:rFonts w:hint="default"/>
          <w:lang w:val="en-US" w:eastAsia="zh-CN"/>
        </w:rPr>
      </w:pPr>
      <w:r>
        <w:rPr>
          <w:rFonts w:hint="eastAsia" w:ascii="仿宋_GB2312"/>
          <w:sz w:val="28"/>
          <w:szCs w:val="28"/>
          <w:lang w:val="en-US" w:eastAsia="zh-CN"/>
        </w:rPr>
        <w:t>随着城镇化进程的加速推进，纳林陶亥镇的人口规模不断增加，城市建设和基础设施建设面临着越来越大的挑战。城市及周边乡村垃圾、污水、环境卫生等问题日益突出，对城市、农村居民生活环境和健康产生了严重的影响。为了保持城镇的卫生环境和居民健康，纳林陶亥镇申请部分预算资金用于污水处理厂修建、乡村垃圾清理、城镇环卫保洁等项目，旨在提高城市管理水平和城市居民的生活质量，改善城市卫生环境和城市形象</w:t>
      </w:r>
      <w:r>
        <w:rPr>
          <w:rFonts w:hint="eastAsia" w:ascii="仿宋_GB2312" w:cs="Times New Roman"/>
          <w:kern w:val="2"/>
          <w:sz w:val="28"/>
          <w:szCs w:val="28"/>
          <w:lang w:val="en-US" w:eastAsia="zh-CN" w:bidi="ar-SA"/>
        </w:rPr>
        <w:t>。</w:t>
      </w:r>
    </w:p>
    <w:p>
      <w:pPr>
        <w:numPr>
          <w:ilvl w:val="0"/>
          <w:numId w:val="0"/>
        </w:numPr>
        <w:spacing w:line="600" w:lineRule="exact"/>
        <w:ind w:leftChars="200"/>
        <w:rPr>
          <w:rFonts w:hint="eastAsia" w:ascii="仿宋_GB2312"/>
          <w:sz w:val="28"/>
          <w:szCs w:val="28"/>
          <w:lang w:val="en-US" w:eastAsia="zh-CN"/>
        </w:rPr>
      </w:pPr>
      <w:r>
        <w:rPr>
          <w:rFonts w:hint="eastAsia" w:ascii="仿宋_GB2312"/>
          <w:sz w:val="28"/>
          <w:szCs w:val="28"/>
          <w:lang w:val="en-US" w:eastAsia="zh-CN"/>
        </w:rPr>
        <w:t>（三）项目预算、资金来源及使用情况</w:t>
      </w:r>
    </w:p>
    <w:p>
      <w:pPr>
        <w:numPr>
          <w:ilvl w:val="0"/>
          <w:numId w:val="0"/>
        </w:numPr>
        <w:spacing w:line="600" w:lineRule="exact"/>
        <w:ind w:firstLine="560" w:firstLineChars="200"/>
        <w:rPr>
          <w:rFonts w:hint="default" w:ascii="仿宋_GB2312"/>
          <w:sz w:val="28"/>
          <w:szCs w:val="28"/>
          <w:lang w:val="en-US" w:eastAsia="zh-CN"/>
        </w:rPr>
      </w:pPr>
      <w:r>
        <w:rPr>
          <w:rFonts w:hint="eastAsia" w:ascii="仿宋_GB2312"/>
          <w:sz w:val="28"/>
          <w:szCs w:val="28"/>
          <w:lang w:val="en-US" w:eastAsia="zh-CN"/>
        </w:rPr>
        <w:t>纳林陶亥镇城镇基础设施建设及社区党群服务中心改造建设项目计划总投资639.42万元，实际到位资金639.42万元，累计支付资金639.42万元，其中污水处理厂修建工程支付87.81万元，污水运输支付22.40万元、清理违规煤厂及煤泥矸石堆放支付23.11万元，环卫保洁支付166.50万元，购买社会服务339.60万元。</w:t>
      </w:r>
    </w:p>
    <w:p>
      <w:pPr>
        <w:spacing w:line="600" w:lineRule="exact"/>
        <w:ind w:firstLine="560" w:firstLineChars="200"/>
        <w:rPr>
          <w:rFonts w:hint="default" w:ascii="仿宋_GB2312"/>
          <w:sz w:val="28"/>
          <w:szCs w:val="28"/>
          <w:lang w:val="en-US"/>
        </w:rPr>
      </w:pPr>
      <w:r>
        <w:rPr>
          <w:rFonts w:hint="eastAsia" w:ascii="仿宋_GB2312"/>
          <w:sz w:val="28"/>
          <w:szCs w:val="28"/>
          <w:lang w:val="en-US" w:eastAsia="zh-CN"/>
        </w:rPr>
        <w:t>（四）项目实施内容</w:t>
      </w:r>
    </w:p>
    <w:p>
      <w:pPr>
        <w:numPr>
          <w:ilvl w:val="0"/>
          <w:numId w:val="0"/>
        </w:numPr>
        <w:spacing w:line="600" w:lineRule="exact"/>
        <w:ind w:firstLine="560" w:firstLineChars="200"/>
        <w:outlineLvl w:val="0"/>
        <w:rPr>
          <w:rFonts w:hint="default" w:ascii="仿宋_GB2312"/>
          <w:sz w:val="28"/>
          <w:szCs w:val="28"/>
          <w:lang w:val="en-US" w:eastAsia="zh-CN"/>
        </w:rPr>
      </w:pPr>
      <w:r>
        <w:rPr>
          <w:rFonts w:hint="eastAsia" w:ascii="仿宋_GB2312"/>
          <w:sz w:val="28"/>
          <w:szCs w:val="28"/>
          <w:lang w:val="en-US" w:eastAsia="zh-CN"/>
        </w:rPr>
        <w:t>纳林陶亥镇城镇基础设施建设及社区党群服务中心改造建设项目内容包括：纳林陶亥镇污水处理厂土建主体工程及附属工程、纳林陶亥镇淖尔壕村污水处理厂土建主体工程及附属工程；城镇污水运输工程；清理整治布都阿麻村违规煤厂工程、清理整治大柳塔村边家壕社违规煤厂工程、清理整治毕鲁图村违规煤泥矸石堆放点工程；纳林陶亥镇街道、居民小区、道路、绿化带、公共厕所等环卫保洁服务；购买行政日常服务、基层社区社会服务、社会治理等服务。</w:t>
      </w:r>
    </w:p>
    <w:p>
      <w:pPr>
        <w:numPr>
          <w:ilvl w:val="0"/>
          <w:numId w:val="0"/>
        </w:numPr>
        <w:spacing w:line="600" w:lineRule="exact"/>
        <w:ind w:firstLine="560" w:firstLineChars="200"/>
        <w:rPr>
          <w:rFonts w:hint="default" w:ascii="仿宋_GB2312"/>
          <w:sz w:val="28"/>
          <w:szCs w:val="28"/>
          <w:lang w:val="en-US" w:eastAsia="zh-CN"/>
        </w:rPr>
      </w:pPr>
      <w:r>
        <w:rPr>
          <w:rFonts w:hint="eastAsia" w:ascii="仿宋_GB2312"/>
          <w:sz w:val="28"/>
          <w:szCs w:val="28"/>
          <w:lang w:eastAsia="zh-CN"/>
        </w:rPr>
        <w:t>（五）</w:t>
      </w:r>
      <w:r>
        <w:rPr>
          <w:rFonts w:hint="eastAsia" w:ascii="仿宋_GB2312"/>
          <w:sz w:val="28"/>
          <w:szCs w:val="28"/>
        </w:rPr>
        <w:t>项目绩效目标。</w:t>
      </w:r>
    </w:p>
    <w:p>
      <w:pPr>
        <w:spacing w:line="560" w:lineRule="exact"/>
        <w:ind w:firstLine="640"/>
        <w:rPr>
          <w:rFonts w:hint="default"/>
          <w:sz w:val="28"/>
          <w:szCs w:val="28"/>
          <w:lang w:val="en-US" w:eastAsia="zh-CN"/>
        </w:rPr>
      </w:pPr>
      <w:r>
        <w:rPr>
          <w:rFonts w:hint="eastAsia" w:ascii="仿宋_GB2312"/>
          <w:sz w:val="28"/>
          <w:szCs w:val="28"/>
          <w:lang w:val="en-US" w:eastAsia="zh-CN"/>
        </w:rPr>
        <w:t>通过项目建设，切实完善城镇基础设施建设及保障各项民生社会事业有序开展，贯彻坚持生态优先，绿色发展，以人民为中心理念，提高城市管理水平和城市居民的生活质量，改善城市卫生环境和城市形象。</w:t>
      </w:r>
    </w:p>
    <w:p>
      <w:pPr>
        <w:spacing w:line="600" w:lineRule="exact"/>
        <w:ind w:firstLine="560" w:firstLineChars="200"/>
        <w:rPr>
          <w:rFonts w:hint="eastAsia" w:ascii="仿宋_GB2312"/>
          <w:sz w:val="28"/>
          <w:szCs w:val="28"/>
        </w:rPr>
      </w:pPr>
      <w:r>
        <w:rPr>
          <w:rFonts w:hint="eastAsia" w:ascii="黑体" w:hAnsi="黑体" w:eastAsia="黑体"/>
          <w:sz w:val="28"/>
          <w:szCs w:val="28"/>
          <w:lang w:val="en-US" w:eastAsia="zh-CN"/>
        </w:rPr>
        <w:t>二</w:t>
      </w:r>
      <w:r>
        <w:rPr>
          <w:rFonts w:hint="eastAsia" w:ascii="黑体" w:hAnsi="黑体" w:eastAsia="黑体"/>
          <w:sz w:val="28"/>
          <w:szCs w:val="28"/>
        </w:rPr>
        <w:t>、综合评价情况及评价结论</w:t>
      </w:r>
    </w:p>
    <w:p>
      <w:pPr>
        <w:spacing w:line="600" w:lineRule="exact"/>
        <w:ind w:firstLine="560" w:firstLineChars="200"/>
        <w:rPr>
          <w:rFonts w:hint="default" w:ascii="仿宋_GB2312"/>
          <w:sz w:val="28"/>
          <w:szCs w:val="28"/>
          <w:highlight w:val="none"/>
          <w:lang w:val="en-US" w:eastAsia="zh-CN"/>
        </w:rPr>
      </w:pPr>
      <w:r>
        <w:rPr>
          <w:rFonts w:hint="eastAsia" w:ascii="仿宋_GB2312"/>
          <w:sz w:val="28"/>
          <w:szCs w:val="28"/>
          <w:highlight w:val="none"/>
          <w:lang w:val="en-US" w:eastAsia="zh-CN"/>
        </w:rPr>
        <w:t>（一）综合评价分析情况</w:t>
      </w:r>
    </w:p>
    <w:p>
      <w:pPr>
        <w:spacing w:line="600" w:lineRule="exact"/>
        <w:ind w:firstLine="560" w:firstLineChars="200"/>
        <w:rPr>
          <w:rFonts w:hint="eastAsia" w:ascii="仿宋_GB2312"/>
          <w:sz w:val="28"/>
          <w:szCs w:val="28"/>
          <w:highlight w:val="none"/>
          <w:lang w:val="en-US" w:eastAsia="zh-CN"/>
        </w:rPr>
      </w:pPr>
      <w:r>
        <w:rPr>
          <w:rFonts w:hint="eastAsia" w:ascii="仿宋_GB2312"/>
          <w:sz w:val="28"/>
          <w:szCs w:val="28"/>
          <w:highlight w:val="none"/>
          <w:lang w:val="en-US" w:eastAsia="zh-CN"/>
        </w:rPr>
        <w:t>根据绩效分析，纳林陶亥镇城镇基础设施建设及社区党群服务中心升级改造项目立项依据充分，与部门职责相适应。项目资金使用合规、财务管理制度较为健全、项目管理制度健全，通过项目的实施能够有效提高城市管理水平和城市居民的生活质量，改善城市卫生环境和城市形象。项目存在立项程序不规范，未编制项目预算的情况。</w:t>
      </w:r>
    </w:p>
    <w:p>
      <w:pPr>
        <w:spacing w:line="6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（二）评价结论</w:t>
      </w:r>
    </w:p>
    <w:p>
      <w:pPr>
        <w:numPr>
          <w:ilvl w:val="0"/>
          <w:numId w:val="0"/>
        </w:numPr>
        <w:spacing w:line="600" w:lineRule="exact"/>
        <w:ind w:lef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结合项目绩效目标要求，通过内部团队讨论与交流、文献比较分析等方法，对绩效评价指标体系进行研究，由评价小组设计并经委托单位通过的评价指标体系及评分标准，通过现场调查、数据采集和访谈工作，针对纳林陶亥镇城镇基础设施建设及社区党群服务中心升级改造项目资金使用进行客观评价，最终评分结果为85.9分，绩效评价为“良”。</w:t>
      </w:r>
    </w:p>
    <w:p>
      <w:pPr>
        <w:numPr>
          <w:ilvl w:val="0"/>
          <w:numId w:val="0"/>
        </w:numPr>
        <w:spacing w:line="600" w:lineRule="exact"/>
        <w:ind w:leftChars="0"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三、</w:t>
      </w:r>
      <w:r>
        <w:rPr>
          <w:rFonts w:hint="eastAsia" w:ascii="黑体" w:hAnsi="黑体" w:eastAsia="黑体" w:cs="黑体"/>
          <w:b w:val="0"/>
          <w:bCs w:val="0"/>
          <w:sz w:val="28"/>
          <w:szCs w:val="28"/>
        </w:rPr>
        <w:t>主要经验及做法</w:t>
      </w:r>
    </w:p>
    <w:p>
      <w:pPr>
        <w:numPr>
          <w:ilvl w:val="0"/>
          <w:numId w:val="0"/>
        </w:numPr>
        <w:spacing w:line="600" w:lineRule="exact"/>
        <w:ind w:lef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纳</w:t>
      </w:r>
      <w:r>
        <w:rPr>
          <w:rFonts w:hint="eastAsia" w:ascii="仿宋" w:hAnsi="仿宋" w:eastAsia="仿宋" w:cs="仿宋"/>
          <w:sz w:val="28"/>
          <w:szCs w:val="28"/>
          <w:highlight w:val="none"/>
          <w:lang w:val="en-US" w:eastAsia="zh-CN"/>
        </w:rPr>
        <w:t>林陶亥镇城镇基础设施建设及社区党群服务中心升级改造项目的实施</w:t>
      </w:r>
      <w:r>
        <w:rPr>
          <w:rFonts w:hint="eastAsia" w:ascii="仿宋" w:hAnsi="仿宋" w:eastAsia="仿宋" w:cs="仿宋"/>
          <w:sz w:val="28"/>
          <w:szCs w:val="28"/>
          <w:lang w:val="en-US" w:eastAsia="zh-CN"/>
        </w:rPr>
        <w:t>，能有效提升宣传思想作用，为传达党的精神、宣传党的思想、深入学习贯彻习近平新时代中国特色社会主义思想等提供了场所。</w:t>
      </w:r>
      <w:r>
        <w:rPr>
          <w:rFonts w:hint="eastAsia" w:ascii="仿宋" w:hAnsi="仿宋" w:eastAsia="仿宋" w:cs="仿宋"/>
          <w:sz w:val="28"/>
          <w:szCs w:val="28"/>
          <w:highlight w:val="none"/>
          <w:lang w:val="en-US" w:eastAsia="zh-CN"/>
        </w:rPr>
        <w:t>项目建成后，有效处理了城镇、乡村产生的污水和垃圾，减少了环境污染和恶臭气味，为城乡居民提供了一个宜居、宜人的生活环境，改善居民的生活品质和居住体验。同时，也将进一步提升我们城市的形象和民生水平，为全面建设美丽城镇、乡村，营造和谐人居环境奠定坚实基础</w:t>
      </w:r>
      <w:r>
        <w:rPr>
          <w:rFonts w:hint="eastAsia" w:ascii="仿宋" w:hAnsi="仿宋" w:eastAsia="仿宋" w:cs="仿宋"/>
          <w:sz w:val="28"/>
          <w:szCs w:val="28"/>
          <w:lang w:val="en-US" w:eastAsia="zh-CN"/>
        </w:rPr>
        <w:t>。</w:t>
      </w:r>
    </w:p>
    <w:p>
      <w:pPr>
        <w:numPr>
          <w:ilvl w:val="0"/>
          <w:numId w:val="0"/>
        </w:numPr>
        <w:spacing w:line="600" w:lineRule="exact"/>
        <w:ind w:leftChars="0" w:firstLine="560" w:firstLineChars="200"/>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四、</w:t>
      </w:r>
      <w:r>
        <w:rPr>
          <w:rFonts w:hint="eastAsia" w:ascii="黑体" w:hAnsi="黑体" w:eastAsia="黑体" w:cs="黑体"/>
          <w:b w:val="0"/>
          <w:bCs w:val="0"/>
          <w:sz w:val="28"/>
          <w:szCs w:val="28"/>
        </w:rPr>
        <w:t>存在的问题</w:t>
      </w:r>
    </w:p>
    <w:p>
      <w:pPr>
        <w:numPr>
          <w:ilvl w:val="0"/>
          <w:numId w:val="0"/>
        </w:numPr>
        <w:spacing w:line="60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1.项目立项不规范</w:t>
      </w:r>
    </w:p>
    <w:p>
      <w:pPr>
        <w:numPr>
          <w:ilvl w:val="0"/>
          <w:numId w:val="0"/>
        </w:numPr>
        <w:spacing w:line="6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纳林陶亥镇城镇基础设施建设及社区党群服务中心升级改造项目未按照规定的程序申请设立、缺少相应的审批程序、没有必要的实施方案、可行性研究、专家论证、风险评估等。</w:t>
      </w:r>
    </w:p>
    <w:p>
      <w:pPr>
        <w:spacing w:line="6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2.未编制项目预算</w:t>
      </w:r>
    </w:p>
    <w:p>
      <w:pPr>
        <w:spacing w:line="600" w:lineRule="exact"/>
        <w:ind w:firstLine="560" w:firstLineChars="200"/>
        <w:rPr>
          <w:rFonts w:hint="eastAsia" w:ascii="黑体" w:hAnsi="黑体" w:eastAsia="黑体" w:cs="黑体"/>
          <w:b w:val="0"/>
          <w:bCs w:val="0"/>
          <w:sz w:val="30"/>
          <w:szCs w:val="30"/>
          <w:lang w:val="en-US" w:eastAsia="zh-CN"/>
        </w:rPr>
      </w:pPr>
      <w:r>
        <w:rPr>
          <w:rFonts w:hint="eastAsia" w:ascii="仿宋" w:hAnsi="仿宋" w:eastAsia="仿宋" w:cs="仿宋"/>
          <w:sz w:val="28"/>
          <w:szCs w:val="28"/>
          <w:highlight w:val="none"/>
          <w:lang w:val="en-US" w:eastAsia="zh-CN"/>
        </w:rPr>
        <w:t>纳林陶亥镇城镇基础设施建设及社区党群服务中心升级改造项目</w:t>
      </w:r>
      <w:r>
        <w:rPr>
          <w:rFonts w:hint="eastAsia" w:ascii="仿宋" w:hAnsi="仿宋" w:eastAsia="仿宋" w:cs="仿宋"/>
          <w:sz w:val="28"/>
          <w:szCs w:val="28"/>
          <w:lang w:val="en-US" w:eastAsia="zh-CN"/>
        </w:rPr>
        <w:t>仅在项目资金请示中列明了项目总投资</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lang w:val="en-US" w:eastAsia="zh-CN"/>
        </w:rPr>
        <w:t>未按照预算编制要求编制项目预算。</w:t>
      </w:r>
    </w:p>
    <w:p>
      <w:pPr>
        <w:numPr>
          <w:ilvl w:val="0"/>
          <w:numId w:val="0"/>
        </w:numPr>
        <w:spacing w:line="600" w:lineRule="exact"/>
        <w:ind w:leftChars="200"/>
        <w:rPr>
          <w:rFonts w:hint="eastAsia" w:ascii="黑体" w:hAnsi="黑体" w:eastAsia="黑体" w:cs="黑体"/>
          <w:b w:val="0"/>
          <w:bCs w:val="0"/>
          <w:sz w:val="30"/>
          <w:szCs w:val="30"/>
        </w:rPr>
      </w:pPr>
      <w:r>
        <w:rPr>
          <w:rFonts w:hint="eastAsia" w:ascii="黑体" w:hAnsi="黑体" w:eastAsia="黑体" w:cs="黑体"/>
          <w:b w:val="0"/>
          <w:bCs w:val="0"/>
          <w:sz w:val="30"/>
          <w:szCs w:val="30"/>
          <w:lang w:val="en-US" w:eastAsia="zh-CN"/>
        </w:rPr>
        <w:t>五、相</w:t>
      </w:r>
      <w:r>
        <w:rPr>
          <w:rFonts w:hint="eastAsia" w:ascii="黑体" w:hAnsi="黑体" w:eastAsia="黑体" w:cs="黑体"/>
          <w:b w:val="0"/>
          <w:bCs w:val="0"/>
          <w:sz w:val="30"/>
          <w:szCs w:val="30"/>
        </w:rPr>
        <w:t>关建议</w:t>
      </w:r>
    </w:p>
    <w:p>
      <w:pPr>
        <w:numPr>
          <w:ilvl w:val="0"/>
          <w:numId w:val="0"/>
        </w:numPr>
        <w:spacing w:line="6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1.加强项目立项规范性</w:t>
      </w:r>
    </w:p>
    <w:p>
      <w:pPr>
        <w:spacing w:line="6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实施单位应当建立完善的立项流程和文件，确保项目背景、目标和范围的明确性和合理性，严格按照程序进行立项审批，包括项目申请、审批和可行性研究等环节，确保项目的合规性和可行性，同时确保项目立项符合相关法律法规和程序要求。</w:t>
      </w:r>
    </w:p>
    <w:p>
      <w:pPr>
        <w:spacing w:line="60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2.强化预算编制</w:t>
      </w:r>
    </w:p>
    <w:p>
      <w:pPr>
        <w:spacing w:line="6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实施单位应当在编制预算时首先进行充分的科学论证，包括市场调研、成本估算和风险评估等。其次，细化费用明细，将预算划分为不同的项目阶段或任务，确保预算的透明度和准确性。再次，考虑项目实施过程中可能出现的风险和变动因素，制定相应的应对措施和预留预算。最后，定期进行预算的监控和调整，确保项目的预算控制和成本效益。</w:t>
      </w:r>
    </w:p>
    <w:p>
      <w:pPr>
        <w:pStyle w:val="13"/>
        <w:rPr>
          <w:rFonts w:hint="default"/>
          <w:lang w:val="en-US" w:eastAsia="zh-CN"/>
        </w:rPr>
      </w:pPr>
    </w:p>
    <w:sectPr>
      <w:headerReference r:id="rId15" w:type="default"/>
      <w:footerReference r:id="rId16" w:type="default"/>
      <w:type w:val="continuous"/>
      <w:pgSz w:w="11906" w:h="16838"/>
      <w:pgMar w:top="1928" w:right="1531" w:bottom="1701" w:left="1531" w:header="737" w:footer="851" w:gutter="0"/>
      <w:pgBorders>
        <w:top w:val="none" w:sz="0" w:space="0"/>
        <w:left w:val="none" w:sz="0" w:space="0"/>
        <w:bottom w:val="none" w:sz="0" w:space="0"/>
        <w:right w:val="none" w:sz="0" w:space="0"/>
      </w:pgBorders>
      <w:pgNumType w:fmt="decimal"/>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隶书" w:hAnsi="隶书" w:eastAsia="隶书" w:cs="隶书"/>
      </w:rPr>
    </w:pPr>
    <w:r>
      <w:rPr>
        <w:sz w:val="18"/>
      </w:rPr>
      <mc:AlternateContent>
        <mc:Choice Requires="wps">
          <w:drawing>
            <wp:anchor distT="0" distB="0" distL="114300" distR="114300" simplePos="0" relativeHeight="251660288" behindDoc="0" locked="0" layoutInCell="1" allowOverlap="1">
              <wp:simplePos x="0" y="0"/>
              <wp:positionH relativeFrom="margin">
                <wp:posOffset>2732405</wp:posOffset>
              </wp:positionH>
              <wp:positionV relativeFrom="paragraph">
                <wp:posOffset>207645</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lang w:val="en-US" w:eastAsia="zh-CN"/>
                            </w:rPr>
                            <w:t>1</w:t>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left:215.15pt;margin-top:16.35pt;height:144pt;width:144pt;mso-position-horizontal-relative:margin;mso-wrap-style:none;z-index:251660288;mso-width-relative:page;mso-height-relative:page;" filled="f" stroked="f" coordsize="21600,21600" o:gfxdata="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RimhHVAAAACgEAAA8AAAAA&#10;AAAAAQAgAAAAIgAAAGRycy9kb3ducmV2LnhtbFBLAQIUABQAAAAIAIdO4kD2w+r63gEAAL8DAAAO&#10;AAAAAAAAAAEAIAAAACQBAABkcnMvZTJvRG9jLnhtbFBLBQYAAAAABgAGAFkBAAB0BQAAAAA=&#10;">
              <v:fill on="f" focussize="0,0"/>
              <v:stroke on="f"/>
              <v:imagedata o:title=""/>
              <o:lock v:ext="edit" aspectratio="f"/>
              <v:textbox inset="0mm,0mm,0mm,0mm" style="mso-fit-shape-to-text:t;">
                <w:txbxContent>
                  <w:p>
                    <w:pPr>
                      <w:pStyle w:val="5"/>
                    </w:pPr>
                    <w:r>
                      <w:rPr>
                        <w:rFonts w:hint="eastAsia"/>
                        <w:lang w:val="en-US" w:eastAsia="zh-CN"/>
                      </w:rPr>
                      <w:t>1</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17145</wp:posOffset>
              </wp:positionV>
              <wp:extent cx="5763260" cy="13335"/>
              <wp:effectExtent l="0" t="6350" r="8890" b="8890"/>
              <wp:wrapNone/>
              <wp:docPr id="12" name="直线 13"/>
              <wp:cNvGraphicFramePr/>
              <a:graphic xmlns:a="http://schemas.openxmlformats.org/drawingml/2006/main">
                <a:graphicData uri="http://schemas.microsoft.com/office/word/2010/wordprocessingShape">
                  <wps:wsp>
                    <wps:cNvCnPr/>
                    <wps:spPr>
                      <a:xfrm>
                        <a:off x="0" y="0"/>
                        <a:ext cx="6082665" cy="571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13" o:spid="_x0000_s1026" o:spt="20" style="position:absolute;left:0pt;margin-left:2.25pt;margin-top:1.35pt;height:1.05pt;width:453.8pt;z-index:251659264;mso-width-relative:page;mso-height-relative:page;" filled="f" stroked="t" coordsize="21600,21600" o:gfxdata="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fdzrtQAAAAFAQAADwAAAAAAAAABACAAAAAiAAAAZHJzL2Rvd25yZXYueG1sUEsBAhQAFAAAAAgA&#10;h07iQNvmFLTwAQAA7wMAAA4AAAAAAAAAAQAgAAAAIwEAAGRycy9lMm9Eb2MueG1sUEsFBgAAAAAG&#10;AAYAWQEAAIUFAAAAAA==&#10;">
              <v:fill on="f" focussize="0,0"/>
              <v:stroke weight="1pt" color="#000000" joinstyle="round"/>
              <v:imagedata o:title=""/>
              <o:lock v:ext="edit" aspectratio="f"/>
            </v:line>
          </w:pict>
        </mc:Fallback>
      </mc:AlternateContent>
    </w:r>
    <w:r>
      <w:rPr>
        <w:rFonts w:hint="eastAsia" w:ascii="隶书" w:hAnsi="隶书" w:eastAsia="隶书" w:cs="隶书"/>
      </w:rPr>
      <w:t>内蒙古中路华辰会计师事务所（特普）</w:t>
    </w:r>
    <w:r>
      <w:rPr>
        <w:rFonts w:hint="eastAsia" w:ascii="隶书" w:hAnsi="隶书" w:eastAsia="隶书" w:cs="隶书"/>
        <w:lang w:val="en-US" w:eastAsia="zh-CN"/>
      </w:rPr>
      <w:t>鄂尔多斯分所</w:t>
    </w:r>
    <w:r>
      <w:rPr>
        <w:rFonts w:hint="eastAsia" w:ascii="隶书" w:hAnsi="隶书" w:eastAsia="隶书" w:cs="隶书"/>
      </w:rPr>
      <w:t xml:space="preserve"> </w:t>
    </w:r>
    <w:r>
      <w:rPr>
        <w:rFonts w:hint="eastAsia" w:ascii="隶书" w:hAnsi="隶书" w:eastAsia="隶书" w:cs="隶书"/>
        <w:lang w:val="en-US" w:eastAsia="zh-CN"/>
      </w:rPr>
      <w:t xml:space="preserve"> </w:t>
    </w:r>
    <w:r>
      <w:rPr>
        <w:rFonts w:hint="eastAsia" w:ascii="隶书" w:hAnsi="隶书" w:eastAsia="隶书" w:cs="隶书"/>
      </w:rPr>
      <w:t>电话：047</w:t>
    </w:r>
    <w:r>
      <w:rPr>
        <w:rFonts w:hint="eastAsia" w:ascii="隶书" w:hAnsi="隶书" w:eastAsia="隶书" w:cs="隶书"/>
        <w:lang w:val="en-US" w:eastAsia="zh-CN"/>
      </w:rPr>
      <w:t>7</w:t>
    </w:r>
    <w:r>
      <w:rPr>
        <w:rFonts w:hint="eastAsia" w:ascii="隶书" w:hAnsi="隶书" w:eastAsia="隶书" w:cs="隶书"/>
      </w:rPr>
      <w:t>-</w:t>
    </w:r>
    <w:r>
      <w:rPr>
        <w:rFonts w:hint="eastAsia" w:ascii="隶书" w:hAnsi="隶书" w:eastAsia="隶书" w:cs="隶书"/>
        <w:lang w:val="en-US" w:eastAsia="zh-CN"/>
      </w:rPr>
      <w:t>2260937</w:t>
    </w:r>
    <w:r>
      <w:rPr>
        <w:rFonts w:hint="eastAsia" w:ascii="隶书" w:hAnsi="隶书" w:eastAsia="隶书" w:cs="隶书"/>
      </w:rPr>
      <w:t xml:space="preserve">   地址：</w:t>
    </w:r>
    <w:r>
      <w:rPr>
        <w:rFonts w:hint="eastAsia" w:ascii="隶书" w:hAnsi="隶书" w:eastAsia="隶书" w:cs="隶书"/>
        <w:lang w:val="en-US" w:eastAsia="zh-CN"/>
      </w:rPr>
      <w:t>伊金霍洛旗阿镇水岸金钻大厦A座2201室</w:t>
    </w: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Times New Roman" w:hAnsi="Times New Roman" w:cs="Times New Roman"/>
        <w:i/>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p>
  <w:p>
    <w:pPr>
      <w:pStyle w:val="6"/>
      <w:pBdr>
        <w:bottom w:val="none" w:color="auto" w:sz="0" w:space="1"/>
      </w:pBdr>
      <w:ind w:firstLine="360"/>
    </w:pPr>
  </w:p>
  <w:p>
    <w:pPr>
      <w:pStyle w:val="6"/>
      <w:pBdr>
        <w:bottom w:val="none" w:color="auto" w:sz="0" w:space="1"/>
      </w:pBdr>
      <w:ind w:firstLine="360"/>
    </w:pPr>
  </w:p>
  <w:p>
    <w:pPr>
      <w:pStyle w:val="6"/>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none" w:color="auto" w:sz="0" w:space="0"/>
      </w:pBdr>
      <w:shd w:val="clear" w:color="auto" w:fill="FFFFFF"/>
      <w:ind w:left="5400" w:leftChars="400" w:hanging="4200" w:hangingChars="1400"/>
      <w:jc w:val="both"/>
      <w:outlineLvl w:val="0"/>
      <w:rPr>
        <w:rFonts w:hint="eastAsia" w:ascii="微软雅黑" w:hAnsi="微软雅黑" w:eastAsia="微软雅黑"/>
        <w:b w:val="0"/>
        <w:bCs w:val="0"/>
        <w:color w:val="2F2F2F"/>
        <w:kern w:val="36"/>
        <w:sz w:val="18"/>
        <w:szCs w:val="18"/>
      </w:rPr>
    </w:pPr>
    <w:r>
      <w:rPr>
        <w:rFonts w:hint="eastAsia"/>
      </w:rPr>
      <w:t xml:space="preserve">               </w:t>
    </w:r>
  </w:p>
  <w:p>
    <w:pPr>
      <w:pStyle w:val="6"/>
      <w:pBdr>
        <w:bottom w:val="none" w:color="auto" w:sz="0" w:space="1"/>
      </w:pBdr>
      <w:jc w:val="both"/>
      <w:rPr>
        <w:rFonts w:hint="eastAsia" w:ascii="仿宋" w:hAnsi="仿宋" w:eastAsia="仿宋" w:cs="仿宋"/>
        <w:b w:val="0"/>
        <w:bCs/>
        <w:i/>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ind w:firstLine="360"/>
      <w:jc w:val="right"/>
      <w:rPr>
        <w:rFonts w:hint="default" w:eastAsia="仿宋_GB231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ZTdjZDgyMWJmMjRlNTU5OGMxYjdmNjdmZmRlMWMifQ=="/>
  </w:docVars>
  <w:rsids>
    <w:rsidRoot w:val="00000000"/>
    <w:rsid w:val="00700DD1"/>
    <w:rsid w:val="01391A56"/>
    <w:rsid w:val="0147021A"/>
    <w:rsid w:val="016E23E6"/>
    <w:rsid w:val="02054FF1"/>
    <w:rsid w:val="02325DAF"/>
    <w:rsid w:val="02351377"/>
    <w:rsid w:val="036D18B2"/>
    <w:rsid w:val="03C86602"/>
    <w:rsid w:val="03DE7D2F"/>
    <w:rsid w:val="04335702"/>
    <w:rsid w:val="056E13FF"/>
    <w:rsid w:val="0578552C"/>
    <w:rsid w:val="057E3ACF"/>
    <w:rsid w:val="05AB7716"/>
    <w:rsid w:val="06385A43"/>
    <w:rsid w:val="06BA486D"/>
    <w:rsid w:val="07E95504"/>
    <w:rsid w:val="0857338B"/>
    <w:rsid w:val="087A71C0"/>
    <w:rsid w:val="08A75E84"/>
    <w:rsid w:val="08AA16A2"/>
    <w:rsid w:val="08D475CE"/>
    <w:rsid w:val="090F0F1E"/>
    <w:rsid w:val="098176DB"/>
    <w:rsid w:val="099948FD"/>
    <w:rsid w:val="09A70C86"/>
    <w:rsid w:val="0B381145"/>
    <w:rsid w:val="0C5340C9"/>
    <w:rsid w:val="0C8F394A"/>
    <w:rsid w:val="0D3020E8"/>
    <w:rsid w:val="0D714BAB"/>
    <w:rsid w:val="0DBE7CAA"/>
    <w:rsid w:val="0E336117"/>
    <w:rsid w:val="0E9953A0"/>
    <w:rsid w:val="0FC13941"/>
    <w:rsid w:val="0FD02E8A"/>
    <w:rsid w:val="10F2169E"/>
    <w:rsid w:val="110507CC"/>
    <w:rsid w:val="11732409"/>
    <w:rsid w:val="11C52008"/>
    <w:rsid w:val="11FA7E29"/>
    <w:rsid w:val="13F866C4"/>
    <w:rsid w:val="144016E4"/>
    <w:rsid w:val="14F50E56"/>
    <w:rsid w:val="154F5B24"/>
    <w:rsid w:val="16614405"/>
    <w:rsid w:val="16A86BD7"/>
    <w:rsid w:val="178C784F"/>
    <w:rsid w:val="17AF2676"/>
    <w:rsid w:val="17CF7E62"/>
    <w:rsid w:val="188B4249"/>
    <w:rsid w:val="18E51BB7"/>
    <w:rsid w:val="18FC4C0E"/>
    <w:rsid w:val="1A4C1518"/>
    <w:rsid w:val="1BDC68CC"/>
    <w:rsid w:val="1C053C4A"/>
    <w:rsid w:val="1C422BD3"/>
    <w:rsid w:val="1C681DEE"/>
    <w:rsid w:val="1DD9648A"/>
    <w:rsid w:val="1E425839"/>
    <w:rsid w:val="1E743C08"/>
    <w:rsid w:val="1E8140E5"/>
    <w:rsid w:val="1EF9311B"/>
    <w:rsid w:val="1F02682F"/>
    <w:rsid w:val="1F971B1C"/>
    <w:rsid w:val="2051781B"/>
    <w:rsid w:val="21BA6BAF"/>
    <w:rsid w:val="22486CAC"/>
    <w:rsid w:val="226C586B"/>
    <w:rsid w:val="22824BB1"/>
    <w:rsid w:val="24E83B3F"/>
    <w:rsid w:val="254871E9"/>
    <w:rsid w:val="25592D3B"/>
    <w:rsid w:val="259F2E44"/>
    <w:rsid w:val="271E402F"/>
    <w:rsid w:val="283C304E"/>
    <w:rsid w:val="2890190E"/>
    <w:rsid w:val="28F22328"/>
    <w:rsid w:val="291103AB"/>
    <w:rsid w:val="293F5300"/>
    <w:rsid w:val="2974050E"/>
    <w:rsid w:val="299B550B"/>
    <w:rsid w:val="29CE019B"/>
    <w:rsid w:val="2ADD69F0"/>
    <w:rsid w:val="2B9C161D"/>
    <w:rsid w:val="2BAF7D93"/>
    <w:rsid w:val="2BBB2E69"/>
    <w:rsid w:val="2C107158"/>
    <w:rsid w:val="2C4958B7"/>
    <w:rsid w:val="2C4B162F"/>
    <w:rsid w:val="2C9D5134"/>
    <w:rsid w:val="2CC32476"/>
    <w:rsid w:val="2E410B2D"/>
    <w:rsid w:val="2E4C02E0"/>
    <w:rsid w:val="2EA72C4B"/>
    <w:rsid w:val="2EAA30F3"/>
    <w:rsid w:val="2EBA2BFC"/>
    <w:rsid w:val="2EFE5FB2"/>
    <w:rsid w:val="2F36417A"/>
    <w:rsid w:val="33024516"/>
    <w:rsid w:val="333718D5"/>
    <w:rsid w:val="338900A3"/>
    <w:rsid w:val="33AA1331"/>
    <w:rsid w:val="34F17D52"/>
    <w:rsid w:val="354237EC"/>
    <w:rsid w:val="36B479D3"/>
    <w:rsid w:val="37B07132"/>
    <w:rsid w:val="38404CEE"/>
    <w:rsid w:val="385C4BC4"/>
    <w:rsid w:val="3A8B3331"/>
    <w:rsid w:val="3C320116"/>
    <w:rsid w:val="3E2E086B"/>
    <w:rsid w:val="3F9B3916"/>
    <w:rsid w:val="3FA21D64"/>
    <w:rsid w:val="3FAA7896"/>
    <w:rsid w:val="403501D5"/>
    <w:rsid w:val="41A81D04"/>
    <w:rsid w:val="41E70B21"/>
    <w:rsid w:val="461E096C"/>
    <w:rsid w:val="466F4FBB"/>
    <w:rsid w:val="4771048C"/>
    <w:rsid w:val="47D1205D"/>
    <w:rsid w:val="48603CB2"/>
    <w:rsid w:val="49727A63"/>
    <w:rsid w:val="4A7264E9"/>
    <w:rsid w:val="4A8427DD"/>
    <w:rsid w:val="4BF12C26"/>
    <w:rsid w:val="4CD62D3F"/>
    <w:rsid w:val="4D636596"/>
    <w:rsid w:val="4D7C4474"/>
    <w:rsid w:val="4D9825DB"/>
    <w:rsid w:val="4DD54445"/>
    <w:rsid w:val="4EF86B59"/>
    <w:rsid w:val="4F861C75"/>
    <w:rsid w:val="5083233A"/>
    <w:rsid w:val="508A2D68"/>
    <w:rsid w:val="52377C47"/>
    <w:rsid w:val="525B26D6"/>
    <w:rsid w:val="53213865"/>
    <w:rsid w:val="532D0095"/>
    <w:rsid w:val="543A4E71"/>
    <w:rsid w:val="56D1320C"/>
    <w:rsid w:val="571A684E"/>
    <w:rsid w:val="59772AC2"/>
    <w:rsid w:val="59AA2EA1"/>
    <w:rsid w:val="5A144AD3"/>
    <w:rsid w:val="5A3A49C0"/>
    <w:rsid w:val="5B146880"/>
    <w:rsid w:val="5D142F08"/>
    <w:rsid w:val="5E0771FD"/>
    <w:rsid w:val="5E0C3D74"/>
    <w:rsid w:val="5E4071C9"/>
    <w:rsid w:val="5E435D5B"/>
    <w:rsid w:val="5FA42B27"/>
    <w:rsid w:val="600E7FED"/>
    <w:rsid w:val="6019339A"/>
    <w:rsid w:val="6042624C"/>
    <w:rsid w:val="60F021CA"/>
    <w:rsid w:val="625E1399"/>
    <w:rsid w:val="62606DC8"/>
    <w:rsid w:val="63E44A39"/>
    <w:rsid w:val="6408782B"/>
    <w:rsid w:val="64E92644"/>
    <w:rsid w:val="67255A64"/>
    <w:rsid w:val="67902011"/>
    <w:rsid w:val="68531770"/>
    <w:rsid w:val="687A6354"/>
    <w:rsid w:val="69406369"/>
    <w:rsid w:val="6A385882"/>
    <w:rsid w:val="6AE7522D"/>
    <w:rsid w:val="6B7A3E73"/>
    <w:rsid w:val="6D601614"/>
    <w:rsid w:val="6E5B28DF"/>
    <w:rsid w:val="6ECF7B25"/>
    <w:rsid w:val="70E27BE8"/>
    <w:rsid w:val="7165473E"/>
    <w:rsid w:val="720F7FD6"/>
    <w:rsid w:val="72DC2873"/>
    <w:rsid w:val="733A2DE4"/>
    <w:rsid w:val="73516DD3"/>
    <w:rsid w:val="73AB5EC8"/>
    <w:rsid w:val="74471CA9"/>
    <w:rsid w:val="74661A5B"/>
    <w:rsid w:val="75260C6E"/>
    <w:rsid w:val="75D9424E"/>
    <w:rsid w:val="76D575A8"/>
    <w:rsid w:val="76D61714"/>
    <w:rsid w:val="777965C3"/>
    <w:rsid w:val="77AD54A7"/>
    <w:rsid w:val="793D0F8C"/>
    <w:rsid w:val="79770B3E"/>
    <w:rsid w:val="7A270914"/>
    <w:rsid w:val="7AE87144"/>
    <w:rsid w:val="7BB302F8"/>
    <w:rsid w:val="7D28691A"/>
    <w:rsid w:val="7DBA5537"/>
    <w:rsid w:val="7DFD2757"/>
    <w:rsid w:val="7ECE4436"/>
    <w:rsid w:val="7EE62C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unhideWhenUsed/>
    <w:qFormat/>
    <w:uiPriority w:val="99"/>
    <w:pPr>
      <w:widowControl/>
      <w:spacing w:before="100" w:beforeAutospacing="1" w:after="120" w:line="273" w:lineRule="auto"/>
      <w:jc w:val="left"/>
    </w:pPr>
    <w:rPr>
      <w:rFonts w:ascii="微软雅黑" w:hAnsi="微软雅黑" w:eastAsia="微软雅黑"/>
      <w:kern w:val="0"/>
      <w:sz w:val="22"/>
      <w:szCs w:val="2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列出段落1"/>
    <w:basedOn w:val="1"/>
    <w:qFormat/>
    <w:uiPriority w:val="34"/>
    <w:pPr>
      <w:ind w:firstLine="420" w:firstLineChars="200"/>
    </w:pPr>
  </w:style>
  <w:style w:type="paragraph" w:customStyle="1" w:styleId="14">
    <w:name w:val="正文1"/>
    <w:qFormat/>
    <w:uiPriority w:val="99"/>
    <w:pPr>
      <w:widowControl w:val="0"/>
      <w:suppressAutoHyphens w:val="0"/>
      <w:bidi w:val="0"/>
      <w:spacing w:before="0" w:after="0" w:line="570" w:lineRule="exact"/>
      <w:ind w:left="0" w:right="0" w:firstLine="420"/>
      <w:jc w:val="both"/>
    </w:pPr>
    <w:rPr>
      <w:rFonts w:ascii="仿宋" w:hAnsi="仿宋" w:eastAsia="宋体" w:cs="仿宋"/>
      <w:color w:val="auto"/>
      <w:kern w:val="2"/>
      <w:sz w:val="32"/>
      <w:szCs w:val="32"/>
      <w:lang w:val="en-US" w:eastAsia="zh-CN" w:bidi="ar-SA"/>
    </w:rPr>
  </w:style>
  <w:style w:type="paragraph" w:customStyle="1" w:styleId="15">
    <w:name w:val="标题 11"/>
    <w:basedOn w:val="14"/>
    <w:next w:val="14"/>
    <w:qFormat/>
    <w:uiPriority w:val="0"/>
    <w:pPr>
      <w:keepNext/>
      <w:keepLines/>
      <w:spacing w:before="0" w:after="0" w:line="570" w:lineRule="exact"/>
      <w:ind w:left="0" w:right="0" w:firstLine="0"/>
      <w:outlineLvl w:val="0"/>
    </w:pPr>
    <w:rPr>
      <w:rFonts w:ascii="黑体" w:hAnsi="黑体" w:eastAsia="黑体" w:cs="黑体"/>
      <w:sz w:val="32"/>
      <w:szCs w:val="32"/>
    </w:rPr>
  </w:style>
  <w:style w:type="character" w:customStyle="1" w:styleId="16">
    <w:name w:val="font31"/>
    <w:basedOn w:val="11"/>
    <w:qFormat/>
    <w:uiPriority w:val="0"/>
    <w:rPr>
      <w:rFonts w:hint="eastAsia" w:ascii="宋体" w:hAnsi="宋体" w:eastAsia="宋体" w:cs="宋体"/>
      <w:color w:val="000000"/>
      <w:sz w:val="20"/>
      <w:szCs w:val="20"/>
      <w:u w:val="none"/>
    </w:rPr>
  </w:style>
  <w:style w:type="character" w:customStyle="1" w:styleId="17">
    <w:name w:val="font51"/>
    <w:basedOn w:val="11"/>
    <w:qFormat/>
    <w:uiPriority w:val="0"/>
    <w:rPr>
      <w:rFonts w:hint="eastAsia" w:ascii="宋体" w:hAnsi="宋体" w:eastAsia="宋体" w:cs="宋体"/>
      <w:color w:val="FF0000"/>
      <w:sz w:val="20"/>
      <w:szCs w:val="20"/>
      <w:u w:val="none"/>
    </w:rPr>
  </w:style>
  <w:style w:type="character" w:customStyle="1" w:styleId="18">
    <w:name w:val="font41"/>
    <w:basedOn w:val="11"/>
    <w:qFormat/>
    <w:uiPriority w:val="0"/>
    <w:rPr>
      <w:rFonts w:hint="eastAsia" w:ascii="宋体" w:hAnsi="宋体" w:eastAsia="宋体" w:cs="宋体"/>
      <w:color w:val="000000"/>
      <w:sz w:val="20"/>
      <w:szCs w:val="20"/>
      <w:u w:val="none"/>
    </w:rPr>
  </w:style>
  <w:style w:type="character" w:customStyle="1" w:styleId="19">
    <w:name w:val="font21"/>
    <w:basedOn w:val="11"/>
    <w:qFormat/>
    <w:uiPriority w:val="0"/>
    <w:rPr>
      <w:rFonts w:hint="eastAsia" w:ascii="仿宋" w:hAnsi="仿宋" w:eastAsia="仿宋" w:cs="仿宋"/>
      <w:color w:val="000000"/>
      <w:sz w:val="24"/>
      <w:szCs w:val="24"/>
      <w:u w:val="none"/>
    </w:rPr>
  </w:style>
  <w:style w:type="character" w:customStyle="1" w:styleId="20">
    <w:name w:val="font11"/>
    <w:basedOn w:val="11"/>
    <w:uiPriority w:val="0"/>
    <w:rPr>
      <w:rFonts w:hint="eastAsia" w:ascii="宋体" w:hAnsi="宋体" w:eastAsia="宋体" w:cs="宋体"/>
      <w:b/>
      <w:bCs/>
      <w:color w:val="000000"/>
      <w:sz w:val="32"/>
      <w:szCs w:val="32"/>
      <w:u w:val="none"/>
    </w:rPr>
  </w:style>
  <w:style w:type="paragraph" w:customStyle="1" w:styleId="21">
    <w:name w:val="Title-temp"/>
    <w:basedOn w:val="1"/>
    <w:next w:val="1"/>
    <w:qFormat/>
    <w:uiPriority w:val="0"/>
    <w:pPr>
      <w:spacing w:before="120" w:after="120"/>
      <w:ind w:left="100" w:leftChars="100" w:right="100" w:rightChars="100"/>
      <w:jc w:val="center"/>
    </w:pPr>
    <w:rPr>
      <w:rFonts w:eastAsia="微软雅黑"/>
      <w:sz w:val="24"/>
    </w:rPr>
  </w:style>
  <w:style w:type="paragraph" w:customStyle="1" w:styleId="22">
    <w:name w:val="question-temp"/>
    <w:basedOn w:val="1"/>
    <w:link w:val="23"/>
    <w:qFormat/>
    <w:uiPriority w:val="0"/>
    <w:pPr>
      <w:spacing w:after="60"/>
    </w:pPr>
    <w:rPr>
      <w:rFonts w:ascii="微软雅黑" w:hAnsi="微软雅黑" w:eastAsia="微软雅黑"/>
      <w:sz w:val="18"/>
    </w:rPr>
  </w:style>
  <w:style w:type="character" w:customStyle="1" w:styleId="23">
    <w:name w:val="question-temp Char"/>
    <w:basedOn w:val="11"/>
    <w:link w:val="22"/>
    <w:qFormat/>
    <w:uiPriority w:val="0"/>
    <w:rPr>
      <w:rFonts w:ascii="微软雅黑" w:hAnsi="微软雅黑" w:eastAsia="微软雅黑"/>
      <w:sz w:val="18"/>
    </w:rPr>
  </w:style>
  <w:style w:type="table" w:customStyle="1" w:styleId="24">
    <w:name w:val="Table-temp"/>
    <w:basedOn w:val="9"/>
    <w:qFormat/>
    <w:uiPriority w:val="99"/>
    <w:pPr>
      <w:jc w:val="both"/>
    </w:pPr>
    <w:rPr>
      <w:rFonts w:ascii="宋体" w:hAnsi="宋体" w:cs="宋体"/>
      <w:color w:val="3F3F3F"/>
      <w:sz w:val="18"/>
      <w:szCs w:val="15"/>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color w:val="7E7E7E"/>
      </w:rPr>
      <w:tblPr/>
      <w:tcPr>
        <w:shd w:val="clear" w:color="auto" w:fill="F1F1F1"/>
      </w:tcPr>
    </w:tblStylePr>
    <w:tblStylePr w:type="firstCol">
      <w:rPr>
        <w:color w:val="7E7E7E"/>
      </w:rPr>
      <w:tblPr/>
      <w:tcPr>
        <w:shd w:val="clear" w:color="auto" w:fill="F1F1F1"/>
      </w:tcPr>
    </w:tblStylePr>
  </w:style>
  <w:style w:type="character" w:customStyle="1" w:styleId="25">
    <w:name w:val="option-temp Char"/>
    <w:basedOn w:val="23"/>
    <w:link w:val="26"/>
    <w:qFormat/>
    <w:uiPriority w:val="0"/>
    <w:rPr>
      <w:rFonts w:ascii="宋体" w:hAnsi="宋体" w:eastAsia="宋体" w:cs="宋体"/>
      <w:color w:val="3F3F3F"/>
      <w:kern w:val="2"/>
      <w:sz w:val="18"/>
      <w:szCs w:val="18"/>
      <w:lang w:val="en-US" w:eastAsia="zh-CN" w:bidi="ar-SA"/>
    </w:rPr>
  </w:style>
  <w:style w:type="paragraph" w:customStyle="1" w:styleId="26">
    <w:name w:val="option-temp"/>
    <w:link w:val="25"/>
    <w:qFormat/>
    <w:uiPriority w:val="0"/>
    <w:pPr>
      <w:ind w:left="100" w:leftChars="100" w:right="100" w:rightChars="100"/>
    </w:pPr>
    <w:rPr>
      <w:rFonts w:ascii="宋体" w:hAnsi="宋体" w:eastAsia="宋体" w:cs="宋体"/>
      <w:color w:val="3F3F3F"/>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16225</Words>
  <Characters>17242</Characters>
  <Lines>0</Lines>
  <Paragraphs>0</Paragraphs>
  <TotalTime>1</TotalTime>
  <ScaleCrop>false</ScaleCrop>
  <LinksUpToDate>false</LinksUpToDate>
  <CharactersWithSpaces>18031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76829</dc:creator>
  <cp:lastModifiedBy>杨勇</cp:lastModifiedBy>
  <cp:lastPrinted>2023-09-20T02:02:00Z</cp:lastPrinted>
  <dcterms:modified xsi:type="dcterms:W3CDTF">2023-10-11T09:53:01Z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EF0F018009AD468B89ED854E6C7C861F_13</vt:lpwstr>
  </property>
</Properties>
</file>