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bCs/>
          <w:color w:val="auto"/>
          <w:kern w:val="2"/>
          <w:sz w:val="40"/>
          <w:szCs w:val="4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bCs/>
          <w:color w:val="auto"/>
          <w:kern w:val="2"/>
          <w:sz w:val="40"/>
          <w:szCs w:val="4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bCs/>
          <w:color w:val="auto"/>
          <w:kern w:val="2"/>
          <w:sz w:val="40"/>
          <w:szCs w:val="4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bCs/>
          <w:color w:val="auto"/>
          <w:kern w:val="2"/>
          <w:sz w:val="40"/>
          <w:szCs w:val="40"/>
        </w:rPr>
      </w:pPr>
      <w:bookmarkStart w:id="9" w:name="_GoBack"/>
      <w:bookmarkEnd w:id="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bCs/>
          <w:color w:val="auto"/>
          <w:kern w:val="2"/>
          <w:sz w:val="72"/>
          <w:szCs w:val="72"/>
        </w:rPr>
      </w:pPr>
      <w:r>
        <w:rPr>
          <w:rFonts w:hint="eastAsia" w:ascii="黑体" w:hAnsi="黑体" w:eastAsia="黑体" w:cs="Times New Roman"/>
          <w:bCs/>
          <w:color w:val="auto"/>
          <w:kern w:val="2"/>
          <w:sz w:val="56"/>
          <w:szCs w:val="56"/>
          <w:lang w:val="en-US" w:eastAsia="zh-CN"/>
        </w:rPr>
        <w:t>党校迁址项目（一期）家具用具等设备采购项目绩效评价报告</w:t>
      </w: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default"/>
          <w:color w:val="auto"/>
          <w:u w:val="none"/>
          <w:lang w:val="en-US" w:eastAsia="zh-CN"/>
        </w:rPr>
      </w:pPr>
      <w:r>
        <w:rPr>
          <w:rFonts w:hint="eastAsia"/>
          <w:color w:val="auto"/>
          <w:lang w:val="en-US" w:eastAsia="zh-CN"/>
        </w:rPr>
        <w:t>实施单位：</w:t>
      </w:r>
      <w:r>
        <w:rPr>
          <w:rFonts w:hint="eastAsia"/>
          <w:color w:val="auto"/>
          <w:u w:val="none"/>
          <w:lang w:val="en-US" w:eastAsia="zh-CN"/>
        </w:rPr>
        <w:t>中共伊金霍洛旗委员会党校</w:t>
      </w:r>
    </w:p>
    <w:p>
      <w:pPr>
        <w:bidi w:val="0"/>
        <w:rPr>
          <w:rFonts w:hint="default"/>
          <w:color w:val="auto"/>
          <w:u w:val="none"/>
          <w:lang w:val="en-US" w:eastAsia="zh-CN"/>
        </w:rPr>
      </w:pPr>
      <w:r>
        <w:rPr>
          <w:rFonts w:hint="eastAsia"/>
          <w:color w:val="auto"/>
          <w:u w:val="none"/>
          <w:lang w:val="en-US" w:eastAsia="zh-CN"/>
        </w:rPr>
        <w:t>委托单位：伊金霍洛旗绩效评价税收服务中心</w:t>
      </w:r>
    </w:p>
    <w:p>
      <w:pPr>
        <w:bidi w:val="0"/>
        <w:rPr>
          <w:rFonts w:hint="default"/>
          <w:color w:val="auto"/>
          <w:u w:val="none"/>
          <w:lang w:val="en-US" w:eastAsia="zh-CN"/>
        </w:rPr>
      </w:pPr>
      <w:r>
        <w:rPr>
          <w:rFonts w:hint="eastAsia"/>
          <w:color w:val="auto"/>
          <w:u w:val="none"/>
          <w:lang w:val="en-US" w:eastAsia="zh-CN"/>
        </w:rPr>
        <w:t>评价机构：内蒙古伟睿咨询有限公司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黑体" w:hAnsi="黑体" w:eastAsia="黑体"/>
          <w:bCs/>
          <w:color w:val="auto"/>
          <w:kern w:val="2"/>
          <w:sz w:val="32"/>
          <w:szCs w:val="32"/>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黑体" w:hAnsi="黑体" w:eastAsia="黑体"/>
          <w:bCs/>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黑体" w:hAnsi="黑体" w:eastAsia="黑体"/>
          <w:bCs/>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黑体" w:hAnsi="黑体" w:eastAsia="黑体"/>
          <w:bCs/>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ascii="黑体" w:hAnsi="黑体" w:eastAsia="黑体"/>
          <w:bCs/>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Times New Roman"/>
          <w:bCs/>
          <w:color w:val="auto"/>
          <w:kern w:val="2"/>
          <w:sz w:val="36"/>
          <w:szCs w:val="36"/>
          <w:lang w:eastAsia="zh-CN"/>
        </w:rPr>
      </w:pPr>
      <w:r>
        <w:rPr>
          <w:rFonts w:hint="eastAsia" w:ascii="黑体" w:hAnsi="黑体" w:eastAsia="黑体" w:cs="Times New Roman"/>
          <w:bCs/>
          <w:color w:val="auto"/>
          <w:kern w:val="2"/>
          <w:sz w:val="36"/>
          <w:szCs w:val="36"/>
          <w:lang w:eastAsia="zh-CN"/>
        </w:rPr>
        <w:t>党校迁址项目（一期）家具用具等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bCs/>
          <w:color w:val="auto"/>
          <w:kern w:val="2"/>
          <w:sz w:val="36"/>
          <w:szCs w:val="36"/>
        </w:rPr>
      </w:pPr>
      <w:r>
        <w:rPr>
          <w:rFonts w:hint="eastAsia" w:ascii="黑体" w:hAnsi="黑体" w:eastAsia="黑体" w:cs="Times New Roman"/>
          <w:bCs/>
          <w:color w:val="auto"/>
          <w:kern w:val="2"/>
          <w:sz w:val="36"/>
          <w:szCs w:val="36"/>
          <w:lang w:eastAsia="zh-CN"/>
        </w:rPr>
        <w:t>设备采购项目</w:t>
      </w:r>
      <w:r>
        <w:rPr>
          <w:rFonts w:hint="eastAsia" w:ascii="黑体" w:hAnsi="黑体" w:eastAsia="黑体"/>
          <w:bCs/>
          <w:color w:val="auto"/>
          <w:kern w:val="2"/>
          <w:sz w:val="36"/>
          <w:szCs w:val="36"/>
        </w:rPr>
        <w:t>支出绩效评价报告</w:t>
      </w:r>
    </w:p>
    <w:p>
      <w:pPr>
        <w:bidi w:val="0"/>
        <w:rPr>
          <w:rFonts w:hint="eastAsia" w:ascii="黑体" w:hAnsi="黑体" w:eastAsia="黑体"/>
          <w:bCs/>
          <w:color w:val="auto"/>
          <w:kern w:val="2"/>
          <w:szCs w:val="40"/>
        </w:rPr>
      </w:pPr>
    </w:p>
    <w:p>
      <w:pPr>
        <w:pStyle w:val="2"/>
        <w:bidi w:val="0"/>
        <w:rPr>
          <w:rFonts w:hint="eastAsia"/>
          <w:color w:val="auto"/>
        </w:rPr>
      </w:pPr>
      <w:bookmarkStart w:id="0" w:name="_Toc14373"/>
      <w:r>
        <w:rPr>
          <w:rFonts w:hint="eastAsia"/>
          <w:color w:val="auto"/>
        </w:rPr>
        <w:t>一、基本情况</w:t>
      </w:r>
      <w:bookmarkEnd w:id="0"/>
    </w:p>
    <w:p>
      <w:pPr>
        <w:pStyle w:val="4"/>
        <w:bidi w:val="0"/>
        <w:rPr>
          <w:rFonts w:hint="eastAsia"/>
          <w:color w:val="auto"/>
          <w:lang w:val="en-US" w:eastAsia="zh-CN"/>
        </w:rPr>
      </w:pPr>
      <w:bookmarkStart w:id="1" w:name="_Toc29374"/>
      <w:r>
        <w:rPr>
          <w:rFonts w:hint="eastAsia"/>
          <w:color w:val="auto"/>
        </w:rPr>
        <w:t>（一）</w:t>
      </w:r>
      <w:bookmarkEnd w:id="1"/>
      <w:r>
        <w:rPr>
          <w:rFonts w:hint="eastAsia"/>
          <w:color w:val="auto"/>
          <w:lang w:val="en-US" w:eastAsia="zh-CN"/>
        </w:rPr>
        <w:t>项目背景</w:t>
      </w:r>
    </w:p>
    <w:p>
      <w:pPr>
        <w:bidi w:val="0"/>
        <w:rPr>
          <w:color w:val="auto"/>
        </w:rPr>
      </w:pPr>
      <w:r>
        <w:rPr>
          <w:rFonts w:hint="eastAsia"/>
          <w:color w:val="auto"/>
          <w:lang w:val="en-US" w:eastAsia="zh-CN"/>
        </w:rPr>
        <w:t>党校是中国共产党对党员和党员干部进行培训、教育的学校。其任务是，通过有计划地培训，提高学员用马克思主义立场、观点、方法观察和处理问题的能力；结合新的形势，提高学员的政治思想观念和科学文化水平，增强党性，进一步发挥先锋模范作用。党校还承担着党的建设理论的研究，以及对党组织和党员状况的调查研究等任务。</w:t>
      </w:r>
    </w:p>
    <w:p>
      <w:pPr>
        <w:bidi w:val="0"/>
        <w:rPr>
          <w:color w:val="auto"/>
        </w:rPr>
      </w:pPr>
      <w:r>
        <w:rPr>
          <w:rFonts w:hint="eastAsia"/>
          <w:color w:val="auto"/>
          <w:lang w:val="en-US" w:eastAsia="zh-CN"/>
        </w:rPr>
        <w:t>基层党校还承担对入党积极分子的培训工作，党校基本是每位党员必须经历的一个培训场所。准确把握党性教育是贯彻</w:t>
      </w:r>
      <w:r>
        <w:rPr>
          <w:rFonts w:hint="default"/>
          <w:color w:val="auto"/>
          <w:lang w:val="en-US" w:eastAsia="zh-CN"/>
        </w:rPr>
        <w:t>“</w:t>
      </w:r>
      <w:r>
        <w:rPr>
          <w:rFonts w:hint="eastAsia"/>
          <w:color w:val="auto"/>
          <w:lang w:val="en-US" w:eastAsia="zh-CN"/>
        </w:rPr>
        <w:t>党校姓党</w:t>
      </w:r>
      <w:r>
        <w:rPr>
          <w:rFonts w:hint="default"/>
          <w:color w:val="auto"/>
          <w:lang w:val="en-US" w:eastAsia="zh-CN"/>
        </w:rPr>
        <w:t>”</w:t>
      </w:r>
      <w:r>
        <w:rPr>
          <w:rFonts w:hint="eastAsia"/>
          <w:color w:val="auto"/>
          <w:lang w:val="en-US" w:eastAsia="zh-CN"/>
        </w:rPr>
        <w:t>根本原则的重要保证。党校因党而立、为党而办，是培训轮训党员干部和理论干部的主渠道，是党的思想理论建设的重要阵地，是党员干部加强党性锻炼的熔炉，这些职责定位决定了党性教育在党校工作中的重要位置。党员领导干部到党校学习，必须把坚定理想信念、牢记党的宗旨、遵守党的纪律放在首位，补足共产党人精神上的</w:t>
      </w:r>
      <w:r>
        <w:rPr>
          <w:rFonts w:hint="default"/>
          <w:color w:val="auto"/>
          <w:lang w:val="en-US" w:eastAsia="zh-CN"/>
        </w:rPr>
        <w:t>“</w:t>
      </w:r>
      <w:r>
        <w:rPr>
          <w:rFonts w:hint="eastAsia"/>
          <w:color w:val="auto"/>
          <w:lang w:val="en-US" w:eastAsia="zh-CN"/>
        </w:rPr>
        <w:t>钙</w:t>
      </w:r>
      <w:r>
        <w:rPr>
          <w:rFonts w:hint="default"/>
          <w:color w:val="auto"/>
          <w:lang w:val="en-US" w:eastAsia="zh-CN"/>
        </w:rPr>
        <w:t>”</w:t>
      </w:r>
      <w:r>
        <w:rPr>
          <w:rFonts w:hint="eastAsia"/>
          <w:color w:val="auto"/>
          <w:lang w:val="en-US" w:eastAsia="zh-CN"/>
        </w:rPr>
        <w:t>。通过党性教育，筑牢以党的旗帜为旗帜、以党的意志为意志、以党的使命为使命的思想根基，严守党的政治纪律和政治规矩，坚持在党爱党、在党言党、在党忧党、在党为党，在思想上政治上行动上自觉同以习近平同志为核心的党中央保持高度一致。</w:t>
      </w:r>
    </w:p>
    <w:p>
      <w:pPr>
        <w:bidi w:val="0"/>
        <w:rPr>
          <w:rFonts w:hint="eastAsia"/>
          <w:color w:val="auto"/>
          <w:lang w:val="en-US" w:eastAsia="zh-CN"/>
        </w:rPr>
      </w:pPr>
      <w:r>
        <w:rPr>
          <w:rFonts w:hint="eastAsia"/>
          <w:color w:val="auto"/>
          <w:lang w:val="en-US" w:eastAsia="zh-CN"/>
        </w:rPr>
        <w:t>习近平总书记在全国党校工作会议上指出，党校承担着为领导干部补钙壮骨、立根固本的重要任务，必须坚持党校姓党这个党校工作根本原则，更加重视干部教育培训工作，切实做好新形势下党校工作。</w:t>
      </w:r>
    </w:p>
    <w:p>
      <w:pPr>
        <w:bidi w:val="0"/>
        <w:rPr>
          <w:color w:val="auto"/>
        </w:rPr>
      </w:pPr>
      <w:r>
        <w:rPr>
          <w:rFonts w:hint="eastAsia"/>
          <w:color w:val="auto"/>
          <w:lang w:val="en-US" w:eastAsia="zh-CN"/>
        </w:rPr>
        <w:t>党校事业是党的事业的重要组成部分，党校是我们党教育培训党员领导干部的主渠道。从中央到地方建立党校体系，专门教育培训干部，是我们党的一大政治优势。习近平强调，各级党校要坚持把全面从严治党要求和从严治校方针结合起来，坚持严以治校、严以治教、严以治学，把校风建设作为作风建设的重点。要坚持高标准办学，把质量立校作为党校工作的重要抓手，努力提高教学科研质量。要锐意改革，不断推动教学科研、人才队伍、管理服务、学风校风等各方面工作的创新。中央党校要牵头制订全国党校系统</w:t>
      </w:r>
      <w:r>
        <w:rPr>
          <w:rFonts w:hint="default"/>
          <w:color w:val="auto"/>
          <w:lang w:val="en-US" w:eastAsia="zh-CN"/>
        </w:rPr>
        <w:t>“</w:t>
      </w:r>
      <w:r>
        <w:rPr>
          <w:rFonts w:hint="eastAsia"/>
          <w:color w:val="auto"/>
          <w:lang w:val="en-US" w:eastAsia="zh-CN"/>
        </w:rPr>
        <w:t>十三五</w:t>
      </w:r>
      <w:r>
        <w:rPr>
          <w:rFonts w:hint="default"/>
          <w:color w:val="auto"/>
          <w:lang w:val="en-US" w:eastAsia="zh-CN"/>
        </w:rPr>
        <w:t>”</w:t>
      </w:r>
      <w:r>
        <w:rPr>
          <w:rFonts w:hint="eastAsia"/>
          <w:color w:val="auto"/>
          <w:lang w:val="en-US" w:eastAsia="zh-CN"/>
        </w:rPr>
        <w:t>建设和发展规划，切实解决基础设施落后、基础工作薄弱、基层党校脆弱的问题。</w:t>
      </w:r>
    </w:p>
    <w:p>
      <w:pPr>
        <w:keepNext w:val="0"/>
        <w:keepLines w:val="0"/>
        <w:widowControl/>
        <w:suppressLineNumbers w:val="0"/>
        <w:jc w:val="left"/>
        <w:rPr>
          <w:rFonts w:hint="eastAsia"/>
          <w:color w:val="auto"/>
          <w:lang w:val="en-US" w:eastAsia="zh-CN"/>
        </w:rPr>
      </w:pPr>
      <w:r>
        <w:rPr>
          <w:rFonts w:hint="eastAsia"/>
          <w:color w:val="auto"/>
          <w:lang w:val="en-US" w:eastAsia="zh-CN"/>
        </w:rPr>
        <w:t>由于伊金霍洛旗党校基础配套设施不够完善，为满足伊金霍洛旗各级党员干部的教育培训工作的需求，伊金霍洛旗组织部提出《伊金霍洛旗党校配套附属设施建设项目》，于2019年5月20日获得伊金霍洛旗发展和改革委员会批复，该项目正式开始实施。</w:t>
      </w:r>
    </w:p>
    <w:p>
      <w:pPr>
        <w:keepNext w:val="0"/>
        <w:keepLines w:val="0"/>
        <w:widowControl/>
        <w:suppressLineNumbers w:val="0"/>
        <w:jc w:val="left"/>
        <w:rPr>
          <w:rFonts w:hint="eastAsia"/>
          <w:color w:val="auto"/>
          <w:lang w:val="en-US" w:eastAsia="zh-CN"/>
        </w:rPr>
      </w:pPr>
      <w:r>
        <w:rPr>
          <w:rFonts w:hint="eastAsia"/>
          <w:color w:val="auto"/>
          <w:lang w:val="en-US" w:eastAsia="zh-CN"/>
        </w:rPr>
        <w:t>为配合完善《伊金霍洛旗党校配套附属设施建设项目》，伊金霍洛旗人民政府于2021年12月31日《伊金霍洛旗人民政府2021年第19次常务会议》原则同意由组织部党校实施《伊金霍洛旗党校配套附属设施建设项目》的配套家具、用具、设备等采购。</w:t>
      </w:r>
    </w:p>
    <w:p>
      <w:pPr>
        <w:pStyle w:val="4"/>
        <w:bidi w:val="0"/>
        <w:rPr>
          <w:rFonts w:hint="eastAsia"/>
          <w:color w:val="auto"/>
          <w:lang w:val="en-US" w:eastAsia="zh-CN"/>
        </w:rPr>
      </w:pPr>
      <w:r>
        <w:rPr>
          <w:rFonts w:hint="eastAsia"/>
          <w:color w:val="auto"/>
          <w:lang w:val="en-US" w:eastAsia="zh-CN"/>
        </w:rPr>
        <w:t>（二）主要实施内容及实施情况</w:t>
      </w:r>
    </w:p>
    <w:p>
      <w:pPr>
        <w:rPr>
          <w:rFonts w:hint="eastAsia"/>
          <w:color w:val="auto"/>
          <w:lang w:val="en-US" w:eastAsia="zh-CN"/>
        </w:rPr>
      </w:pPr>
      <w:r>
        <w:rPr>
          <w:rFonts w:hint="eastAsia"/>
          <w:color w:val="auto"/>
          <w:lang w:val="en-US" w:eastAsia="zh-CN"/>
        </w:rPr>
        <w:t>该项目主要实施内容为《伊金霍洛旗党校配套附属设施建设项目》而配套的相关办公家具、厨房设备、保洁用品、客房布草电器用品等（详见采购合同清单），截至评价之日，该项目的采购设备已全部完成采购并投入使用。</w:t>
      </w:r>
    </w:p>
    <w:p>
      <w:pPr>
        <w:pStyle w:val="5"/>
        <w:bidi w:val="0"/>
        <w:rPr>
          <w:rFonts w:hint="default"/>
          <w:color w:val="auto"/>
          <w:lang w:val="en-US" w:eastAsia="zh-CN"/>
        </w:rPr>
      </w:pPr>
      <w:r>
        <w:rPr>
          <w:rFonts w:hint="eastAsia"/>
          <w:color w:val="auto"/>
          <w:lang w:val="en-US" w:eastAsia="zh-CN"/>
        </w:rPr>
        <w:t>表1：采购合同清单</w:t>
      </w:r>
    </w:p>
    <w:tbl>
      <w:tblPr>
        <w:tblStyle w:val="11"/>
        <w:tblW w:w="8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2745"/>
        <w:gridCol w:w="1215"/>
        <w:gridCol w:w="1380"/>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blHeader/>
        </w:trPr>
        <w:tc>
          <w:tcPr>
            <w:tcW w:w="733"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序号</w:t>
            </w:r>
          </w:p>
        </w:tc>
        <w:tc>
          <w:tcPr>
            <w:tcW w:w="2745"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采购内容</w:t>
            </w:r>
          </w:p>
        </w:tc>
        <w:tc>
          <w:tcPr>
            <w:tcW w:w="1215"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采购金额</w:t>
            </w:r>
          </w:p>
        </w:tc>
        <w:tc>
          <w:tcPr>
            <w:tcW w:w="138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采购时间</w:t>
            </w:r>
          </w:p>
        </w:tc>
        <w:tc>
          <w:tcPr>
            <w:tcW w:w="2235"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采购方式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党校迁址项目（一期）家具用具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2644173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1月21日</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政府集中采购－电子卖场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党校迁址项目（一期）厨房设备采购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271668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6月20日</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电子卖场－直接采购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党校迁址项目（一期）厨杂和保洁用品采购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555730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6月17日</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分散采购－竞争性磋商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党校迁址项目（一期）布草用品采购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598450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6月17日</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分散采购－竞争性磋商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党校迁址项目（一期）电器采购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533783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6月17日</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分散采购－竞争性磋商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党校迁址项目（一期）客用物品采购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148097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6月17日</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分散采购－竞争性磋商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党校迁址项目（一期）图书采购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7月1日</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自行采购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党校迁址项目（一期）家具用具新增项目</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277190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12月8日</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政府集中采购－电子卖场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5129091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24"/>
                <w:szCs w:val="24"/>
                <w:u w:val="none"/>
              </w:rPr>
            </w:pPr>
          </w:p>
        </w:tc>
      </w:tr>
    </w:tbl>
    <w:p>
      <w:pPr>
        <w:pStyle w:val="4"/>
        <w:bidi w:val="0"/>
        <w:rPr>
          <w:rFonts w:hint="eastAsia"/>
          <w:color w:val="auto"/>
          <w:lang w:val="en-US" w:eastAsia="zh-CN"/>
        </w:rPr>
      </w:pPr>
      <w:r>
        <w:rPr>
          <w:rFonts w:hint="eastAsia"/>
          <w:color w:val="auto"/>
          <w:lang w:val="en-US" w:eastAsia="zh-CN"/>
        </w:rPr>
        <w:t>（三）项目组织管理</w:t>
      </w:r>
    </w:p>
    <w:p>
      <w:pPr>
        <w:rPr>
          <w:rFonts w:hint="default"/>
          <w:color w:val="auto"/>
          <w:lang w:val="en-US" w:eastAsia="zh-CN"/>
        </w:rPr>
      </w:pPr>
      <w:r>
        <w:rPr>
          <w:rFonts w:hint="eastAsia"/>
          <w:color w:val="auto"/>
          <w:lang w:val="en-US" w:eastAsia="zh-CN"/>
        </w:rPr>
        <w:t>该项目由中共伊金霍洛旗委员会党校具体负责实施。</w:t>
      </w:r>
    </w:p>
    <w:p>
      <w:pPr>
        <w:pStyle w:val="4"/>
        <w:bidi w:val="0"/>
        <w:rPr>
          <w:rFonts w:hint="eastAsia"/>
          <w:color w:val="auto"/>
          <w:lang w:val="en-US" w:eastAsia="zh-CN"/>
        </w:rPr>
      </w:pPr>
      <w:r>
        <w:rPr>
          <w:rFonts w:hint="eastAsia"/>
          <w:color w:val="auto"/>
          <w:lang w:val="en-US" w:eastAsia="zh-CN"/>
        </w:rPr>
        <w:t>（四）资金投入及使用情况</w:t>
      </w:r>
    </w:p>
    <w:p>
      <w:pPr>
        <w:bidi w:val="0"/>
        <w:rPr>
          <w:rFonts w:hint="default"/>
          <w:color w:val="auto"/>
          <w:highlight w:val="none"/>
          <w:lang w:val="en-US" w:eastAsia="zh-CN"/>
        </w:rPr>
      </w:pPr>
      <w:r>
        <w:rPr>
          <w:rFonts w:hint="eastAsia"/>
          <w:color w:val="auto"/>
          <w:highlight w:val="none"/>
          <w:lang w:val="en-US" w:eastAsia="zh-CN"/>
        </w:rPr>
        <w:t>中共伊金霍洛旗委员会党校于2022年1月6日提出申请采购经费469万元，截至2022年12月，申请经费已全部按付款进度到账，资金到位率100%。截至评价之日，该项目资金已全部支付，资金支付率100%。具体详见资金支出明细表。</w:t>
      </w:r>
    </w:p>
    <w:p>
      <w:pPr>
        <w:pStyle w:val="5"/>
        <w:bidi w:val="0"/>
        <w:rPr>
          <w:rFonts w:hint="eastAsia"/>
          <w:color w:val="auto"/>
          <w:highlight w:val="none"/>
          <w:lang w:val="en-US" w:eastAsia="zh-CN"/>
        </w:rPr>
      </w:pPr>
      <w:r>
        <w:rPr>
          <w:rFonts w:hint="eastAsia"/>
          <w:color w:val="auto"/>
          <w:highlight w:val="none"/>
          <w:lang w:val="en-US" w:eastAsia="zh-CN"/>
        </w:rPr>
        <w:t>表2：</w:t>
      </w:r>
      <w:r>
        <w:rPr>
          <w:rFonts w:hint="eastAsia"/>
          <w:color w:val="auto"/>
          <w:highlight w:val="none"/>
          <w:lang w:eastAsia="zh-CN"/>
        </w:rPr>
        <w:t>家具用具等设备采购</w:t>
      </w:r>
      <w:r>
        <w:rPr>
          <w:rFonts w:hint="eastAsia"/>
          <w:color w:val="auto"/>
          <w:highlight w:val="none"/>
          <w:lang w:val="en-US" w:eastAsia="zh-CN"/>
        </w:rPr>
        <w:t>付款明细表</w:t>
      </w:r>
    </w:p>
    <w:tbl>
      <w:tblPr>
        <w:tblStyle w:val="11"/>
        <w:tblW w:w="10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725"/>
        <w:gridCol w:w="975"/>
        <w:gridCol w:w="1590"/>
        <w:gridCol w:w="1200"/>
        <w:gridCol w:w="1185"/>
        <w:gridCol w:w="1635"/>
        <w:gridCol w:w="108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blHeader/>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b/>
                <w:bCs/>
                <w:i w:val="0"/>
                <w:iCs w:val="0"/>
                <w:color w:val="auto"/>
                <w:sz w:val="18"/>
                <w:szCs w:val="18"/>
                <w:u w:val="none"/>
              </w:rPr>
            </w:pPr>
            <w:r>
              <w:rPr>
                <w:rFonts w:hint="eastAsia" w:asciiTheme="minorEastAsia" w:hAnsiTheme="minorEastAsia" w:eastAsiaTheme="minorEastAsia" w:cstheme="minorEastAsia"/>
                <w:b/>
                <w:bCs/>
                <w:i w:val="0"/>
                <w:iCs w:val="0"/>
                <w:color w:val="auto"/>
                <w:kern w:val="0"/>
                <w:sz w:val="18"/>
                <w:szCs w:val="18"/>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b/>
                <w:bCs/>
                <w:i w:val="0"/>
                <w:iCs w:val="0"/>
                <w:color w:val="auto"/>
                <w:sz w:val="18"/>
                <w:szCs w:val="18"/>
                <w:u w:val="none"/>
              </w:rPr>
            </w:pPr>
            <w:r>
              <w:rPr>
                <w:rFonts w:hint="eastAsia" w:asciiTheme="minorEastAsia" w:hAnsiTheme="minorEastAsia" w:eastAsiaTheme="minorEastAsia" w:cstheme="minorEastAsia"/>
                <w:b/>
                <w:bCs/>
                <w:i w:val="0"/>
                <w:iCs w:val="0"/>
                <w:color w:val="auto"/>
                <w:kern w:val="0"/>
                <w:sz w:val="18"/>
                <w:szCs w:val="18"/>
                <w:u w:val="none"/>
                <w:lang w:val="en-US" w:eastAsia="zh-CN" w:bidi="ar"/>
              </w:rPr>
              <w:t>采购内容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b/>
                <w:bCs/>
                <w:i w:val="0"/>
                <w:iCs w:val="0"/>
                <w:color w:val="auto"/>
                <w:sz w:val="18"/>
                <w:szCs w:val="18"/>
                <w:u w:val="none"/>
              </w:rPr>
            </w:pPr>
            <w:r>
              <w:rPr>
                <w:rFonts w:hint="eastAsia" w:asciiTheme="minorEastAsia" w:hAnsiTheme="minorEastAsia" w:eastAsiaTheme="minorEastAsia" w:cstheme="minorEastAsia"/>
                <w:b/>
                <w:bCs/>
                <w:i w:val="0"/>
                <w:iCs w:val="0"/>
                <w:color w:val="auto"/>
                <w:kern w:val="0"/>
                <w:sz w:val="18"/>
                <w:szCs w:val="18"/>
                <w:u w:val="none"/>
                <w:lang w:val="en-US" w:eastAsia="zh-CN" w:bidi="ar"/>
              </w:rPr>
              <w:t>采购金额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b/>
                <w:bCs/>
                <w:i w:val="0"/>
                <w:iCs w:val="0"/>
                <w:color w:val="auto"/>
                <w:sz w:val="18"/>
                <w:szCs w:val="18"/>
                <w:u w:val="none"/>
              </w:rPr>
            </w:pPr>
            <w:r>
              <w:rPr>
                <w:rFonts w:hint="eastAsia" w:asciiTheme="minorEastAsia" w:hAnsiTheme="minorEastAsia" w:eastAsiaTheme="minorEastAsia" w:cstheme="minorEastAsia"/>
                <w:b/>
                <w:bCs/>
                <w:i w:val="0"/>
                <w:iCs w:val="0"/>
                <w:color w:val="auto"/>
                <w:kern w:val="0"/>
                <w:sz w:val="18"/>
                <w:szCs w:val="18"/>
                <w:u w:val="none"/>
                <w:lang w:val="en-US" w:eastAsia="zh-CN" w:bidi="ar"/>
              </w:rPr>
              <w:t>中标单位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b/>
                <w:bCs/>
                <w:i w:val="0"/>
                <w:iCs w:val="0"/>
                <w:color w:val="auto"/>
                <w:sz w:val="18"/>
                <w:szCs w:val="18"/>
                <w:u w:val="none"/>
              </w:rPr>
            </w:pPr>
            <w:r>
              <w:rPr>
                <w:rFonts w:hint="eastAsia" w:asciiTheme="minorEastAsia" w:hAnsiTheme="minorEastAsia" w:eastAsiaTheme="minorEastAsia" w:cstheme="minorEastAsia"/>
                <w:b/>
                <w:bCs/>
                <w:i w:val="0"/>
                <w:iCs w:val="0"/>
                <w:color w:val="auto"/>
                <w:kern w:val="0"/>
                <w:sz w:val="18"/>
                <w:szCs w:val="18"/>
                <w:u w:val="none"/>
                <w:lang w:val="en-US" w:eastAsia="zh-CN" w:bidi="ar"/>
              </w:rPr>
              <w:t>中标金额</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b/>
                <w:bCs/>
                <w:i w:val="0"/>
                <w:iCs w:val="0"/>
                <w:color w:val="auto"/>
                <w:sz w:val="18"/>
                <w:szCs w:val="18"/>
                <w:u w:val="none"/>
              </w:rPr>
            </w:pPr>
            <w:r>
              <w:rPr>
                <w:rFonts w:hint="eastAsia" w:asciiTheme="minorEastAsia" w:hAnsiTheme="minorEastAsia" w:eastAsiaTheme="minorEastAsia" w:cstheme="minorEastAsia"/>
                <w:b/>
                <w:bCs/>
                <w:i w:val="0"/>
                <w:iCs w:val="0"/>
                <w:color w:val="auto"/>
                <w:kern w:val="0"/>
                <w:sz w:val="18"/>
                <w:szCs w:val="18"/>
                <w:u w:val="none"/>
                <w:lang w:val="en-US" w:eastAsia="zh-CN" w:bidi="ar"/>
              </w:rPr>
              <w:t>验收金额</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b/>
                <w:bCs/>
                <w:i w:val="0"/>
                <w:iCs w:val="0"/>
                <w:color w:val="auto"/>
                <w:sz w:val="18"/>
                <w:szCs w:val="18"/>
                <w:u w:val="none"/>
              </w:rPr>
            </w:pPr>
            <w:r>
              <w:rPr>
                <w:rFonts w:hint="eastAsia" w:asciiTheme="minorEastAsia" w:hAnsiTheme="minorEastAsia" w:eastAsiaTheme="minorEastAsia" w:cstheme="minorEastAsia"/>
                <w:b/>
                <w:bCs/>
                <w:i w:val="0"/>
                <w:iCs w:val="0"/>
                <w:color w:val="auto"/>
                <w:kern w:val="0"/>
                <w:sz w:val="18"/>
                <w:szCs w:val="18"/>
                <w:u w:val="none"/>
                <w:lang w:val="en-US" w:eastAsia="zh-CN" w:bidi="ar"/>
              </w:rPr>
              <w:t>付款时间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b/>
                <w:bCs/>
                <w:i w:val="0"/>
                <w:iCs w:val="0"/>
                <w:color w:val="auto"/>
                <w:sz w:val="18"/>
                <w:szCs w:val="18"/>
                <w:u w:val="none"/>
              </w:rPr>
            </w:pPr>
            <w:r>
              <w:rPr>
                <w:rFonts w:hint="eastAsia" w:asciiTheme="minorEastAsia" w:hAnsiTheme="minorEastAsia" w:eastAsiaTheme="minorEastAsia" w:cstheme="minorEastAsia"/>
                <w:b/>
                <w:bCs/>
                <w:i w:val="0"/>
                <w:iCs w:val="0"/>
                <w:color w:val="auto"/>
                <w:kern w:val="0"/>
                <w:sz w:val="18"/>
                <w:szCs w:val="18"/>
                <w:u w:val="none"/>
                <w:lang w:val="en-US" w:eastAsia="zh-CN" w:bidi="ar"/>
              </w:rPr>
              <w:t>付款金额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b/>
                <w:bCs/>
                <w:i w:val="0"/>
                <w:iCs w:val="0"/>
                <w:color w:val="auto"/>
                <w:sz w:val="18"/>
                <w:szCs w:val="18"/>
                <w:u w:val="none"/>
              </w:rPr>
            </w:pPr>
            <w:r>
              <w:rPr>
                <w:rFonts w:hint="eastAsia" w:asciiTheme="minorEastAsia" w:hAnsiTheme="minorEastAsia" w:eastAsiaTheme="minorEastAsia" w:cstheme="minorEastAsia"/>
                <w:b/>
                <w:bCs/>
                <w:i w:val="0"/>
                <w:iCs w:val="0"/>
                <w:color w:val="auto"/>
                <w:kern w:val="0"/>
                <w:sz w:val="18"/>
                <w:szCs w:val="18"/>
                <w:u w:val="none"/>
                <w:lang w:val="en-US" w:eastAsia="zh-CN" w:bidi="ar"/>
              </w:rPr>
              <w:t>未付金额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1</w:t>
            </w:r>
          </w:p>
        </w:tc>
        <w:tc>
          <w:tcPr>
            <w:tcW w:w="172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党校迁址项目（一期）家具用具</w:t>
            </w:r>
          </w:p>
        </w:tc>
        <w:tc>
          <w:tcPr>
            <w:tcW w:w="9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2644173</w:t>
            </w:r>
          </w:p>
        </w:tc>
        <w:tc>
          <w:tcPr>
            <w:tcW w:w="15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内蒙古星脉商贸有限责任公司</w:t>
            </w: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2459348</w:t>
            </w:r>
          </w:p>
        </w:tc>
        <w:tc>
          <w:tcPr>
            <w:tcW w:w="118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2449270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2022年5月5日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450000</w:t>
            </w:r>
          </w:p>
        </w:tc>
        <w:tc>
          <w:tcPr>
            <w:tcW w:w="10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293534.32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72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18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2022年8月12日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775000</w:t>
            </w:r>
          </w:p>
        </w:tc>
        <w:tc>
          <w:tcPr>
            <w:tcW w:w="10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72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18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2022年12月13日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930735.68</w:t>
            </w:r>
          </w:p>
        </w:tc>
        <w:tc>
          <w:tcPr>
            <w:tcW w:w="10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党校迁址项目（一期）厨房设备采购</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271668</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伊金霍洛旗宏润办公家具销售有限公司</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271656</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297528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2022年6月13日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240000</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2022年12月13日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57528</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3</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党校迁址项目（一期）厨杂和保洁用品采购</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555730</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伊金霍洛旗宏皓通酒店用品大卖场</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505026</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508592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2022年7月18日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250000</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2022年9月7日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200000</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2022年12月16日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58592</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4</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党校迁址项目（一期）布草用品采购</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598450</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内蒙古郦骏商贸有限公司</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584000</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581425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2022年7月18日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292000</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2022年8月31日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233600</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2022年12月20日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55825</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5</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党校迁址项目（一期）电器采购</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533783</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鄂尔多斯顺易达商贸有限公司</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519850</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546686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2022年7月18日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259720</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2022年8月31日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207940</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2022年12月30日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79026</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党校迁址项目（一期）客用物品采购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148097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鄂尔多斯市与行商贸有限公司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226026.5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224626.5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2022年12月10日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224626.5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党校迁址项目（一期）图书采购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100000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伊旗新华书店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98216.82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98216.82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2022年11月1日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98216.82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党校迁址项目（一期）家具用具新增项目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277190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康巴什珠恩敖登家具商行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277190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277190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2022年12月7日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277190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5129091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4941313.32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4983534.32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4690000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293534.32</w:t>
            </w:r>
          </w:p>
        </w:tc>
      </w:tr>
    </w:tbl>
    <w:p>
      <w:pPr>
        <w:bidi w:val="0"/>
        <w:ind w:left="0" w:leftChars="0" w:firstLine="0" w:firstLineChars="0"/>
        <w:rPr>
          <w:rFonts w:hint="default" w:eastAsia="仿宋_GB2312"/>
          <w:color w:val="auto"/>
          <w:lang w:val="en-US" w:eastAsia="zh-CN"/>
        </w:rPr>
      </w:pPr>
      <w:r>
        <w:rPr>
          <w:rFonts w:hint="eastAsia"/>
          <w:color w:val="auto"/>
          <w:lang w:val="en-US" w:eastAsia="zh-CN"/>
        </w:rPr>
        <w:t>注：该项目本次采购最终验收金额4983534.32元，已付款4690000元，剩余293534.32元未付，计划后期继续申请经费支付。</w:t>
      </w:r>
    </w:p>
    <w:p>
      <w:pPr>
        <w:pStyle w:val="3"/>
        <w:bidi w:val="0"/>
        <w:rPr>
          <w:rFonts w:hint="eastAsia"/>
          <w:color w:val="auto"/>
        </w:rPr>
      </w:pPr>
      <w:bookmarkStart w:id="2" w:name="_Toc20811"/>
      <w:r>
        <w:rPr>
          <w:rFonts w:hint="eastAsia"/>
          <w:color w:val="auto"/>
        </w:rPr>
        <w:t>（</w:t>
      </w:r>
      <w:r>
        <w:rPr>
          <w:rFonts w:hint="eastAsia"/>
          <w:color w:val="auto"/>
          <w:lang w:eastAsia="zh-CN"/>
        </w:rPr>
        <w:t>五</w:t>
      </w:r>
      <w:r>
        <w:rPr>
          <w:rFonts w:hint="eastAsia"/>
          <w:color w:val="auto"/>
        </w:rPr>
        <w:t>）项目绩效目标</w:t>
      </w:r>
      <w:bookmarkEnd w:id="2"/>
    </w:p>
    <w:p>
      <w:pPr>
        <w:pStyle w:val="4"/>
        <w:bidi w:val="0"/>
        <w:rPr>
          <w:rFonts w:hint="eastAsia"/>
          <w:color w:val="auto"/>
          <w:lang w:val="en-US" w:eastAsia="zh-CN"/>
        </w:rPr>
      </w:pPr>
      <w:r>
        <w:rPr>
          <w:rFonts w:hint="eastAsia"/>
          <w:color w:val="auto"/>
          <w:lang w:val="en-US" w:eastAsia="zh-CN"/>
        </w:rPr>
        <w:t>1.项目年度绩效目标</w:t>
      </w:r>
    </w:p>
    <w:p>
      <w:pPr>
        <w:bidi w:val="0"/>
        <w:rPr>
          <w:rFonts w:hint="eastAsia"/>
          <w:color w:val="auto"/>
          <w:lang w:val="en-US" w:eastAsia="zh-CN"/>
        </w:rPr>
      </w:pPr>
      <w:r>
        <w:rPr>
          <w:rFonts w:hint="eastAsia"/>
          <w:color w:val="auto"/>
          <w:lang w:val="en-US" w:eastAsia="zh-CN"/>
        </w:rPr>
        <w:t>该项目设定绩效目标为推进教学改革，完成教学培训任务，提升服务水平，努力创建“全市一流、自治区前列”的县级党校，保证旗委党校按期投入使用。</w:t>
      </w:r>
    </w:p>
    <w:p>
      <w:pPr>
        <w:pStyle w:val="4"/>
        <w:bidi w:val="0"/>
        <w:rPr>
          <w:rFonts w:hint="eastAsia"/>
          <w:color w:val="auto"/>
          <w:highlight w:val="none"/>
          <w:lang w:val="en-US" w:eastAsia="zh-CN"/>
        </w:rPr>
      </w:pPr>
      <w:r>
        <w:rPr>
          <w:rFonts w:hint="eastAsia"/>
          <w:color w:val="auto"/>
          <w:highlight w:val="none"/>
          <w:lang w:val="en-US" w:eastAsia="zh-CN"/>
        </w:rPr>
        <w:t>2.项目绩效管理情况</w:t>
      </w:r>
    </w:p>
    <w:p>
      <w:pPr>
        <w:bidi w:val="0"/>
        <w:rPr>
          <w:rFonts w:hint="eastAsia"/>
          <w:color w:val="auto"/>
          <w:lang w:val="en-US" w:eastAsia="zh-CN"/>
        </w:rPr>
      </w:pPr>
      <w:r>
        <w:rPr>
          <w:rFonts w:hint="eastAsia"/>
          <w:color w:val="auto"/>
          <w:lang w:val="en-US" w:eastAsia="zh-CN"/>
        </w:rPr>
        <w:t>根据</w:t>
      </w:r>
      <w:r>
        <w:rPr>
          <w:rFonts w:hint="eastAsia" w:ascii="Times New Roman" w:hAnsi="Times New Roman" w:cs="Times New Roman"/>
          <w:color w:val="auto"/>
          <w:kern w:val="2"/>
          <w:szCs w:val="24"/>
          <w:lang w:val="en-US" w:eastAsia="zh-CN" w:bidi="ar-SA"/>
        </w:rPr>
        <w:t>《</w:t>
      </w:r>
      <w:r>
        <w:rPr>
          <w:rFonts w:hint="eastAsia" w:ascii="Times New Roman" w:hAnsi="Times New Roman" w:eastAsia="仿宋_GB2312" w:cs="Times New Roman"/>
          <w:color w:val="auto"/>
          <w:kern w:val="2"/>
          <w:szCs w:val="24"/>
          <w:lang w:val="en-US" w:eastAsia="zh-CN" w:bidi="ar-SA"/>
        </w:rPr>
        <w:t>伊金霍洛旗人民政府办公室关于印发全面实施预算绩效管理意见的通知</w:t>
      </w:r>
      <w:r>
        <w:rPr>
          <w:rFonts w:hint="eastAsia" w:ascii="Times New Roman" w:hAnsi="Times New Roman" w:cs="Times New Roman"/>
          <w:color w:val="auto"/>
          <w:kern w:val="2"/>
          <w:szCs w:val="24"/>
          <w:lang w:val="en-US" w:eastAsia="zh-CN" w:bidi="ar-SA"/>
        </w:rPr>
        <w:t>》</w:t>
      </w:r>
      <w:r>
        <w:rPr>
          <w:rFonts w:hint="eastAsia" w:cs="Times New Roman"/>
          <w:color w:val="auto"/>
          <w:kern w:val="2"/>
          <w:szCs w:val="24"/>
          <w:lang w:val="en-US" w:eastAsia="zh-CN" w:bidi="ar-SA"/>
        </w:rPr>
        <w:t>（</w:t>
      </w:r>
      <w:r>
        <w:rPr>
          <w:rFonts w:hint="eastAsia" w:ascii="Times New Roman" w:hAnsi="Times New Roman" w:eastAsia="仿宋_GB2312" w:cs="Times New Roman"/>
          <w:color w:val="auto"/>
          <w:kern w:val="2"/>
          <w:szCs w:val="24"/>
          <w:lang w:val="en-US" w:eastAsia="zh-CN" w:bidi="ar-SA"/>
        </w:rPr>
        <w:t>伊政办发〔202</w:t>
      </w:r>
      <w:r>
        <w:rPr>
          <w:rFonts w:hint="eastAsia" w:ascii="Times New Roman" w:hAnsi="Times New Roman" w:cs="Times New Roman"/>
          <w:color w:val="auto"/>
          <w:kern w:val="2"/>
          <w:szCs w:val="24"/>
          <w:lang w:val="en-US" w:eastAsia="zh-CN" w:bidi="ar-SA"/>
        </w:rPr>
        <w:t>1</w:t>
      </w:r>
      <w:r>
        <w:rPr>
          <w:rFonts w:hint="eastAsia" w:ascii="Times New Roman" w:hAnsi="Times New Roman" w:eastAsia="仿宋_GB2312" w:cs="Times New Roman"/>
          <w:color w:val="auto"/>
          <w:kern w:val="2"/>
          <w:szCs w:val="24"/>
          <w:lang w:val="en-US" w:eastAsia="zh-CN" w:bidi="ar-SA"/>
        </w:rPr>
        <w:t>〕59号</w:t>
      </w:r>
      <w:r>
        <w:rPr>
          <w:rFonts w:hint="eastAsia" w:cs="Times New Roman"/>
          <w:color w:val="auto"/>
          <w:kern w:val="2"/>
          <w:szCs w:val="24"/>
          <w:lang w:val="en-US" w:eastAsia="zh-CN" w:bidi="ar-SA"/>
        </w:rPr>
        <w:t>）文件精神要求，中共伊金霍洛旗委员会党校作为</w:t>
      </w:r>
      <w:r>
        <w:rPr>
          <w:rFonts w:hint="eastAsia"/>
          <w:color w:val="auto"/>
          <w:lang w:val="en-US" w:eastAsia="zh-CN"/>
        </w:rPr>
        <w:t>该项目的具体实施单位，应该建立绩效目标运行监控管理机制，对绩效目标实现程度和预算执行进度实行“双监控”，定期采集绩效运行信息并汇总分析，跟踪绩效目标，及时掌握绩效目标完成情况、项目实施进程和支出执行进度，确保目标顺利实现。当绩效运行与预期目标发生偏离时，应及时采取措施纠正，预期无绩效、低绩效的项目停止执行。对存在严重问题的政策、项目暂缓或停止预算拨款，督促及时整改落实；确因政策变化、突发情况等因素影响绩效目标实现，需调整绩效目标的，要根据绩效目标管理要求和审核流程，随同预算一并调整，提高资金使用效益。及时开展财政预算支出项目绩效自评工作。</w:t>
      </w:r>
    </w:p>
    <w:p>
      <w:pPr>
        <w:bidi w:val="0"/>
        <w:rPr>
          <w:rFonts w:hint="default"/>
          <w:color w:val="auto"/>
          <w:lang w:val="en-US" w:eastAsia="zh-CN"/>
        </w:rPr>
      </w:pPr>
      <w:r>
        <w:rPr>
          <w:rFonts w:hint="eastAsia" w:cs="Times New Roman"/>
          <w:color w:val="auto"/>
          <w:kern w:val="2"/>
          <w:szCs w:val="24"/>
          <w:lang w:val="en-US" w:eastAsia="zh-CN" w:bidi="ar-SA"/>
        </w:rPr>
        <w:t>中共伊金霍洛旗委员会党校</w:t>
      </w:r>
      <w:r>
        <w:rPr>
          <w:rFonts w:hint="eastAsia"/>
          <w:color w:val="auto"/>
          <w:lang w:val="en-US" w:eastAsia="zh-CN"/>
        </w:rPr>
        <w:t>对项目实施了绩效目标申报及绩效自评工作，较好地完成了该项目的绩效管理工作。</w:t>
      </w:r>
    </w:p>
    <w:p>
      <w:pPr>
        <w:pStyle w:val="2"/>
        <w:bidi w:val="0"/>
        <w:rPr>
          <w:rFonts w:hint="eastAsia"/>
          <w:color w:val="auto"/>
        </w:rPr>
      </w:pPr>
      <w:bookmarkStart w:id="3" w:name="_Toc1226"/>
      <w:r>
        <w:rPr>
          <w:rFonts w:hint="eastAsia"/>
          <w:color w:val="auto"/>
        </w:rPr>
        <w:t>二、</w:t>
      </w:r>
      <w:bookmarkEnd w:id="3"/>
      <w:bookmarkStart w:id="4" w:name="_Toc5793"/>
      <w:r>
        <w:rPr>
          <w:rFonts w:hint="eastAsia"/>
          <w:color w:val="auto"/>
        </w:rPr>
        <w:t>综合评价分析情况及评价结论</w:t>
      </w:r>
      <w:bookmarkEnd w:id="4"/>
    </w:p>
    <w:p>
      <w:pPr>
        <w:bidi w:val="0"/>
        <w:rPr>
          <w:rFonts w:hint="eastAsia"/>
          <w:color w:val="auto"/>
          <w:lang w:eastAsia="zh-CN"/>
        </w:rPr>
      </w:pPr>
      <w:r>
        <w:rPr>
          <w:rFonts w:hint="eastAsia"/>
          <w:color w:val="auto"/>
        </w:rPr>
        <w:t>绩效评价工作组通过</w:t>
      </w:r>
      <w:r>
        <w:rPr>
          <w:rFonts w:hint="default"/>
          <w:color w:val="auto"/>
        </w:rPr>
        <w:t>查阅资料、专家咨询、现场调研、召开评价会等多种方式，对项目的决策、</w:t>
      </w:r>
      <w:r>
        <w:rPr>
          <w:rFonts w:hint="eastAsia"/>
          <w:color w:val="auto"/>
          <w:lang w:val="en-US" w:eastAsia="zh-CN"/>
        </w:rPr>
        <w:t>过程</w:t>
      </w:r>
      <w:r>
        <w:rPr>
          <w:rFonts w:hint="default"/>
          <w:color w:val="auto"/>
        </w:rPr>
        <w:t>、产出及效益方面进行了评价</w:t>
      </w:r>
      <w:r>
        <w:rPr>
          <w:rFonts w:hint="eastAsia"/>
          <w:color w:val="auto"/>
          <w:lang w:eastAsia="zh-CN"/>
        </w:rPr>
        <w:t>。</w:t>
      </w:r>
    </w:p>
    <w:p>
      <w:pPr>
        <w:bidi w:val="0"/>
        <w:rPr>
          <w:rFonts w:hint="default"/>
          <w:color w:val="auto"/>
          <w:highlight w:val="none"/>
          <w:lang w:val="en-US" w:eastAsia="zh-CN"/>
        </w:rPr>
      </w:pPr>
      <w:r>
        <w:rPr>
          <w:rFonts w:hint="eastAsia"/>
          <w:color w:val="auto"/>
          <w:highlight w:val="none"/>
          <w:lang w:val="en-US" w:eastAsia="zh-CN"/>
        </w:rPr>
        <w:t>评价认为该项目年度绩效目标基本实现，按照年初制定的设备采购计划已全部按时完成，绩效目标设定合理可行，绩效指标分解科学，该项目决策管理良好。项目预算资金到位、支出及时，管理制度健全且得到有效执行，对实施过程的采购、合同进行了有效管理，极大地保障了项目顺利实施，项目过程管理良好。项目产出数量与计划目标相符，产出质量符合验收标准，在计划时间内完成，且项目成本控制在计划成本内，项目产出情况很好。</w:t>
      </w:r>
      <w:r>
        <w:rPr>
          <w:rFonts w:hint="eastAsia"/>
          <w:color w:val="auto"/>
          <w:lang w:val="en-US" w:eastAsia="zh-CN"/>
        </w:rPr>
        <w:t>通过项目的实施，有效地保障了中共伊金霍洛旗委员会党校按期投入使用，提升了党校服务能力，为创建“全市一流、自治区前列”的县级党校奠定了基础。</w:t>
      </w:r>
    </w:p>
    <w:p>
      <w:pPr>
        <w:pStyle w:val="2"/>
        <w:bidi w:val="0"/>
        <w:rPr>
          <w:rFonts w:hint="eastAsia"/>
          <w:color w:val="auto"/>
          <w:lang w:val="en-US" w:eastAsia="zh-CN"/>
        </w:rPr>
      </w:pPr>
      <w:r>
        <w:rPr>
          <w:rFonts w:hint="eastAsia"/>
          <w:b w:val="0"/>
          <w:bCs/>
          <w:color w:val="auto"/>
          <w:lang w:val="en-US" w:eastAsia="zh-CN"/>
        </w:rPr>
        <w:t>但该项目还存在预算编制不科学、资金支付审批程序不完整、验收管理不完整等问题。该项目综合评价得分85.5分，评定级别为“良”。</w:t>
      </w:r>
      <w:bookmarkStart w:id="5" w:name="_Toc7581"/>
    </w:p>
    <w:p>
      <w:pPr>
        <w:pStyle w:val="3"/>
        <w:bidi w:val="0"/>
        <w:rPr>
          <w:rFonts w:hint="eastAsia"/>
          <w:color w:val="auto"/>
          <w:lang w:val="en-US" w:eastAsia="zh-CN"/>
        </w:rPr>
      </w:pPr>
      <w:r>
        <w:rPr>
          <w:rFonts w:hint="eastAsia"/>
          <w:color w:val="auto"/>
          <w:lang w:eastAsia="zh-CN"/>
        </w:rPr>
        <w:t>三</w:t>
      </w:r>
      <w:bookmarkEnd w:id="5"/>
      <w:bookmarkStart w:id="6" w:name="_Toc13595"/>
      <w:r>
        <w:rPr>
          <w:rFonts w:hint="eastAsia"/>
          <w:color w:val="auto"/>
        </w:rPr>
        <w:t>、</w:t>
      </w:r>
      <w:bookmarkEnd w:id="6"/>
      <w:bookmarkStart w:id="7" w:name="_Toc4824"/>
      <w:r>
        <w:rPr>
          <w:rFonts w:hint="eastAsia"/>
          <w:color w:val="auto"/>
          <w:lang w:val="en-US" w:eastAsia="zh-CN"/>
        </w:rPr>
        <w:t>主要经验做法</w:t>
      </w:r>
      <w:bookmarkEnd w:id="7"/>
    </w:p>
    <w:p>
      <w:pPr>
        <w:rPr>
          <w:rFonts w:hint="default"/>
          <w:color w:val="auto"/>
          <w:lang w:val="en-US" w:eastAsia="zh-CN"/>
        </w:rPr>
      </w:pPr>
      <w:r>
        <w:rPr>
          <w:rFonts w:hint="eastAsia"/>
          <w:color w:val="auto"/>
          <w:lang w:val="en-US" w:eastAsia="zh-CN"/>
        </w:rPr>
        <w:t>评价认为该项目较好地按照</w:t>
      </w:r>
      <w:r>
        <w:rPr>
          <w:rFonts w:hint="eastAsia" w:ascii="Times New Roman" w:hAnsi="Times New Roman" w:cs="Times New Roman"/>
          <w:color w:val="auto"/>
          <w:kern w:val="2"/>
          <w:szCs w:val="24"/>
          <w:lang w:val="en-US" w:eastAsia="zh-CN" w:bidi="ar-SA"/>
        </w:rPr>
        <w:t>《</w:t>
      </w:r>
      <w:r>
        <w:rPr>
          <w:rFonts w:hint="eastAsia" w:ascii="Times New Roman" w:hAnsi="Times New Roman" w:eastAsia="仿宋_GB2312" w:cs="Times New Roman"/>
          <w:color w:val="auto"/>
          <w:kern w:val="2"/>
          <w:szCs w:val="24"/>
          <w:lang w:val="en-US" w:eastAsia="zh-CN" w:bidi="ar-SA"/>
        </w:rPr>
        <w:t>伊金霍洛旗人民政府办公室关于印发全面实施预算绩效管理意见的通知</w:t>
      </w:r>
      <w:r>
        <w:rPr>
          <w:rFonts w:hint="eastAsia" w:ascii="Times New Roman" w:hAnsi="Times New Roman" w:cs="Times New Roman"/>
          <w:color w:val="auto"/>
          <w:kern w:val="2"/>
          <w:szCs w:val="24"/>
          <w:lang w:val="en-US" w:eastAsia="zh-CN" w:bidi="ar-SA"/>
        </w:rPr>
        <w:t>》</w:t>
      </w:r>
      <w:r>
        <w:rPr>
          <w:rFonts w:hint="eastAsia" w:cs="Times New Roman"/>
          <w:color w:val="auto"/>
          <w:kern w:val="2"/>
          <w:szCs w:val="24"/>
          <w:lang w:val="en-US" w:eastAsia="zh-CN" w:bidi="ar-SA"/>
        </w:rPr>
        <w:t>（</w:t>
      </w:r>
      <w:r>
        <w:rPr>
          <w:rFonts w:hint="eastAsia" w:ascii="Times New Roman" w:hAnsi="Times New Roman" w:eastAsia="仿宋_GB2312" w:cs="Times New Roman"/>
          <w:color w:val="auto"/>
          <w:kern w:val="2"/>
          <w:szCs w:val="24"/>
          <w:lang w:val="en-US" w:eastAsia="zh-CN" w:bidi="ar-SA"/>
        </w:rPr>
        <w:t>伊政办发〔202</w:t>
      </w:r>
      <w:r>
        <w:rPr>
          <w:rFonts w:hint="eastAsia" w:ascii="Times New Roman" w:hAnsi="Times New Roman" w:cs="Times New Roman"/>
          <w:color w:val="auto"/>
          <w:kern w:val="2"/>
          <w:szCs w:val="24"/>
          <w:lang w:val="en-US" w:eastAsia="zh-CN" w:bidi="ar-SA"/>
        </w:rPr>
        <w:t>1</w:t>
      </w:r>
      <w:r>
        <w:rPr>
          <w:rFonts w:hint="eastAsia" w:ascii="Times New Roman" w:hAnsi="Times New Roman" w:eastAsia="仿宋_GB2312" w:cs="Times New Roman"/>
          <w:color w:val="auto"/>
          <w:kern w:val="2"/>
          <w:szCs w:val="24"/>
          <w:lang w:val="en-US" w:eastAsia="zh-CN" w:bidi="ar-SA"/>
        </w:rPr>
        <w:t>〕59号</w:t>
      </w:r>
      <w:r>
        <w:rPr>
          <w:rFonts w:hint="eastAsia" w:cs="Times New Roman"/>
          <w:color w:val="auto"/>
          <w:kern w:val="2"/>
          <w:szCs w:val="24"/>
          <w:lang w:val="en-US" w:eastAsia="zh-CN" w:bidi="ar-SA"/>
        </w:rPr>
        <w:t>）文件精神，</w:t>
      </w:r>
      <w:r>
        <w:rPr>
          <w:rFonts w:hint="eastAsia"/>
          <w:color w:val="auto"/>
          <w:lang w:val="en-US" w:eastAsia="zh-CN"/>
        </w:rPr>
        <w:t>将财政支出项目绩效管理工作纳入日常管理中。</w:t>
      </w:r>
    </w:p>
    <w:p>
      <w:pPr>
        <w:pStyle w:val="3"/>
        <w:bidi w:val="0"/>
        <w:rPr>
          <w:rFonts w:hint="default"/>
          <w:color w:val="auto"/>
          <w:lang w:val="en-US" w:eastAsia="zh-CN"/>
        </w:rPr>
      </w:pPr>
      <w:bookmarkStart w:id="8" w:name="_Toc19251"/>
      <w:r>
        <w:rPr>
          <w:rFonts w:hint="eastAsia"/>
          <w:color w:val="auto"/>
          <w:lang w:val="en-US" w:eastAsia="zh-CN"/>
        </w:rPr>
        <w:t>四、存在的问题及建议</w:t>
      </w:r>
      <w:bookmarkEnd w:id="8"/>
    </w:p>
    <w:p>
      <w:pPr>
        <w:pStyle w:val="4"/>
        <w:bidi w:val="0"/>
        <w:rPr>
          <w:rFonts w:hint="eastAsia"/>
          <w:color w:val="auto"/>
          <w:lang w:val="en-US" w:eastAsia="zh-CN"/>
        </w:rPr>
      </w:pPr>
      <w:r>
        <w:rPr>
          <w:rFonts w:hint="eastAsia"/>
          <w:color w:val="auto"/>
          <w:lang w:val="en-US" w:eastAsia="zh-CN"/>
        </w:rPr>
        <w:t>1.项目预算编制科学性不足</w:t>
      </w:r>
    </w:p>
    <w:p>
      <w:pPr>
        <w:rPr>
          <w:rFonts w:hint="eastAsia"/>
          <w:color w:val="auto"/>
          <w:lang w:val="en-US" w:eastAsia="zh-CN"/>
        </w:rPr>
      </w:pPr>
      <w:r>
        <w:rPr>
          <w:rFonts w:hint="eastAsia"/>
          <w:color w:val="auto"/>
          <w:lang w:val="en-US" w:eastAsia="zh-CN"/>
        </w:rPr>
        <w:t>该项目申报实施前未对项目预算进行编制测算、论证，项目预算编制科学性不足，不利于财政资金的高效使用。</w:t>
      </w:r>
    </w:p>
    <w:p>
      <w:pPr>
        <w:rPr>
          <w:rFonts w:hint="eastAsia"/>
          <w:color w:val="auto"/>
          <w:lang w:val="en-US" w:eastAsia="zh-CN"/>
        </w:rPr>
      </w:pPr>
      <w:r>
        <w:rPr>
          <w:rFonts w:hint="eastAsia"/>
          <w:color w:val="auto"/>
          <w:lang w:val="en-US" w:eastAsia="zh-CN"/>
        </w:rPr>
        <w:t>建议项目单位加强项目前期工作，对项目预算进行合理测算编制，必要时可开展相关论证工作，压实做细项目预算编制工作。</w:t>
      </w:r>
    </w:p>
    <w:p>
      <w:pPr>
        <w:pStyle w:val="4"/>
        <w:bidi w:val="0"/>
        <w:rPr>
          <w:rFonts w:hint="eastAsia" w:asciiTheme="minorEastAsia" w:hAnsiTheme="minorEastAsia" w:eastAsiaTheme="minorEastAsia" w:cstheme="minorEastAsia"/>
          <w:color w:val="auto"/>
          <w:sz w:val="28"/>
          <w:szCs w:val="22"/>
          <w:lang w:val="en-US" w:eastAsia="zh-CN"/>
        </w:rPr>
      </w:pPr>
      <w:r>
        <w:rPr>
          <w:rFonts w:hint="eastAsia"/>
          <w:color w:val="auto"/>
          <w:lang w:val="en-US" w:eastAsia="zh-CN"/>
        </w:rPr>
        <w:t>2.</w:t>
      </w:r>
      <w:r>
        <w:rPr>
          <w:rFonts w:hint="eastAsia" w:asciiTheme="minorEastAsia" w:hAnsiTheme="minorEastAsia" w:eastAsiaTheme="minorEastAsia" w:cstheme="minorEastAsia"/>
          <w:color w:val="auto"/>
          <w:sz w:val="28"/>
          <w:szCs w:val="22"/>
          <w:lang w:val="en-US" w:eastAsia="zh-CN"/>
        </w:rPr>
        <w:t>资金支付报销审批程序不完整</w:t>
      </w:r>
    </w:p>
    <w:p>
      <w:pPr>
        <w:rPr>
          <w:rFonts w:hint="eastAsia"/>
          <w:color w:val="auto"/>
          <w:lang w:val="en-US" w:eastAsia="zh-CN"/>
        </w:rPr>
      </w:pPr>
      <w:r>
        <w:rPr>
          <w:rFonts w:hint="eastAsia"/>
          <w:color w:val="auto"/>
          <w:lang w:val="en-US" w:eastAsia="zh-CN"/>
        </w:rPr>
        <w:t>该项目评价过程中发现资金支付报销凭证缺少相关领导签字审核（如：记账凭证编号记-6-0013，及布草采购付款报销审批单、厨房设备采购付款报销审批单等），项目单位在缺少相关领导签字审核的情况下进行了资金的支付。这一情况违反了财务管理制度，不利于财政资金的安全使用。</w:t>
      </w:r>
    </w:p>
    <w:p>
      <w:pPr>
        <w:rPr>
          <w:rFonts w:hint="default"/>
          <w:color w:val="auto"/>
          <w:lang w:val="en-US" w:eastAsia="zh-CN"/>
        </w:rPr>
      </w:pPr>
      <w:r>
        <w:rPr>
          <w:rFonts w:hint="eastAsia"/>
          <w:color w:val="auto"/>
          <w:lang w:val="en-US" w:eastAsia="zh-CN"/>
        </w:rPr>
        <w:t>建议项目单位严格按照财务管理制度要求的审批审核流程执行，以保障财政资金的使用安全。</w:t>
      </w:r>
    </w:p>
    <w:p>
      <w:pPr>
        <w:pStyle w:val="4"/>
        <w:bidi w:val="0"/>
        <w:rPr>
          <w:rFonts w:hint="default"/>
          <w:color w:val="auto"/>
          <w:lang w:val="en-US" w:eastAsia="zh-CN"/>
        </w:rPr>
      </w:pPr>
      <w:r>
        <w:rPr>
          <w:rFonts w:hint="eastAsia"/>
          <w:color w:val="auto"/>
          <w:lang w:val="en-US" w:eastAsia="zh-CN"/>
        </w:rPr>
        <w:t>3.验收管理不完整</w:t>
      </w:r>
    </w:p>
    <w:p>
      <w:pPr>
        <w:rPr>
          <w:rFonts w:hint="default"/>
          <w:color w:val="auto"/>
          <w:lang w:val="en-US" w:eastAsia="zh-CN"/>
        </w:rPr>
      </w:pPr>
      <w:r>
        <w:rPr>
          <w:rFonts w:hint="eastAsia"/>
          <w:color w:val="auto"/>
          <w:lang w:val="en-US" w:eastAsia="zh-CN"/>
        </w:rPr>
        <w:t>该项目评价过程中发现部分项目验收资料不完整，缺少相关验收人员签字确认，验收工作不认真。</w:t>
      </w:r>
    </w:p>
    <w:p>
      <w:pPr>
        <w:rPr>
          <w:rFonts w:hint="eastAsia"/>
          <w:color w:val="auto"/>
          <w:lang w:val="en-US" w:eastAsia="zh-CN"/>
        </w:rPr>
      </w:pPr>
      <w:r>
        <w:rPr>
          <w:rFonts w:hint="eastAsia"/>
          <w:color w:val="auto"/>
          <w:lang w:val="en-US" w:eastAsia="zh-CN"/>
        </w:rPr>
        <w:t>建议项目单位加强验收管理意识，验收管理是采购项目实施的重要环节之一，关系着采购设备质量、数量是否符合约定。项目单位应根据项目特点组织相关人员成立验收小组，制定验收细则，验收资料内容明确对验收时间和验收意见等均要明确记录。</w:t>
      </w:r>
    </w:p>
    <w:p>
      <w:pPr>
        <w:pStyle w:val="4"/>
        <w:bidi w:val="0"/>
        <w:rPr>
          <w:rFonts w:hint="eastAsia" w:asciiTheme="minorEastAsia" w:hAnsiTheme="minorEastAsia" w:eastAsiaTheme="minorEastAsia" w:cstheme="minorEastAsia"/>
          <w:color w:val="auto"/>
          <w:sz w:val="28"/>
          <w:szCs w:val="22"/>
          <w:lang w:val="en-US" w:eastAsia="zh-CN"/>
        </w:rPr>
      </w:pPr>
      <w:r>
        <w:rPr>
          <w:rFonts w:hint="eastAsia"/>
          <w:color w:val="auto"/>
          <w:lang w:val="en-US" w:eastAsia="zh-CN"/>
        </w:rPr>
        <w:t>4.</w:t>
      </w:r>
      <w:r>
        <w:rPr>
          <w:rFonts w:hint="eastAsia" w:asciiTheme="minorEastAsia" w:hAnsiTheme="minorEastAsia" w:eastAsiaTheme="minorEastAsia" w:cstheme="minorEastAsia"/>
          <w:color w:val="auto"/>
          <w:sz w:val="28"/>
          <w:szCs w:val="22"/>
          <w:lang w:val="en-US" w:eastAsia="zh-CN"/>
        </w:rPr>
        <w:t>新增固定资产管理不严谨</w:t>
      </w:r>
    </w:p>
    <w:p>
      <w:pPr>
        <w:rPr>
          <w:rFonts w:hint="eastAsia"/>
          <w:color w:val="auto"/>
          <w:lang w:val="en-US" w:eastAsia="zh-CN"/>
        </w:rPr>
      </w:pPr>
      <w:r>
        <w:rPr>
          <w:rFonts w:hint="eastAsia"/>
          <w:color w:val="auto"/>
          <w:lang w:val="en-US" w:eastAsia="zh-CN"/>
        </w:rPr>
        <w:t>该项目评价过程中发现项目单位</w:t>
      </w:r>
      <w:r>
        <w:rPr>
          <w:rFonts w:hint="eastAsia"/>
          <w:color w:val="auto"/>
          <w:highlight w:val="none"/>
          <w:lang w:val="en-US" w:eastAsia="zh-CN"/>
        </w:rPr>
        <w:t>仅对采购新增固定资产进行登记，未进行贴签管理</w:t>
      </w:r>
      <w:r>
        <w:rPr>
          <w:rFonts w:hint="eastAsia"/>
          <w:color w:val="auto"/>
          <w:lang w:val="en-US" w:eastAsia="zh-CN"/>
        </w:rPr>
        <w:t>，对新增固定资产管理不及时不到位，很容易导致固定资产的流失。</w:t>
      </w:r>
    </w:p>
    <w:p>
      <w:pPr>
        <w:rPr>
          <w:rFonts w:hint="default"/>
          <w:color w:val="auto"/>
          <w:lang w:val="en-US" w:eastAsia="zh-CN"/>
        </w:rPr>
      </w:pPr>
      <w:r>
        <w:rPr>
          <w:rFonts w:hint="eastAsia"/>
          <w:color w:val="auto"/>
          <w:lang w:val="en-US" w:eastAsia="zh-CN"/>
        </w:rPr>
        <w:t>建议项目单位应及时对采购新增形成的固定资产按照行政事业单位固定资产管理要求进行盘点、登记、贴签。务必做到固定资产的账-物-卡相符，预防固定资产的流失。</w:t>
      </w:r>
    </w:p>
    <w:sectPr>
      <w:footerReference r:id="rId5" w:type="default"/>
      <w:pgSz w:w="11906" w:h="16838"/>
      <w:pgMar w:top="1553"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TdjZDgyMWJmMjRlNTU5OGMxYjdmNjdmZmRlMWMifQ=="/>
  </w:docVars>
  <w:rsids>
    <w:rsidRoot w:val="7FF0B5AD"/>
    <w:rsid w:val="00A65FA9"/>
    <w:rsid w:val="033D70F0"/>
    <w:rsid w:val="06040DD9"/>
    <w:rsid w:val="061E4834"/>
    <w:rsid w:val="063E3C85"/>
    <w:rsid w:val="07CD379B"/>
    <w:rsid w:val="08A914B5"/>
    <w:rsid w:val="096A6AAF"/>
    <w:rsid w:val="09C47ABE"/>
    <w:rsid w:val="0C3E61C8"/>
    <w:rsid w:val="0CE4363E"/>
    <w:rsid w:val="0DBA5896"/>
    <w:rsid w:val="0EDB59B8"/>
    <w:rsid w:val="11077D47"/>
    <w:rsid w:val="14A423A8"/>
    <w:rsid w:val="14AC433A"/>
    <w:rsid w:val="16625FF0"/>
    <w:rsid w:val="16797BD3"/>
    <w:rsid w:val="184E0FA9"/>
    <w:rsid w:val="19B3612E"/>
    <w:rsid w:val="1A823A41"/>
    <w:rsid w:val="1B656D35"/>
    <w:rsid w:val="1BEE3C6A"/>
    <w:rsid w:val="1C947DDD"/>
    <w:rsid w:val="1EA94722"/>
    <w:rsid w:val="203A62A3"/>
    <w:rsid w:val="21EE62A7"/>
    <w:rsid w:val="22B57DE4"/>
    <w:rsid w:val="23E25F14"/>
    <w:rsid w:val="23E91A24"/>
    <w:rsid w:val="27751963"/>
    <w:rsid w:val="28684FA2"/>
    <w:rsid w:val="2BEB558F"/>
    <w:rsid w:val="2C1466F4"/>
    <w:rsid w:val="2E132621"/>
    <w:rsid w:val="2E461D92"/>
    <w:rsid w:val="2E5E576B"/>
    <w:rsid w:val="2F4D3910"/>
    <w:rsid w:val="2F86652E"/>
    <w:rsid w:val="2FD42329"/>
    <w:rsid w:val="320C374D"/>
    <w:rsid w:val="333252F7"/>
    <w:rsid w:val="33C63C91"/>
    <w:rsid w:val="35054F1C"/>
    <w:rsid w:val="38507793"/>
    <w:rsid w:val="385E739B"/>
    <w:rsid w:val="386A294C"/>
    <w:rsid w:val="39186D3D"/>
    <w:rsid w:val="3A0E4C4C"/>
    <w:rsid w:val="3B7641EF"/>
    <w:rsid w:val="3BC6395E"/>
    <w:rsid w:val="3C555222"/>
    <w:rsid w:val="3D2F64CE"/>
    <w:rsid w:val="3E8938CE"/>
    <w:rsid w:val="3F3C3679"/>
    <w:rsid w:val="3F525A73"/>
    <w:rsid w:val="40F462E2"/>
    <w:rsid w:val="41324705"/>
    <w:rsid w:val="44AB7E78"/>
    <w:rsid w:val="49AF4DDC"/>
    <w:rsid w:val="49E05CA0"/>
    <w:rsid w:val="4A457257"/>
    <w:rsid w:val="4C3E63E0"/>
    <w:rsid w:val="4D500C0F"/>
    <w:rsid w:val="4F7801A4"/>
    <w:rsid w:val="50E506DF"/>
    <w:rsid w:val="527D147C"/>
    <w:rsid w:val="55157CFC"/>
    <w:rsid w:val="56B172A0"/>
    <w:rsid w:val="57340D8E"/>
    <w:rsid w:val="57642CD4"/>
    <w:rsid w:val="581405C3"/>
    <w:rsid w:val="5A2C496A"/>
    <w:rsid w:val="5C885E22"/>
    <w:rsid w:val="5CE609DA"/>
    <w:rsid w:val="5D04179A"/>
    <w:rsid w:val="5D277B93"/>
    <w:rsid w:val="5DCF4FA3"/>
    <w:rsid w:val="5F196D4A"/>
    <w:rsid w:val="5FED3BEB"/>
    <w:rsid w:val="65D279B4"/>
    <w:rsid w:val="66440592"/>
    <w:rsid w:val="66517871"/>
    <w:rsid w:val="685F7C35"/>
    <w:rsid w:val="69E93198"/>
    <w:rsid w:val="6AEA4B03"/>
    <w:rsid w:val="6B2A34C9"/>
    <w:rsid w:val="6C357857"/>
    <w:rsid w:val="6D021A16"/>
    <w:rsid w:val="6D8D71CB"/>
    <w:rsid w:val="6EFA2EC9"/>
    <w:rsid w:val="6F2C33B6"/>
    <w:rsid w:val="6FE92DA8"/>
    <w:rsid w:val="72B648F6"/>
    <w:rsid w:val="73D70FC8"/>
    <w:rsid w:val="751D0C5C"/>
    <w:rsid w:val="76522BE6"/>
    <w:rsid w:val="79A55ABD"/>
    <w:rsid w:val="7A473EB8"/>
    <w:rsid w:val="7B3F6CCC"/>
    <w:rsid w:val="7CA5451E"/>
    <w:rsid w:val="7D625DA6"/>
    <w:rsid w:val="7FF0B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b/>
      <w:kern w:val="44"/>
      <w:sz w:val="32"/>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仿宋_GB2312"/>
      <w:b/>
    </w:rPr>
  </w:style>
  <w:style w:type="paragraph" w:styleId="4">
    <w:name w:val="heading 3"/>
    <w:basedOn w:val="1"/>
    <w:next w:val="1"/>
    <w:unhideWhenUsed/>
    <w:qFormat/>
    <w:uiPriority w:val="0"/>
    <w:pPr>
      <w:keepNext/>
      <w:keepLines/>
      <w:spacing w:beforeLines="0" w:beforeAutospacing="0" w:afterLines="0" w:afterAutospacing="0" w:line="240" w:lineRule="auto"/>
      <w:outlineLvl w:val="2"/>
    </w:pPr>
    <w:rPr>
      <w:rFonts w:ascii="Times New Roman" w:hAnsi="Times New Roman"/>
      <w:b/>
    </w:rPr>
  </w:style>
  <w:style w:type="paragraph" w:styleId="5">
    <w:name w:val="heading 4"/>
    <w:basedOn w:val="1"/>
    <w:next w:val="1"/>
    <w:unhideWhenUsed/>
    <w:qFormat/>
    <w:uiPriority w:val="0"/>
    <w:pPr>
      <w:keepNext/>
      <w:keepLines/>
      <w:spacing w:beforeLines="0" w:beforeAutospacing="0" w:afterLines="0" w:afterAutospacing="0" w:line="360" w:lineRule="exact"/>
      <w:ind w:firstLine="0" w:firstLineChars="0"/>
      <w:jc w:val="center"/>
      <w:outlineLvl w:val="3"/>
    </w:pPr>
    <w:rPr>
      <w:rFonts w:ascii="Arial" w:hAnsi="Arial" w:eastAsia="宋体"/>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firstLine="420"/>
    </w:pPr>
  </w:style>
  <w:style w:type="character" w:customStyle="1" w:styleId="15">
    <w:name w:val="fontstyle01"/>
    <w:basedOn w:val="13"/>
    <w:qFormat/>
    <w:uiPriority w:val="0"/>
    <w:rPr>
      <w:rFonts w:hint="eastAsia" w:ascii="仿宋_GB2312" w:eastAsia="仿宋_GB2312"/>
      <w:color w:val="000000"/>
      <w:sz w:val="32"/>
      <w:szCs w:val="32"/>
    </w:rPr>
  </w:style>
  <w:style w:type="paragraph" w:customStyle="1" w:styleId="16">
    <w:name w:val="标题2"/>
    <w:basedOn w:val="17"/>
    <w:qFormat/>
    <w:uiPriority w:val="0"/>
    <w:pPr>
      <w:adjustRightInd w:val="0"/>
      <w:snapToGrid w:val="0"/>
      <w:spacing w:before="50" w:beforeLines="50" w:after="50" w:afterLines="50" w:line="760" w:lineRule="exact"/>
      <w:ind w:firstLine="200"/>
      <w:jc w:val="left"/>
    </w:pPr>
    <w:rPr>
      <w:rFonts w:ascii="楷体" w:hAnsi="楷体" w:eastAsia="楷体" w:cs="宋体"/>
      <w:b/>
      <w:bCs/>
      <w:szCs w:val="32"/>
    </w:rPr>
  </w:style>
  <w:style w:type="paragraph" w:customStyle="1" w:styleId="17">
    <w:name w:val="彩色列表 - 着色 11"/>
    <w:basedOn w:val="1"/>
    <w:qFormat/>
    <w:uiPriority w:val="34"/>
    <w:pPr>
      <w:ind w:firstLine="420"/>
    </w:pPr>
    <w:rPr>
      <w:szCs w:val="22"/>
    </w:rPr>
  </w:style>
  <w:style w:type="paragraph" w:customStyle="1" w:styleId="18">
    <w:name w:val="标题1"/>
    <w:basedOn w:val="17"/>
    <w:qFormat/>
    <w:uiPriority w:val="0"/>
    <w:pPr>
      <w:tabs>
        <w:tab w:val="center" w:pos="4422"/>
      </w:tabs>
      <w:adjustRightInd w:val="0"/>
      <w:snapToGrid w:val="0"/>
      <w:spacing w:line="760" w:lineRule="exact"/>
      <w:ind w:firstLine="0" w:firstLineChars="0"/>
      <w:jc w:val="left"/>
      <w:outlineLvl w:val="0"/>
    </w:pPr>
    <w:rPr>
      <w:rFonts w:ascii="黑体" w:hAnsi="黑体" w:eastAsia="黑体" w:cs="宋体"/>
      <w:szCs w:val="32"/>
    </w:rPr>
  </w:style>
  <w:style w:type="paragraph" w:customStyle="1" w:styleId="19">
    <w:name w:val="闻政标题5"/>
    <w:basedOn w:val="1"/>
    <w:qFormat/>
    <w:uiPriority w:val="0"/>
    <w:pPr>
      <w:spacing w:before="120" w:after="60" w:line="500" w:lineRule="exact"/>
      <w:ind w:firstLine="200" w:firstLineChars="200"/>
    </w:pPr>
    <w:rPr>
      <w:rFonts w:ascii="Times New Roman" w:hAnsi="Times New Roman" w:eastAsia="仿宋_GB2312"/>
      <w:b/>
      <w:kern w:val="0"/>
      <w:sz w:val="28"/>
      <w:szCs w:val="28"/>
    </w:rPr>
  </w:style>
  <w:style w:type="paragraph" w:customStyle="1" w:styleId="20">
    <w:name w:val="Table Paragraph"/>
    <w:basedOn w:val="1"/>
    <w:qFormat/>
    <w:uiPriority w:val="1"/>
    <w:rPr>
      <w:rFonts w:ascii="仿宋" w:hAnsi="仿宋" w:eastAsia="仿宋" w:cs="仿宋"/>
      <w:lang w:val="zh-CN" w:eastAsia="zh-CN" w:bidi="zh-CN"/>
    </w:rPr>
  </w:style>
  <w:style w:type="character" w:customStyle="1" w:styleId="21">
    <w:name w:val="font41"/>
    <w:basedOn w:val="13"/>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13835</Words>
  <Characters>14869</Characters>
  <Lines>0</Lines>
  <Paragraphs>0</Paragraphs>
  <TotalTime>13</TotalTime>
  <ScaleCrop>false</ScaleCrop>
  <LinksUpToDate>false</LinksUpToDate>
  <CharactersWithSpaces>14959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2021-01-29T09:34:00Z</dcterms:created>
  <dc:creator>thtf</dc:creator>
  <cp:lastModifiedBy>杨勇</cp:lastModifiedBy>
  <cp:lastPrinted>2021-10-25T07:24:00Z</cp:lastPrinted>
  <dcterms:modified xsi:type="dcterms:W3CDTF">2023-10-11T09:59:27Z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F3398B364BA4495C9F67E9F70898D625</vt:lpwstr>
  </property>
</Properties>
</file>