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bookmarkStart w:id="0" w:name="_Toc8340"/>
      <w:bookmarkStart w:id="1" w:name="_Toc31887"/>
      <w:bookmarkStart w:id="2" w:name="_Toc14697"/>
      <w:bookmarkStart w:id="3" w:name="_Toc20356"/>
    </w:p>
    <w:p>
      <w:pPr>
        <w:widowControl/>
        <w:shd w:val="clear" w:color="auto" w:fill="FFFFFF"/>
        <w:jc w:val="center"/>
        <w:outlineLvl w:val="0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widowControl/>
        <w:shd w:val="clear" w:color="auto" w:fill="FFFFFF"/>
        <w:jc w:val="center"/>
        <w:outlineLvl w:val="0"/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2022鄂尔多斯零碳产业峰会项目</w:t>
      </w:r>
    </w:p>
    <w:p>
      <w:pPr>
        <w:widowControl/>
        <w:shd w:val="clear" w:color="auto" w:fill="FFFFFF"/>
        <w:jc w:val="center"/>
        <w:outlineLvl w:val="0"/>
        <w:rPr>
          <w:rFonts w:eastAsia="黑体"/>
          <w:color w:val="000000"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绩效评价报告</w:t>
      </w:r>
      <w:bookmarkEnd w:id="0"/>
      <w:bookmarkEnd w:id="1"/>
      <w:bookmarkEnd w:id="2"/>
      <w:bookmarkEnd w:id="3"/>
      <w:bookmarkStart w:id="4" w:name="_GoBack"/>
      <w:bookmarkEnd w:id="4"/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pStyle w:val="17"/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spacing w:line="480" w:lineRule="auto"/>
        <w:rPr>
          <w:b/>
          <w:color w:val="000000"/>
          <w:sz w:val="30"/>
          <w:szCs w:val="30"/>
        </w:rPr>
      </w:pPr>
    </w:p>
    <w:p>
      <w:pPr>
        <w:spacing w:line="480" w:lineRule="auto"/>
        <w:rPr>
          <w:b/>
          <w:color w:val="000000"/>
          <w:sz w:val="30"/>
          <w:szCs w:val="30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项 目 名 称：2022鄂尔多斯零碳产业峰会项目</w:t>
      </w:r>
    </w:p>
    <w:p>
      <w:pPr>
        <w:jc w:val="left"/>
        <w:rPr>
          <w:rFonts w:hint="default" w:ascii="仿宋" w:hAnsi="仿宋" w:eastAsia="仿宋" w:cs="仿宋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项目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CN"/>
        </w:rPr>
        <w:t>实施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单位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内蒙古鄂尔多斯蒙苏经济开发区管理委员会</w:t>
      </w:r>
    </w:p>
    <w:p>
      <w:pPr>
        <w:ind w:left="2108" w:hanging="2108" w:hangingChars="700"/>
        <w:jc w:val="left"/>
        <w:rPr>
          <w:rFonts w:hint="default" w:ascii="仿宋" w:hAnsi="仿宋" w:eastAsia="仿宋" w:cs="仿宋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评 价 机 构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/>
          <w:color w:val="000000"/>
          <w:sz w:val="30"/>
          <w:szCs w:val="30"/>
          <w:lang w:val="en-US" w:eastAsia="zh-CN"/>
        </w:rPr>
        <w:t>内蒙古中路华辰会计师事务所（特殊普通合伙）鄂尔多斯分所</w:t>
      </w:r>
    </w:p>
    <w:p>
      <w:pPr>
        <w:spacing w:line="480" w:lineRule="auto"/>
        <w:rPr>
          <w:b/>
          <w:color w:val="000000"/>
          <w:sz w:val="30"/>
          <w:szCs w:val="30"/>
        </w:rPr>
      </w:pPr>
    </w:p>
    <w:p>
      <w:pPr>
        <w:spacing w:line="480" w:lineRule="auto"/>
        <w:rPr>
          <w:b/>
          <w:color w:val="000000"/>
          <w:sz w:val="30"/>
          <w:szCs w:val="30"/>
        </w:rPr>
        <w:sectPr>
          <w:headerReference r:id="rId10" w:type="first"/>
          <w:footerReference r:id="rId12" w:type="first"/>
          <w:headerReference r:id="rId8" w:type="default"/>
          <w:headerReference r:id="rId9" w:type="even"/>
          <w:footerReference r:id="rId11" w:type="even"/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cs="Times New Roman"/>
          <w:b/>
          <w:color w:val="000000"/>
          <w:sz w:val="30"/>
          <w:szCs w:val="30"/>
          <w:lang w:val="en-US" w:eastAsia="zh-CN"/>
        </w:rPr>
        <w:sectPr>
          <w:headerReference r:id="rId13" w:type="default"/>
          <w:footerReference r:id="rId14" w:type="default"/>
          <w:type w:val="continuous"/>
          <w:pgSz w:w="11906" w:h="16838"/>
          <w:pgMar w:top="1928" w:right="1531" w:bottom="1701" w:left="1531" w:header="737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40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6"/>
          <w:szCs w:val="36"/>
          <w:lang w:val="en-US" w:eastAsia="zh-CN"/>
        </w:rPr>
        <w:t>2022鄂尔多斯零碳产业峰会项目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6"/>
          <w:szCs w:val="36"/>
        </w:rPr>
        <w:t>绩效评价报告</w:t>
      </w:r>
    </w:p>
    <w:p>
      <w:pPr>
        <w:spacing w:line="6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一、基本情况</w:t>
      </w:r>
    </w:p>
    <w:p>
      <w:pPr>
        <w:spacing w:line="600" w:lineRule="exact"/>
        <w:ind w:firstLine="560" w:firstLineChars="200"/>
        <w:outlineLvl w:val="0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</w:rPr>
        <w:t>（一）</w:t>
      </w:r>
      <w:r>
        <w:rPr>
          <w:rFonts w:hint="eastAsia" w:ascii="仿宋_GB2312"/>
          <w:sz w:val="28"/>
          <w:szCs w:val="28"/>
          <w:lang w:val="en-US" w:eastAsia="zh-CN"/>
        </w:rPr>
        <w:t xml:space="preserve">项目背景 </w:t>
      </w:r>
    </w:p>
    <w:p>
      <w:pPr>
        <w:spacing w:line="600" w:lineRule="exact"/>
        <w:ind w:firstLine="560" w:firstLineChars="200"/>
        <w:outlineLvl w:val="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我国碳排放已经接近100亿吨，工业成为最大的碳排放部门，工业中约有一半的碳排放来自电力生产部门，非电力工业部门碳排放主要来自钢铁、非金属制品、化学原料、石油化工和有色金属领域。“零碳”目标的实施可促进释放出我国各领域巨大的低碳发展潜能，根据不同的产业结构所具有的不同能源需求特征，促进第一、第二和第三产业之间的结构优化。通过提高高端制造业、高新技术产业、战略性新兴产业等高附加值工业比重，带动碳利用、碳贡献量化补偿及低碳燃料等技术创新，通过提高非石化能源发电量占比的同时，在电力跨区域消纳不足、电网调节、跨区可再生能源配置建设、清洁能源方面发挥重要的想象力。</w:t>
      </w:r>
    </w:p>
    <w:p>
      <w:pPr>
        <w:numPr>
          <w:ilvl w:val="0"/>
          <w:numId w:val="0"/>
        </w:numPr>
        <w:spacing w:line="600" w:lineRule="exact"/>
        <w:ind w:firstLine="560" w:firstLineChars="200"/>
        <w:outlineLvl w:val="0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（二）项目立项依据</w:t>
      </w:r>
    </w:p>
    <w:p>
      <w:pPr>
        <w:numPr>
          <w:ilvl w:val="0"/>
          <w:numId w:val="0"/>
        </w:numPr>
        <w:spacing w:line="600" w:lineRule="exact"/>
        <w:outlineLvl w:val="0"/>
        <w:rPr>
          <w:rFonts w:hint="default" w:ascii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 xml:space="preserve">   2021年，全球首个零碳产业园落地鄂尔多斯市伊金霍洛旗。伊金霍洛旗以零碳产业园为载体，立足资源禀赋，创新园区新能源转型模式，遵循“头部借力”和“链式思维”，“风光氢储车”五大产业建设初见成效，千亿级新能源产业集群规模初现，已形成了围绕动力电池与储能、电动重卡、电池材料、绿色制氢等“风光氢储车”上下游集成产业链。一个规划科学、独具特色的零碳产业园在鄂尔多斯高原拔地而起，众多新能源头部企业纷纷入驻。鄂尔多斯市筹办零碳产业峰会参会，希望各方代表对零碳产业未来发展方向和创新路径各抒己见，对鄂尔多斯致力于打造全球零碳典范给予了诸多中肯建议和评价。内蒙古鄂尔多斯蒙苏经济开发区（以下简称：蒙苏经济开发区）于2022年7月26日委托鄂尔多斯市招商投资集团有限责任公司（以下简称：招商投资集团公司）承办2022鄂尔多斯零碳产业峰会项目。伊金霍洛旗人民政府于2022年7月30日同意了2022鄂尔多斯零碳产业峰会筹备工作方案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_GB2312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（三）项目预算、资金来源及使用情况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default" w:ascii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2022鄂尔多斯零碳产业峰会项目计划总投资2150.00万元，2022年度申请预算资金2150.00万元，实际到位资金2150.00万元，累计支付资金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1706.19万元，其中线路优化项目支出1190.95万元、会务工作项目支出388.70万元、宣传报道项目支出55.35万元、接待服务项目支出67.55万元、综合保障项目支出3.64万元。</w:t>
      </w:r>
    </w:p>
    <w:p>
      <w:pPr>
        <w:spacing w:line="600" w:lineRule="exact"/>
        <w:ind w:firstLine="560" w:firstLineChars="200"/>
        <w:rPr>
          <w:rFonts w:hint="default" w:ascii="仿宋_GB2312"/>
          <w:sz w:val="28"/>
          <w:szCs w:val="28"/>
          <w:highlight w:val="none"/>
          <w:lang w:val="en-US"/>
        </w:rPr>
      </w:pPr>
      <w:r>
        <w:rPr>
          <w:rFonts w:hint="eastAsia" w:ascii="仿宋_GB2312"/>
          <w:sz w:val="28"/>
          <w:szCs w:val="28"/>
          <w:highlight w:val="none"/>
          <w:lang w:val="en-US" w:eastAsia="zh-CN"/>
        </w:rPr>
        <w:t>（四）项目实施内容</w:t>
      </w:r>
    </w:p>
    <w:p>
      <w:pPr>
        <w:numPr>
          <w:ilvl w:val="0"/>
          <w:numId w:val="0"/>
        </w:numPr>
        <w:spacing w:line="600" w:lineRule="exact"/>
        <w:ind w:firstLine="560" w:firstLineChars="200"/>
        <w:outlineLvl w:val="0"/>
        <w:rPr>
          <w:rFonts w:hint="default" w:ascii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/>
          <w:sz w:val="28"/>
          <w:szCs w:val="28"/>
          <w:highlight w:val="none"/>
          <w:lang w:val="en-US" w:eastAsia="zh-CN"/>
        </w:rPr>
        <w:t>2022鄂尔多斯零碳产业峰会项目包括会务服务项目、接待服务项目、宣传报道项目、疫情防控项目、综合保障项目、线路优化项目。会务服务项目主要包括零碳峰会会场筹备、会议室租赁、采购办公用品、印刷宣传品等；接待服务项目主要包括提供住宿、餐饮服务及租赁公务车辆；宣传报道项目主要包括制作广告宣传品，拍摄《零碳产业崛起》《中国典范 世界标杆》等宣传视频；疫情防控项目包括采购抗疫物资包500包；综合保障项目主要包括采购工作服26套，对志愿者进行服务礼仪培训；线路优化项目主要包括远景厂区南侧园路及广场硬化、零碳峰会现场会周边绿化景观、远景现代能源装备制造项目周边道路景观绿化、蒙苏经济开发区纬十一路的围挡主体及围挡面喷绘布制作安装、蒙苏经济开发区江苏产业园区西片区灯杆道旗及围挡喷绘制作安装、零碳产业峰会市政道路维修（火车站周边）、开发区早晚市建设一处等线路优化工作</w:t>
      </w:r>
      <w:r>
        <w:rPr>
          <w:rFonts w:hint="default" w:ascii="仿宋_GB2312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保障2022鄂尔多斯零碳峰会顺利召开。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default" w:ascii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/>
          <w:sz w:val="28"/>
          <w:szCs w:val="28"/>
          <w:highlight w:val="none"/>
          <w:lang w:eastAsia="zh-CN"/>
        </w:rPr>
        <w:t>（五）</w:t>
      </w:r>
      <w:r>
        <w:rPr>
          <w:rFonts w:hint="eastAsia" w:ascii="仿宋_GB2312"/>
          <w:sz w:val="28"/>
          <w:szCs w:val="28"/>
          <w:highlight w:val="none"/>
        </w:rPr>
        <w:t>项目绩效目标。</w:t>
      </w:r>
    </w:p>
    <w:p>
      <w:pPr>
        <w:spacing w:line="560" w:lineRule="exact"/>
        <w:ind w:firstLine="640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 w:ascii="仿宋_GB2312"/>
          <w:sz w:val="28"/>
          <w:szCs w:val="28"/>
          <w:highlight w:val="none"/>
          <w:lang w:val="en-US" w:eastAsia="zh-CN"/>
        </w:rPr>
        <w:t>通过项目实施，邀请来自全球的政府、企业以及研究机构等权威人士，为推动全球零碳创新贡献方案。大力发展绿色低碳产业，大力推进新能源产业和其他产业合力发展，大力推动能源发展质量变革、效率变革、动力变革，把国家现代能源经济示范区建设好，把内蒙古打造成为新能源全产业链发展新高地，用绿色发展扮靓产业高原。</w:t>
      </w:r>
    </w:p>
    <w:p>
      <w:pPr>
        <w:spacing w:line="600" w:lineRule="exact"/>
        <w:ind w:firstLine="560" w:firstLineChars="200"/>
        <w:rPr>
          <w:rFonts w:hint="eastAsia" w:ascii="仿宋_GB2312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黑体" w:hAnsi="黑体" w:eastAsia="黑体"/>
          <w:sz w:val="28"/>
          <w:szCs w:val="28"/>
          <w:highlight w:val="none"/>
        </w:rPr>
        <w:t>、综合评价情况及评价结论</w:t>
      </w:r>
    </w:p>
    <w:p>
      <w:pPr>
        <w:spacing w:line="600" w:lineRule="exact"/>
        <w:ind w:firstLine="560" w:firstLineChars="200"/>
        <w:rPr>
          <w:rFonts w:hint="default" w:ascii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/>
          <w:sz w:val="28"/>
          <w:szCs w:val="28"/>
          <w:highlight w:val="none"/>
          <w:lang w:val="en-US" w:eastAsia="zh-CN"/>
        </w:rPr>
        <w:t>（一）综合评价分析情况</w:t>
      </w:r>
    </w:p>
    <w:p>
      <w:pPr>
        <w:spacing w:line="560" w:lineRule="exact"/>
        <w:ind w:firstLine="640"/>
        <w:rPr>
          <w:rFonts w:hint="eastAsia" w:ascii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/>
          <w:sz w:val="28"/>
          <w:szCs w:val="28"/>
          <w:highlight w:val="none"/>
          <w:lang w:val="en-US" w:eastAsia="zh-CN"/>
        </w:rPr>
        <w:t>根据绩效分析，2022鄂尔多斯零碳产业峰会项目立项依据充分，与部门职责相适应。项目资金使用合规，财务管理制度、项目管理制度健全。通过项目实施，邀请来自全球的政府、企业以及研究机构等权威人士，为推动全球零碳创新贡献方案。项目存在预算编制规范性不足，预算执行不到位的情况。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（二）评价结论</w:t>
      </w:r>
    </w:p>
    <w:p>
      <w:pPr>
        <w:numPr>
          <w:ilvl w:val="0"/>
          <w:numId w:val="0"/>
        </w:numPr>
        <w:spacing w:line="600" w:lineRule="exact"/>
        <w:ind w:firstLine="560" w:firstLineChars="200"/>
        <w:outlineLvl w:val="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结合项目绩效目标要求，通过内部团队讨论与交流、文献比较分析等方法，对绩效评价指标体系进行研究，由评价小组设计并经委托单位通过的评价指标体系及评分标准，通过现场调查、数据采集和访谈工作，针对</w:t>
      </w:r>
      <w:r>
        <w:rPr>
          <w:rFonts w:hint="eastAsia" w:ascii="仿宋_GB2312"/>
          <w:sz w:val="28"/>
          <w:szCs w:val="28"/>
          <w:highlight w:val="none"/>
          <w:lang w:val="en-US" w:eastAsia="zh-CN"/>
        </w:rPr>
        <w:t>2022鄂尔多斯零碳产业峰会项目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资金使用进行客观评价，最终评分结果为91.17分，绩效评价为“优”。</w:t>
      </w:r>
    </w:p>
    <w:p>
      <w:pPr>
        <w:numPr>
          <w:ilvl w:val="0"/>
          <w:numId w:val="0"/>
        </w:numPr>
        <w:spacing w:line="600" w:lineRule="exact"/>
        <w:ind w:leftChars="0"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主要经验及做法</w:t>
      </w:r>
    </w:p>
    <w:p>
      <w:pPr>
        <w:numPr>
          <w:ilvl w:val="0"/>
          <w:numId w:val="0"/>
        </w:numPr>
        <w:spacing w:line="600" w:lineRule="exact"/>
        <w:ind w:firstLine="560" w:firstLineChars="200"/>
        <w:outlineLvl w:val="0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通过项目实施，以“新能源、新产业、新生态”为主题的2022鄂尔多斯零碳产业峰会在鄂尔多斯市开幕，国内外知名企业、创新团队和碳中和领域的专家学者齐聚一堂，共同探讨零碳未来路径，推动零碳创新，为“能源之都”鄂尔多斯打造全球零碳典范建言献策、贡献智慧方案。</w:t>
      </w:r>
    </w:p>
    <w:p>
      <w:pPr>
        <w:numPr>
          <w:ilvl w:val="0"/>
          <w:numId w:val="0"/>
        </w:numPr>
        <w:spacing w:line="600" w:lineRule="exact"/>
        <w:ind w:leftChars="0"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</w:rPr>
        <w:t>存在的问题</w:t>
      </w:r>
    </w:p>
    <w:p>
      <w:pPr>
        <w:spacing w:line="60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1.预算编制规范性不足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招商投资集团公司针对项目编制了预算方案，预算内容包括会务工作项目、接待服务项目、宣传报道项目、疫情防控项目、综合保障项目、线路优化项目、委托承办项目七方面内容，与项目内容相匹配。预算方案缺少科学论证，测算依据不充分，未按照预算编制标准进行编制项目预算。</w:t>
      </w:r>
    </w:p>
    <w:p>
      <w:pPr>
        <w:spacing w:line="60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2.预算执行率较低</w:t>
      </w:r>
    </w:p>
    <w:p>
      <w:p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2022鄂尔多斯零碳产业峰会项目2022年实际到位2150万元，实际支付资金1706.19万元，预算执行率79.36%。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  <w:t>五、相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</w:rPr>
        <w:t>关建议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1.强化预算编制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项目实施单位应当在编制预算时首先进行充分的科学论证，包括市场调研、成本估算和风险评估等。其次，细化费用明细，将预算划分为不同的项目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阶段或任务，确保预算的透明度和准确性。再次，考虑项目实施过程中可能出现的风险和变动因素，制定相应的应对措施和预留预算。最后，定期进行预算的监控和调整，确保项目的预算控制和成本效益。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2.提高项目预算执行率</w:t>
      </w:r>
    </w:p>
    <w:p>
      <w:pPr>
        <w:numPr>
          <w:ilvl w:val="0"/>
          <w:numId w:val="0"/>
        </w:numPr>
        <w:spacing w:line="600" w:lineRule="exact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项目实施单位应当及时按照工程施工进度支付工程款，减少资金闲置，降低因款项支付不及时等原因造成政府信誉损失风险。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default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sectPr>
      <w:headerReference r:id="rId15" w:type="default"/>
      <w:footerReference r:id="rId16" w:type="default"/>
      <w:type w:val="continuous"/>
      <w:pgSz w:w="11906" w:h="16838"/>
      <w:pgMar w:top="1928" w:right="1531" w:bottom="1701" w:left="1531" w:header="737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仿宋" w:hAnsi="仿宋" w:eastAsia="仿宋" w:cs="仿宋"/>
        <w:bCs/>
        <w:i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  <w:p>
    <w:pPr>
      <w:pStyle w:val="6"/>
      <w:pBdr>
        <w:bottom w:val="none" w:color="auto" w:sz="0" w:space="1"/>
      </w:pBdr>
      <w:ind w:firstLine="360"/>
    </w:pPr>
  </w:p>
  <w:p>
    <w:pPr>
      <w:pStyle w:val="6"/>
      <w:pBdr>
        <w:bottom w:val="none" w:color="auto" w:sz="0" w:space="1"/>
      </w:pBdr>
      <w:ind w:firstLine="360"/>
    </w:pPr>
  </w:p>
  <w:p>
    <w:pPr>
      <w:pStyle w:val="6"/>
      <w:pBdr>
        <w:bottom w:val="none" w:color="auto" w:sz="0" w:space="1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pBdr>
        <w:bottom w:val="none" w:color="auto" w:sz="0" w:space="0"/>
      </w:pBdr>
      <w:shd w:val="clear" w:color="auto" w:fill="FFFFFF"/>
      <w:ind w:left="5400" w:leftChars="400" w:hanging="4200" w:hangingChars="1400"/>
      <w:jc w:val="both"/>
      <w:outlineLvl w:val="0"/>
      <w:rPr>
        <w:rFonts w:hint="eastAsia" w:ascii="微软雅黑" w:hAnsi="微软雅黑" w:eastAsia="微软雅黑"/>
        <w:b w:val="0"/>
        <w:bCs w:val="0"/>
        <w:color w:val="2F2F2F"/>
        <w:kern w:val="36"/>
        <w:sz w:val="18"/>
        <w:szCs w:val="18"/>
      </w:rPr>
    </w:pPr>
    <w:r>
      <w:rPr>
        <w:rFonts w:hint="eastAsia"/>
      </w:rPr>
      <w:t xml:space="preserve">               </w:t>
    </w:r>
  </w:p>
  <w:p>
    <w:pPr>
      <w:pStyle w:val="6"/>
      <w:pBdr>
        <w:bottom w:val="none" w:color="auto" w:sz="0" w:space="1"/>
      </w:pBdr>
      <w:jc w:val="both"/>
      <w:rPr>
        <w:rFonts w:hint="eastAsia" w:ascii="仿宋" w:hAnsi="仿宋" w:eastAsia="仿宋" w:cs="仿宋"/>
        <w:b w:val="0"/>
        <w:bCs/>
        <w:i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  <w:jc w:val="right"/>
      <w:rPr>
        <w:rFonts w:hint="default" w:eastAsia="仿宋_GB231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ZTdjZDgyMWJmMjRlNTU5OGMxYjdmNjdmZmRlMWMifQ=="/>
  </w:docVars>
  <w:rsids>
    <w:rsidRoot w:val="00000000"/>
    <w:rsid w:val="002F10D9"/>
    <w:rsid w:val="016E23E6"/>
    <w:rsid w:val="033C219A"/>
    <w:rsid w:val="03C56E0D"/>
    <w:rsid w:val="03DE7D2F"/>
    <w:rsid w:val="04335702"/>
    <w:rsid w:val="04F73278"/>
    <w:rsid w:val="056E13FF"/>
    <w:rsid w:val="0578552C"/>
    <w:rsid w:val="057E3ACF"/>
    <w:rsid w:val="05AB7716"/>
    <w:rsid w:val="06BA486D"/>
    <w:rsid w:val="0733706E"/>
    <w:rsid w:val="08A75E84"/>
    <w:rsid w:val="08D41541"/>
    <w:rsid w:val="08D475CE"/>
    <w:rsid w:val="099948FD"/>
    <w:rsid w:val="0C8F394A"/>
    <w:rsid w:val="0D3020E8"/>
    <w:rsid w:val="0D714BAB"/>
    <w:rsid w:val="0DBE7CAA"/>
    <w:rsid w:val="0E336117"/>
    <w:rsid w:val="0E5721EA"/>
    <w:rsid w:val="0FC13941"/>
    <w:rsid w:val="10705AEC"/>
    <w:rsid w:val="11732409"/>
    <w:rsid w:val="12340DFC"/>
    <w:rsid w:val="129D7C52"/>
    <w:rsid w:val="144016E4"/>
    <w:rsid w:val="163E1086"/>
    <w:rsid w:val="16614405"/>
    <w:rsid w:val="16DE29CD"/>
    <w:rsid w:val="17CF7E62"/>
    <w:rsid w:val="18E51BB7"/>
    <w:rsid w:val="18FC4C0E"/>
    <w:rsid w:val="1A793700"/>
    <w:rsid w:val="1AE333B0"/>
    <w:rsid w:val="1B295CEC"/>
    <w:rsid w:val="1C053C4A"/>
    <w:rsid w:val="1C681DEE"/>
    <w:rsid w:val="1E743C08"/>
    <w:rsid w:val="1EF9311B"/>
    <w:rsid w:val="1F971B1C"/>
    <w:rsid w:val="2051781B"/>
    <w:rsid w:val="21BA6BAF"/>
    <w:rsid w:val="226C586B"/>
    <w:rsid w:val="247C2DF5"/>
    <w:rsid w:val="254248CB"/>
    <w:rsid w:val="254871E9"/>
    <w:rsid w:val="26BB63FB"/>
    <w:rsid w:val="26C63382"/>
    <w:rsid w:val="271E402F"/>
    <w:rsid w:val="275110AB"/>
    <w:rsid w:val="27CC7676"/>
    <w:rsid w:val="283C304E"/>
    <w:rsid w:val="2890190E"/>
    <w:rsid w:val="28F22328"/>
    <w:rsid w:val="291103AB"/>
    <w:rsid w:val="293F5300"/>
    <w:rsid w:val="2974050E"/>
    <w:rsid w:val="2AD26A93"/>
    <w:rsid w:val="2BAF7D93"/>
    <w:rsid w:val="2BBB2E69"/>
    <w:rsid w:val="2C9D5134"/>
    <w:rsid w:val="2E410B2D"/>
    <w:rsid w:val="2E4C02E0"/>
    <w:rsid w:val="2EA72C4B"/>
    <w:rsid w:val="2EBA2BFC"/>
    <w:rsid w:val="2F36417A"/>
    <w:rsid w:val="31DA2323"/>
    <w:rsid w:val="33024516"/>
    <w:rsid w:val="33254953"/>
    <w:rsid w:val="333718D5"/>
    <w:rsid w:val="338900A3"/>
    <w:rsid w:val="33D95773"/>
    <w:rsid w:val="354237EC"/>
    <w:rsid w:val="35567AED"/>
    <w:rsid w:val="36B479D3"/>
    <w:rsid w:val="38404CEE"/>
    <w:rsid w:val="385C4BC4"/>
    <w:rsid w:val="399F2ABB"/>
    <w:rsid w:val="3A8B3331"/>
    <w:rsid w:val="3AEF74B1"/>
    <w:rsid w:val="3B3140E6"/>
    <w:rsid w:val="3B823AA2"/>
    <w:rsid w:val="3D7C4918"/>
    <w:rsid w:val="3DEA78E8"/>
    <w:rsid w:val="3E2E086B"/>
    <w:rsid w:val="3F08421C"/>
    <w:rsid w:val="3F5A494C"/>
    <w:rsid w:val="3F9B3916"/>
    <w:rsid w:val="3FA21D64"/>
    <w:rsid w:val="41AA4E2E"/>
    <w:rsid w:val="44A22E4D"/>
    <w:rsid w:val="467931E5"/>
    <w:rsid w:val="48603CB2"/>
    <w:rsid w:val="48C12A3E"/>
    <w:rsid w:val="49727A63"/>
    <w:rsid w:val="49E432F5"/>
    <w:rsid w:val="4BF12C26"/>
    <w:rsid w:val="4CC74F06"/>
    <w:rsid w:val="4D636596"/>
    <w:rsid w:val="4D9825DB"/>
    <w:rsid w:val="4EF86B59"/>
    <w:rsid w:val="4F861C75"/>
    <w:rsid w:val="4FC96B8B"/>
    <w:rsid w:val="5083233A"/>
    <w:rsid w:val="508A2D68"/>
    <w:rsid w:val="508E6790"/>
    <w:rsid w:val="532D0095"/>
    <w:rsid w:val="543A4E71"/>
    <w:rsid w:val="56252FC7"/>
    <w:rsid w:val="56D1320C"/>
    <w:rsid w:val="571A684E"/>
    <w:rsid w:val="579954F5"/>
    <w:rsid w:val="59772AC2"/>
    <w:rsid w:val="5A3A49C0"/>
    <w:rsid w:val="5A713C25"/>
    <w:rsid w:val="5B6A7148"/>
    <w:rsid w:val="5B9A0238"/>
    <w:rsid w:val="5C003470"/>
    <w:rsid w:val="5E4071C9"/>
    <w:rsid w:val="5F4F07D1"/>
    <w:rsid w:val="5FA42B27"/>
    <w:rsid w:val="600E7FED"/>
    <w:rsid w:val="6019339A"/>
    <w:rsid w:val="6042624C"/>
    <w:rsid w:val="61D373F6"/>
    <w:rsid w:val="62606DC8"/>
    <w:rsid w:val="62662FD9"/>
    <w:rsid w:val="62F41F73"/>
    <w:rsid w:val="6408782B"/>
    <w:rsid w:val="64324457"/>
    <w:rsid w:val="64D63B32"/>
    <w:rsid w:val="64E92644"/>
    <w:rsid w:val="65242FF8"/>
    <w:rsid w:val="67255A64"/>
    <w:rsid w:val="67BC4B56"/>
    <w:rsid w:val="687A6354"/>
    <w:rsid w:val="69406369"/>
    <w:rsid w:val="694801C8"/>
    <w:rsid w:val="6B7A3E73"/>
    <w:rsid w:val="6BF52C3E"/>
    <w:rsid w:val="6D601614"/>
    <w:rsid w:val="6E233753"/>
    <w:rsid w:val="6ECF7B25"/>
    <w:rsid w:val="6EE230B4"/>
    <w:rsid w:val="6FD062A2"/>
    <w:rsid w:val="701B6CA3"/>
    <w:rsid w:val="70E27BE8"/>
    <w:rsid w:val="72827CD8"/>
    <w:rsid w:val="72DC2873"/>
    <w:rsid w:val="733A2DE4"/>
    <w:rsid w:val="73516DD3"/>
    <w:rsid w:val="75631A05"/>
    <w:rsid w:val="76511E5A"/>
    <w:rsid w:val="76D61714"/>
    <w:rsid w:val="775E1387"/>
    <w:rsid w:val="777965C3"/>
    <w:rsid w:val="77AD54A7"/>
    <w:rsid w:val="7A270914"/>
    <w:rsid w:val="7AC27675"/>
    <w:rsid w:val="7AE87144"/>
    <w:rsid w:val="7B247BEC"/>
    <w:rsid w:val="7D284642"/>
    <w:rsid w:val="7DBA5537"/>
    <w:rsid w:val="7DFD2757"/>
    <w:rsid w:val="7E5A1289"/>
    <w:rsid w:val="7ECE4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unhideWhenUsed/>
    <w:qFormat/>
    <w:uiPriority w:val="99"/>
    <w:pPr>
      <w:widowControl/>
      <w:spacing w:before="100" w:beforeAutospacing="1" w:after="120" w:line="273" w:lineRule="auto"/>
      <w:jc w:val="left"/>
    </w:pPr>
    <w:rPr>
      <w:rFonts w:ascii="微软雅黑" w:hAnsi="微软雅黑" w:eastAsia="微软雅黑"/>
      <w:kern w:val="0"/>
      <w:sz w:val="22"/>
      <w:szCs w:val="22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Medium Shading 2 Accent 5"/>
    <w:basedOn w:val="9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7D7"/>
      </w:tcPr>
    </w:tblStylePr>
    <w:tblStylePr w:type="band1Horz">
      <w:tblPr/>
      <w:tcPr>
        <w:shd w:val="clear" w:color="auto" w:fill="D7D7D7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unhideWhenUsed/>
    <w:qFormat/>
    <w:uiPriority w:val="99"/>
  </w:style>
  <w:style w:type="character" w:customStyle="1" w:styleId="15">
    <w:name w:val="页脚 字符"/>
    <w:basedOn w:val="12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字符"/>
    <w:basedOn w:val="12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font1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19">
    <w:name w:val="标题 11"/>
    <w:basedOn w:val="20"/>
    <w:next w:val="20"/>
    <w:qFormat/>
    <w:uiPriority w:val="0"/>
    <w:pPr>
      <w:keepNext/>
      <w:keepLines/>
      <w:spacing w:before="0" w:after="0" w:line="570" w:lineRule="exact"/>
      <w:ind w:left="0" w:right="0" w:firstLine="0"/>
      <w:outlineLvl w:val="0"/>
    </w:pPr>
    <w:rPr>
      <w:rFonts w:ascii="黑体" w:hAnsi="黑体" w:eastAsia="黑体" w:cs="黑体"/>
      <w:sz w:val="32"/>
      <w:szCs w:val="32"/>
    </w:rPr>
  </w:style>
  <w:style w:type="paragraph" w:customStyle="1" w:styleId="20">
    <w:name w:val="正文1"/>
    <w:qFormat/>
    <w:uiPriority w:val="99"/>
    <w:pPr>
      <w:widowControl w:val="0"/>
      <w:suppressAutoHyphens w:val="0"/>
      <w:bidi w:val="0"/>
      <w:spacing w:before="0" w:after="0" w:line="570" w:lineRule="exact"/>
      <w:ind w:left="0" w:right="0" w:firstLine="420"/>
      <w:jc w:val="both"/>
    </w:pPr>
    <w:rPr>
      <w:rFonts w:ascii="仿宋" w:hAnsi="仿宋" w:eastAsia="宋体" w:cs="仿宋"/>
      <w:color w:val="auto"/>
      <w:kern w:val="2"/>
      <w:sz w:val="32"/>
      <w:szCs w:val="32"/>
      <w:lang w:val="en-US" w:eastAsia="zh-CN" w:bidi="ar-SA"/>
    </w:rPr>
  </w:style>
  <w:style w:type="paragraph" w:customStyle="1" w:styleId="21">
    <w:name w:val="Title-temp"/>
    <w:basedOn w:val="1"/>
    <w:next w:val="1"/>
    <w:link w:val="22"/>
    <w:qFormat/>
    <w:uiPriority w:val="0"/>
    <w:pPr>
      <w:widowControl/>
      <w:spacing w:before="120" w:after="120" w:line="276" w:lineRule="auto"/>
      <w:ind w:left="100" w:leftChars="100" w:right="100" w:rightChars="100"/>
      <w:jc w:val="center"/>
    </w:pPr>
    <w:rPr>
      <w:rFonts w:ascii="Calibri" w:hAnsi="Calibri" w:eastAsia="微软雅黑" w:cs="Times New Roman"/>
      <w:sz w:val="24"/>
      <w:szCs w:val="22"/>
    </w:rPr>
  </w:style>
  <w:style w:type="character" w:customStyle="1" w:styleId="22">
    <w:name w:val="Title-temp Char"/>
    <w:basedOn w:val="12"/>
    <w:link w:val="21"/>
    <w:qFormat/>
    <w:uiPriority w:val="0"/>
    <w:rPr>
      <w:rFonts w:ascii="Calibri" w:hAnsi="Calibri" w:eastAsia="微软雅黑" w:cs="Times New Roman"/>
      <w:sz w:val="24"/>
    </w:rPr>
  </w:style>
  <w:style w:type="paragraph" w:customStyle="1" w:styleId="23">
    <w:name w:val="question-temp"/>
    <w:basedOn w:val="1"/>
    <w:link w:val="24"/>
    <w:qFormat/>
    <w:uiPriority w:val="0"/>
    <w:pPr>
      <w:widowControl/>
      <w:spacing w:after="60" w:line="276" w:lineRule="auto"/>
      <w:jc w:val="left"/>
    </w:pPr>
    <w:rPr>
      <w:rFonts w:ascii="微软雅黑" w:hAnsi="微软雅黑" w:eastAsia="微软雅黑" w:cs="Times New Roman"/>
      <w:sz w:val="18"/>
      <w:szCs w:val="22"/>
    </w:rPr>
  </w:style>
  <w:style w:type="character" w:customStyle="1" w:styleId="24">
    <w:name w:val="question-temp Char"/>
    <w:basedOn w:val="12"/>
    <w:link w:val="23"/>
    <w:qFormat/>
    <w:uiPriority w:val="0"/>
    <w:rPr>
      <w:rFonts w:ascii="微软雅黑" w:hAnsi="微软雅黑" w:eastAsia="微软雅黑" w:cs="Times New Roman"/>
      <w:sz w:val="18"/>
    </w:rPr>
  </w:style>
  <w:style w:type="paragraph" w:customStyle="1" w:styleId="25">
    <w:name w:val="option-temp"/>
    <w:link w:val="26"/>
    <w:qFormat/>
    <w:uiPriority w:val="0"/>
    <w:pPr>
      <w:ind w:left="100" w:leftChars="100" w:right="100" w:rightChars="100"/>
    </w:pPr>
    <w:rPr>
      <w:rFonts w:ascii="宋体" w:hAnsi="宋体" w:eastAsia="宋体" w:cs="宋体"/>
      <w:color w:val="3F3F3F"/>
      <w:kern w:val="2"/>
      <w:sz w:val="18"/>
      <w:szCs w:val="18"/>
      <w:lang w:val="en-US" w:eastAsia="zh-CN" w:bidi="ar-SA"/>
    </w:rPr>
  </w:style>
  <w:style w:type="character" w:customStyle="1" w:styleId="26">
    <w:name w:val="option-temp Char"/>
    <w:basedOn w:val="24"/>
    <w:link w:val="25"/>
    <w:qFormat/>
    <w:uiPriority w:val="0"/>
    <w:rPr>
      <w:rFonts w:ascii="宋体" w:hAnsi="宋体" w:eastAsia="宋体" w:cs="宋体"/>
      <w:color w:val="3F3F3F"/>
      <w:kern w:val="2"/>
      <w:sz w:val="18"/>
      <w:szCs w:val="18"/>
      <w:lang w:val="en-US" w:eastAsia="zh-CN" w:bidi="ar-SA"/>
    </w:rPr>
  </w:style>
  <w:style w:type="paragraph" w:customStyle="1" w:styleId="27">
    <w:name w:val="sign-temp"/>
    <w:basedOn w:val="25"/>
    <w:next w:val="25"/>
    <w:link w:val="28"/>
    <w:qFormat/>
    <w:uiPriority w:val="0"/>
    <w:rPr>
      <w:sz w:val="28"/>
    </w:rPr>
  </w:style>
  <w:style w:type="character" w:customStyle="1" w:styleId="28">
    <w:name w:val="sign-temp Char"/>
    <w:basedOn w:val="26"/>
    <w:link w:val="27"/>
    <w:qFormat/>
    <w:uiPriority w:val="0"/>
    <w:rPr>
      <w:sz w:val="28"/>
    </w:rPr>
  </w:style>
  <w:style w:type="table" w:customStyle="1" w:styleId="29">
    <w:name w:val="Table-temp"/>
    <w:basedOn w:val="9"/>
    <w:qFormat/>
    <w:uiPriority w:val="99"/>
    <w:pPr>
      <w:jc w:val="both"/>
    </w:pPr>
    <w:rPr>
      <w:rFonts w:ascii="宋体" w:hAnsi="宋体" w:cs="宋体"/>
      <w:color w:val="3F3F3F"/>
      <w:sz w:val="18"/>
      <w:szCs w:val="15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color w:val="7E7E7E"/>
      </w:rPr>
      <w:tblPr/>
      <w:tcPr>
        <w:shd w:val="clear" w:color="auto" w:fill="F1F1F1"/>
      </w:tcPr>
    </w:tblStylePr>
    <w:tblStylePr w:type="firstCol">
      <w:rPr>
        <w:color w:val="7E7E7E"/>
      </w:rPr>
      <w:tblPr/>
      <w:tcPr>
        <w:shd w:val="clear" w:color="auto" w:fill="F1F1F1"/>
      </w:tcPr>
    </w:tblStylePr>
  </w:style>
  <w:style w:type="paragraph" w:styleId="30">
    <w:name w:val="No Spacing"/>
    <w:qFormat/>
    <w:uiPriority w:val="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31">
    <w:name w:val="Table-temp-blank"/>
    <w:basedOn w:val="9"/>
    <w:qFormat/>
    <w:uiPriority w:val="99"/>
    <w:pPr>
      <w:jc w:val="center"/>
    </w:pPr>
    <w:rPr>
      <w:rFonts w:eastAsia="微软雅黑"/>
      <w:color w:val="3F3F3F"/>
      <w:sz w:val="15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FFFFFF"/>
    </w:tcPr>
    <w:tblStylePr w:type="firstRow">
      <w:tblPr/>
      <w:tcPr>
        <w:shd w:val="clear" w:color="auto" w:fill="F1F1F1"/>
      </w:tcPr>
    </w:tblStylePr>
  </w:style>
  <w:style w:type="character" w:customStyle="1" w:styleId="32">
    <w:name w:val="Subtle Emphasis"/>
    <w:basedOn w:val="12"/>
    <w:qFormat/>
    <w:uiPriority w:val="19"/>
    <w:rPr>
      <w:rFonts w:ascii="Calibri" w:hAnsi="Calibri" w:eastAsia="宋体" w:cs="Times New Roman"/>
      <w:i/>
      <w:iCs/>
      <w:color w:val="7F7F7F"/>
    </w:rPr>
  </w:style>
  <w:style w:type="table" w:customStyle="1" w:styleId="33">
    <w:name w:val="Table-temp-celltl"/>
    <w:basedOn w:val="29"/>
    <w:qFormat/>
    <w:uiPriority w:val="99"/>
    <w:tblPr/>
    <w:tblStylePr w:type="firstRow">
      <w:rPr>
        <w:color w:val="7E7E7E"/>
      </w:rPr>
      <w:tblPr/>
      <w:tcPr>
        <w:shd w:val="clear" w:color="auto" w:fill="F1F1F1"/>
      </w:tcPr>
    </w:tblStylePr>
    <w:tblStylePr w:type="firstCol">
      <w:rPr>
        <w:color w:val="7E7E7E"/>
      </w:rPr>
      <w:tblPr/>
      <w:tcPr>
        <w:shd w:val="clear" w:color="auto" w:fill="F1F1F1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4" w:space="0"/>
          <w:tr2bl w:val="nil"/>
        </w:tcBorders>
      </w:tcPr>
    </w:tblStylePr>
  </w:style>
  <w:style w:type="paragraph" w:customStyle="1" w:styleId="34">
    <w:name w:val="accuracy-temp"/>
    <w:qFormat/>
    <w:uiPriority w:val="0"/>
    <w:pPr>
      <w:ind w:firstLine="200" w:firstLineChars="200"/>
    </w:pPr>
    <w:rPr>
      <w:rFonts w:ascii="Calibri" w:hAnsi="Calibri" w:eastAsia="宋体" w:cs="Times New Roman"/>
      <w:color w:val="00BF6F"/>
      <w:kern w:val="2"/>
      <w:sz w:val="15"/>
      <w:szCs w:val="22"/>
      <w:lang w:val="en-US" w:eastAsia="zh-CN" w:bidi="ar-SA"/>
    </w:rPr>
  </w:style>
  <w:style w:type="character" w:customStyle="1" w:styleId="35">
    <w:name w:val="accuracy-temp-run"/>
    <w:basedOn w:val="12"/>
    <w:qFormat/>
    <w:uiPriority w:val="1"/>
    <w:rPr>
      <w:rFonts w:ascii="Calibri" w:hAnsi="Calibri" w:eastAsia="微软雅黑" w:cs="Times New Roman"/>
      <w:color w:val="00BF6F"/>
      <w:sz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header" Target="header8.xml"/><Relationship Id="rId14" Type="http://schemas.openxmlformats.org/officeDocument/2006/relationships/footer" Target="footer5.xml"/><Relationship Id="rId13" Type="http://schemas.openxmlformats.org/officeDocument/2006/relationships/header" Target="header7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2014-01-20T23:14:00Z</dcterms:created>
  <dc:creator>Keith</dc:creator>
  <cp:lastModifiedBy>杨勇</cp:lastModifiedBy>
  <cp:lastPrinted>2023-09-19T03:22:00Z</cp:lastPrinted>
  <dcterms:modified xsi:type="dcterms:W3CDTF">2023-10-11T10:19:56Z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7942304F37084AFA8AB3376155A095E4_13</vt:lpwstr>
  </property>
</Properties>
</file>