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bidi w:val="0"/>
        <w:snapToGrid w:val="0"/>
        <w:spacing w:before="159" w:beforeLines="50" w:beforeAutospacing="0"/>
        <w:jc w:val="left"/>
        <w:rPr>
          <w:rFonts w:hint="eastAsia"/>
          <w:highlight w:val="none"/>
          <w:lang w:val="en-US" w:eastAsia="zh-CN"/>
        </w:rPr>
      </w:pPr>
    </w:p>
    <w:p>
      <w:pPr>
        <w:bidi w:val="0"/>
        <w:rPr>
          <w:rFonts w:hint="eastAsia"/>
          <w:lang w:val="en-US" w:eastAsia="zh-CN"/>
        </w:rPr>
      </w:pPr>
    </w:p>
    <w:p>
      <w:pPr>
        <w:pStyle w:val="2"/>
        <w:rPr>
          <w:rFonts w:hint="eastAsia" w:ascii="方正小标宋简体" w:hAnsi="方正小标宋简体" w:eastAsia="方正小标宋简体" w:cs="方正小标宋简体"/>
          <w:b w:val="0"/>
          <w:bCs w:val="0"/>
          <w:sz w:val="36"/>
          <w:szCs w:val="36"/>
          <w:lang w:val="en-US" w:eastAsia="zh-CN"/>
        </w:rPr>
      </w:pPr>
    </w:p>
    <w:p>
      <w:pPr>
        <w:pStyle w:val="2"/>
        <w:rPr>
          <w:rFonts w:hint="eastAsia" w:ascii="方正小标宋简体" w:hAnsi="方正小标宋简体" w:eastAsia="方正小标宋简体" w:cs="方正小标宋简体"/>
          <w:b w:val="0"/>
          <w:bCs w:val="0"/>
          <w:sz w:val="36"/>
          <w:szCs w:val="36"/>
          <w:lang w:val="en-US" w:eastAsia="zh-CN"/>
        </w:rPr>
      </w:pPr>
    </w:p>
    <w:p>
      <w:pPr>
        <w:keepNext w:val="0"/>
        <w:keepLines w:val="0"/>
        <w:widowControl/>
        <w:suppressLineNumbers w:val="0"/>
        <w:jc w:val="center"/>
        <w:outlineLvl w:val="0"/>
        <w:rPr>
          <w:rFonts w:hint="eastAsia" w:ascii="宋体" w:hAnsi="宋体" w:cs="宋体"/>
          <w:b/>
          <w:bCs/>
          <w:sz w:val="44"/>
          <w:szCs w:val="44"/>
          <w:highlight w:val="none"/>
        </w:rPr>
      </w:pPr>
      <w:bookmarkStart w:id="0" w:name="_Toc15340"/>
      <w:bookmarkStart w:id="1" w:name="_Toc21325"/>
      <w:bookmarkStart w:id="2" w:name="_Toc22739"/>
      <w:bookmarkStart w:id="3" w:name="_Toc9962"/>
      <w:bookmarkStart w:id="4" w:name="_Toc3896"/>
      <w:r>
        <w:rPr>
          <w:rFonts w:hint="eastAsia" w:ascii="黑体" w:hAnsi="黑体" w:eastAsia="黑体" w:cs="黑体"/>
          <w:bCs/>
          <w:sz w:val="44"/>
          <w:szCs w:val="44"/>
        </w:rPr>
        <w:t>伊金霍洛旗</w:t>
      </w:r>
      <w:r>
        <w:rPr>
          <w:rFonts w:hint="eastAsia" w:ascii="黑体" w:hAnsi="黑体" w:eastAsia="黑体" w:cs="黑体"/>
          <w:bCs/>
          <w:sz w:val="44"/>
          <w:szCs w:val="44"/>
          <w:lang w:val="en-US" w:eastAsia="zh-CN"/>
        </w:rPr>
        <w:t>农牧局2021年旱作高标准</w:t>
      </w:r>
      <w:r>
        <w:rPr>
          <w:rFonts w:hint="default" w:ascii="黑体" w:hAnsi="黑体" w:eastAsia="黑体" w:cs="黑体"/>
          <w:bCs/>
          <w:sz w:val="44"/>
          <w:szCs w:val="44"/>
          <w:lang w:val="en-US" w:eastAsia="zh-CN"/>
        </w:rPr>
        <w:t>农田建设项目</w:t>
      </w:r>
      <w:r>
        <w:rPr>
          <w:rFonts w:hint="eastAsia" w:ascii="黑体" w:hAnsi="黑体" w:eastAsia="黑体" w:cs="黑体"/>
          <w:bCs/>
          <w:sz w:val="44"/>
          <w:szCs w:val="44"/>
          <w:lang w:val="en-US" w:eastAsia="zh-CN"/>
        </w:rPr>
        <w:t>支出绩效评价报告</w:t>
      </w:r>
      <w:bookmarkEnd w:id="0"/>
      <w:bookmarkEnd w:id="1"/>
      <w:bookmarkEnd w:id="2"/>
      <w:bookmarkEnd w:id="3"/>
      <w:bookmarkEnd w:id="4"/>
    </w:p>
    <w:p>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jc w:val="center"/>
        <w:rPr>
          <w:rFonts w:hint="default" w:ascii="仿宋" w:hAnsi="仿宋" w:eastAsia="仿宋" w:cs="仿宋"/>
          <w:color w:val="auto"/>
          <w:sz w:val="32"/>
          <w:szCs w:val="32"/>
          <w:highlight w:val="none"/>
          <w:lang w:val="en-US" w:eastAsia="zh-CN"/>
        </w:rPr>
      </w:pPr>
    </w:p>
    <w:p>
      <w:pPr>
        <w:pStyle w:val="2"/>
        <w:rPr>
          <w:rFonts w:hint="eastAsia"/>
        </w:rPr>
      </w:pPr>
    </w:p>
    <w:p>
      <w:pPr>
        <w:keepNext w:val="0"/>
        <w:keepLines w:val="0"/>
        <w:pageBreakBefore w:val="0"/>
        <w:kinsoku/>
        <w:wordWrap/>
        <w:overflowPunct/>
        <w:topLinePunct w:val="0"/>
        <w:autoSpaceDE/>
        <w:autoSpaceDN/>
        <w:bidi w:val="0"/>
        <w:adjustRightInd/>
        <w:snapToGrid/>
        <w:spacing w:line="360" w:lineRule="auto"/>
        <w:ind w:firstLine="1050" w:firstLineChars="350"/>
        <w:rPr>
          <w:rFonts w:hint="eastAsia" w:ascii="仿宋" w:hAnsi="仿宋" w:eastAsia="仿宋" w:cs="仿宋"/>
          <w:color w:val="auto"/>
          <w:sz w:val="30"/>
          <w:szCs w:val="30"/>
          <w:highlight w:val="none"/>
        </w:rPr>
      </w:pPr>
    </w:p>
    <w:p>
      <w:pPr>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color w:val="auto"/>
          <w:sz w:val="30"/>
          <w:szCs w:val="30"/>
          <w:highlight w:val="none"/>
        </w:rPr>
      </w:pPr>
    </w:p>
    <w:p>
      <w:pPr>
        <w:pStyle w:val="2"/>
        <w:rPr>
          <w:rFonts w:hint="eastAsia" w:ascii="仿宋" w:hAnsi="仿宋" w:eastAsia="仿宋" w:cs="仿宋"/>
          <w:color w:val="auto"/>
          <w:sz w:val="30"/>
          <w:szCs w:val="30"/>
          <w:highlight w:val="none"/>
        </w:rPr>
      </w:pPr>
    </w:p>
    <w:p>
      <w:pPr>
        <w:pStyle w:val="2"/>
        <w:rPr>
          <w:rFonts w:hint="eastAsia" w:ascii="仿宋" w:hAnsi="仿宋" w:eastAsia="仿宋" w:cs="仿宋"/>
          <w:color w:val="auto"/>
          <w:sz w:val="30"/>
          <w:szCs w:val="30"/>
          <w:highlight w:val="none"/>
        </w:rPr>
      </w:pPr>
    </w:p>
    <w:p>
      <w:pPr>
        <w:keepNext w:val="0"/>
        <w:keepLines w:val="0"/>
        <w:pageBreakBefore w:val="0"/>
        <w:kinsoku/>
        <w:wordWrap/>
        <w:overflowPunct/>
        <w:topLinePunct w:val="0"/>
        <w:autoSpaceDE/>
        <w:autoSpaceDN/>
        <w:bidi w:val="0"/>
        <w:adjustRightInd/>
        <w:snapToGrid/>
        <w:spacing w:line="360" w:lineRule="auto"/>
        <w:rPr>
          <w:rFonts w:hint="default"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rPr>
        <w:t>项目名称：</w:t>
      </w:r>
      <w:r>
        <w:rPr>
          <w:rFonts w:hint="eastAsia" w:ascii="仿宋" w:hAnsi="仿宋" w:eastAsia="仿宋" w:cs="仿宋"/>
          <w:color w:val="auto"/>
          <w:sz w:val="30"/>
          <w:szCs w:val="30"/>
          <w:highlight w:val="none"/>
          <w:u w:val="none"/>
          <w:lang w:val="en-US" w:eastAsia="zh-CN"/>
        </w:rPr>
        <w:t xml:space="preserve">“旱作高标准农田建设”项目                                                   </w:t>
      </w:r>
    </w:p>
    <w:p>
      <w:pPr>
        <w:keepNext w:val="0"/>
        <w:keepLines w:val="0"/>
        <w:pageBreakBefore w:val="0"/>
        <w:kinsoku/>
        <w:wordWrap/>
        <w:overflowPunct/>
        <w:topLinePunct w:val="0"/>
        <w:autoSpaceDE/>
        <w:autoSpaceDN/>
        <w:bidi w:val="0"/>
        <w:adjustRightInd/>
        <w:snapToGrid/>
        <w:spacing w:line="360" w:lineRule="auto"/>
        <w:rPr>
          <w:rFonts w:hint="default"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u w:val="none"/>
          <w:lang w:val="en-US" w:eastAsia="zh-CN"/>
        </w:rPr>
        <w:t>委托</w:t>
      </w:r>
      <w:r>
        <w:rPr>
          <w:rFonts w:hint="eastAsia" w:ascii="仿宋" w:hAnsi="仿宋" w:eastAsia="仿宋" w:cs="仿宋"/>
          <w:color w:val="auto"/>
          <w:sz w:val="30"/>
          <w:szCs w:val="30"/>
          <w:highlight w:val="none"/>
          <w:u w:val="none"/>
        </w:rPr>
        <w:t>单位：</w:t>
      </w:r>
      <w:r>
        <w:rPr>
          <w:rFonts w:hint="eastAsia" w:ascii="仿宋" w:hAnsi="仿宋" w:eastAsia="仿宋" w:cs="仿宋"/>
          <w:color w:val="auto"/>
          <w:sz w:val="30"/>
          <w:szCs w:val="30"/>
          <w:highlight w:val="none"/>
          <w:u w:val="none"/>
          <w:lang w:val="en-US" w:eastAsia="zh-CN"/>
        </w:rPr>
        <w:t xml:space="preserve">伊金霍洛旗绩效评价税收服务中心                    </w:t>
      </w:r>
    </w:p>
    <w:p>
      <w:pPr>
        <w:keepNext w:val="0"/>
        <w:keepLines w:val="0"/>
        <w:pageBreakBefore w:val="0"/>
        <w:kinsoku/>
        <w:wordWrap/>
        <w:overflowPunct/>
        <w:topLinePunct w:val="0"/>
        <w:autoSpaceDE/>
        <w:autoSpaceDN/>
        <w:bidi w:val="0"/>
        <w:adjustRightInd/>
        <w:snapToGrid/>
        <w:spacing w:line="360" w:lineRule="auto"/>
        <w:rPr>
          <w:rFonts w:hint="default"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u w:val="none"/>
        </w:rPr>
        <w:t>项目</w:t>
      </w:r>
      <w:r>
        <w:rPr>
          <w:rFonts w:hint="eastAsia" w:ascii="仿宋" w:hAnsi="仿宋" w:eastAsia="仿宋" w:cs="仿宋"/>
          <w:color w:val="auto"/>
          <w:sz w:val="30"/>
          <w:szCs w:val="30"/>
          <w:highlight w:val="none"/>
          <w:u w:val="none"/>
          <w:lang w:val="en-US" w:eastAsia="zh-CN"/>
        </w:rPr>
        <w:t>承担单位</w:t>
      </w:r>
      <w:r>
        <w:rPr>
          <w:rFonts w:hint="eastAsia" w:ascii="仿宋" w:hAnsi="仿宋" w:eastAsia="仿宋" w:cs="仿宋"/>
          <w:color w:val="auto"/>
          <w:sz w:val="30"/>
          <w:szCs w:val="30"/>
          <w:highlight w:val="none"/>
          <w:u w:val="none"/>
          <w:lang w:val="en-US" w:eastAsia="zh-CN"/>
        </w:rPr>
        <w:t xml:space="preserve">：伊金霍洛旗农牧局                             </w:t>
      </w:r>
    </w:p>
    <w:p>
      <w:pPr>
        <w:keepNext w:val="0"/>
        <w:keepLines w:val="0"/>
        <w:pageBreakBefore w:val="0"/>
        <w:kinsoku/>
        <w:wordWrap/>
        <w:overflowPunct/>
        <w:topLinePunct w:val="0"/>
        <w:autoSpaceDE/>
        <w:autoSpaceDN/>
        <w:bidi w:val="0"/>
        <w:adjustRightInd/>
        <w:snapToGrid/>
        <w:spacing w:line="360" w:lineRule="auto"/>
        <w:jc w:val="both"/>
        <w:outlineLvl w:val="0"/>
        <w:rPr>
          <w:rFonts w:hint="default" w:ascii="宋体" w:hAnsi="宋体" w:cs="宋体"/>
          <w:b/>
          <w:bCs/>
          <w:sz w:val="44"/>
          <w:szCs w:val="44"/>
          <w:highlight w:val="none"/>
          <w:lang w:val="en-US" w:eastAsia="zh-CN"/>
        </w:rPr>
      </w:pPr>
      <w:bookmarkStart w:id="5" w:name="_Toc8911"/>
      <w:bookmarkStart w:id="6" w:name="_Toc26906"/>
      <w:bookmarkStart w:id="7" w:name="_Toc7217"/>
      <w:bookmarkStart w:id="8" w:name="_Toc31233"/>
      <w:bookmarkStart w:id="9" w:name="_Toc31340"/>
      <w:bookmarkStart w:id="10" w:name="_Toc26407"/>
      <w:bookmarkStart w:id="11" w:name="_Toc10166"/>
      <w:bookmarkStart w:id="12" w:name="_Toc28567"/>
      <w:bookmarkStart w:id="13" w:name="_Toc11588"/>
      <w:bookmarkStart w:id="14" w:name="_Toc18859"/>
      <w:bookmarkStart w:id="15" w:name="_Toc12824"/>
      <w:bookmarkStart w:id="16" w:name="_Toc8040"/>
      <w:bookmarkStart w:id="17" w:name="_Toc27568"/>
      <w:bookmarkStart w:id="18" w:name="_Toc23449"/>
      <w:bookmarkStart w:id="19" w:name="_Toc9004"/>
      <w:r>
        <w:rPr>
          <w:rFonts w:hint="eastAsia" w:ascii="仿宋" w:hAnsi="仿宋" w:eastAsia="仿宋" w:cs="仿宋"/>
          <w:color w:val="auto"/>
          <w:sz w:val="30"/>
          <w:szCs w:val="30"/>
          <w:highlight w:val="none"/>
          <w:u w:val="none"/>
        </w:rPr>
        <w:t>项目</w:t>
      </w:r>
      <w:r>
        <w:rPr>
          <w:rFonts w:hint="eastAsia" w:ascii="仿宋" w:hAnsi="仿宋" w:eastAsia="仿宋" w:cs="仿宋"/>
          <w:color w:val="auto"/>
          <w:sz w:val="30"/>
          <w:szCs w:val="30"/>
          <w:highlight w:val="none"/>
          <w:u w:val="none"/>
          <w:lang w:val="en-US" w:eastAsia="zh-CN"/>
        </w:rPr>
        <w:t>评价机构</w:t>
      </w:r>
      <w:r>
        <w:rPr>
          <w:rFonts w:hint="eastAsia" w:ascii="仿宋" w:hAnsi="仿宋" w:eastAsia="仿宋" w:cs="仿宋"/>
          <w:color w:val="auto"/>
          <w:sz w:val="30"/>
          <w:szCs w:val="30"/>
          <w:highlight w:val="none"/>
          <w:u w:val="none"/>
        </w:rPr>
        <w:t>：</w:t>
      </w:r>
      <w:r>
        <w:rPr>
          <w:rFonts w:hint="eastAsia" w:ascii="仿宋" w:hAnsi="仿宋" w:eastAsia="仿宋" w:cs="仿宋"/>
          <w:color w:val="auto"/>
          <w:sz w:val="30"/>
          <w:szCs w:val="30"/>
          <w:highlight w:val="none"/>
          <w:u w:val="none"/>
          <w:lang w:val="en-US" w:eastAsia="zh-CN"/>
        </w:rPr>
        <w:t>内蒙古弘诚会计师事务所（普通合伙）</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ascii="仿宋" w:hAnsi="仿宋" w:eastAsia="仿宋" w:cs="仿宋"/>
          <w:color w:val="auto"/>
          <w:sz w:val="30"/>
          <w:szCs w:val="30"/>
          <w:highlight w:val="none"/>
          <w:u w:val="none"/>
          <w:lang w:val="en-US" w:eastAsia="zh-CN"/>
        </w:rPr>
        <w:t xml:space="preserve">           </w:t>
      </w:r>
    </w:p>
    <w:p>
      <w:pPr>
        <w:spacing w:line="360" w:lineRule="auto"/>
        <w:jc w:val="both"/>
        <w:rPr>
          <w:rFonts w:hint="eastAsia" w:ascii="方正小标宋简体" w:hAnsi="方正小标宋简体" w:eastAsia="方正小标宋简体" w:cs="方正小标宋简体"/>
          <w:b w:val="0"/>
          <w:bCs w:val="0"/>
          <w:sz w:val="36"/>
          <w:szCs w:val="36"/>
          <w:lang w:val="en-US" w:eastAsia="zh-CN"/>
        </w:rPr>
      </w:pPr>
    </w:p>
    <w:p>
      <w:pPr>
        <w:pStyle w:val="2"/>
        <w:rPr>
          <w:rFonts w:hint="eastAsia" w:ascii="方正小标宋简体" w:hAnsi="方正小标宋简体" w:eastAsia="方正小标宋简体" w:cs="方正小标宋简体"/>
          <w:b w:val="0"/>
          <w:bCs w:val="0"/>
          <w:sz w:val="36"/>
          <w:szCs w:val="36"/>
          <w:lang w:val="en-US" w:eastAsia="zh-CN"/>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sz w:val="32"/>
          <w:szCs w:val="32"/>
        </w:rPr>
      </w:pPr>
    </w:p>
    <w:p>
      <w:pPr>
        <w:spacing w:line="360" w:lineRule="auto"/>
        <w:jc w:val="both"/>
        <w:rPr>
          <w:rFonts w:hint="eastAsia" w:ascii="黑体" w:hAnsi="黑体" w:eastAsia="黑体" w:cs="黑体"/>
          <w:bCs/>
          <w:sz w:val="44"/>
          <w:szCs w:val="44"/>
        </w:rPr>
        <w:sectPr>
          <w:pgSz w:w="11906" w:h="16838"/>
          <w:pgMar w:top="1247" w:right="1052" w:bottom="1418" w:left="1814"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auto"/>
        <w:jc w:val="center"/>
        <w:outlineLvl w:val="0"/>
        <w:rPr>
          <w:rFonts w:hint="eastAsia" w:ascii="仿宋" w:hAnsi="仿宋" w:eastAsia="仿宋" w:cs="仿宋"/>
          <w:b/>
          <w:bCs/>
          <w:sz w:val="24"/>
        </w:rPr>
      </w:pPr>
      <w:bookmarkStart w:id="20" w:name="_Toc7411"/>
      <w:bookmarkStart w:id="21" w:name="_Toc11437"/>
      <w:bookmarkStart w:id="22" w:name="_Toc13866"/>
      <w:r>
        <w:rPr>
          <w:rFonts w:hint="eastAsia" w:ascii="黑体" w:hAnsi="黑体" w:eastAsia="黑体" w:cs="黑体"/>
          <w:bCs/>
          <w:sz w:val="44"/>
          <w:szCs w:val="44"/>
        </w:rPr>
        <w:t>伊金霍洛旗</w:t>
      </w:r>
      <w:r>
        <w:rPr>
          <w:rFonts w:hint="eastAsia" w:ascii="黑体" w:hAnsi="黑体" w:eastAsia="黑体" w:cs="黑体"/>
          <w:bCs/>
          <w:sz w:val="44"/>
          <w:szCs w:val="44"/>
          <w:lang w:val="en-US" w:eastAsia="zh-CN"/>
        </w:rPr>
        <w:t>农牧局2021年旱作高标准</w:t>
      </w:r>
      <w:r>
        <w:rPr>
          <w:rFonts w:hint="default" w:ascii="黑体" w:hAnsi="黑体" w:eastAsia="黑体" w:cs="黑体"/>
          <w:bCs/>
          <w:sz w:val="44"/>
          <w:szCs w:val="44"/>
          <w:lang w:val="en-US" w:eastAsia="zh-CN"/>
        </w:rPr>
        <w:t>农田建设项目</w:t>
      </w:r>
      <w:r>
        <w:rPr>
          <w:rFonts w:hint="eastAsia" w:ascii="黑体" w:hAnsi="黑体" w:eastAsia="黑体" w:cs="黑体"/>
          <w:bCs/>
          <w:sz w:val="44"/>
          <w:szCs w:val="44"/>
          <w:lang w:val="en-US" w:eastAsia="zh-CN"/>
        </w:rPr>
        <w:t>支出绩效评价报告</w:t>
      </w:r>
      <w:bookmarkEnd w:id="20"/>
      <w:bookmarkEnd w:id="21"/>
      <w:bookmarkEnd w:id="22"/>
    </w:p>
    <w:p>
      <w:pPr>
        <w:spacing w:line="360" w:lineRule="auto"/>
        <w:ind w:firstLine="640" w:firstLineChars="200"/>
        <w:outlineLvl w:val="0"/>
        <w:rPr>
          <w:rFonts w:hint="eastAsia" w:ascii="黑体" w:hAnsi="黑体" w:eastAsia="黑体"/>
          <w:sz w:val="32"/>
          <w:szCs w:val="32"/>
          <w:highlight w:val="none"/>
        </w:rPr>
      </w:pPr>
      <w:bookmarkStart w:id="23" w:name="_Toc31215"/>
      <w:bookmarkStart w:id="24" w:name="_Toc4884"/>
      <w:bookmarkStart w:id="25" w:name="_Toc20500"/>
      <w:bookmarkStart w:id="26" w:name="_Toc6420"/>
      <w:bookmarkStart w:id="27" w:name="_Toc30656"/>
      <w:bookmarkStart w:id="28" w:name="_Toc24788"/>
    </w:p>
    <w:p>
      <w:pPr>
        <w:spacing w:line="360" w:lineRule="auto"/>
        <w:ind w:firstLine="640" w:firstLineChars="200"/>
        <w:outlineLvl w:val="0"/>
        <w:rPr>
          <w:rFonts w:hint="eastAsia" w:ascii="黑体" w:hAnsi="黑体" w:eastAsia="黑体"/>
          <w:sz w:val="32"/>
          <w:szCs w:val="32"/>
          <w:highlight w:val="none"/>
        </w:rPr>
      </w:pPr>
      <w:r>
        <w:rPr>
          <w:rFonts w:hint="eastAsia" w:ascii="黑体" w:hAnsi="黑体" w:eastAsia="黑体"/>
          <w:sz w:val="32"/>
          <w:szCs w:val="32"/>
          <w:highlight w:val="none"/>
        </w:rPr>
        <w:t>一、基本情况</w:t>
      </w:r>
      <w:bookmarkEnd w:id="23"/>
      <w:bookmarkEnd w:id="24"/>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highlight w:val="none"/>
          <w:lang w:eastAsia="zh-CN"/>
        </w:rPr>
        <w:t>（一）</w:t>
      </w:r>
      <w:r>
        <w:rPr>
          <w:rFonts w:hint="eastAsia" w:ascii="仿宋" w:hAnsi="仿宋" w:eastAsia="仿宋" w:cs="仿宋"/>
          <w:sz w:val="32"/>
          <w:szCs w:val="32"/>
          <w:lang w:val="en-US" w:eastAsia="zh-CN"/>
        </w:rPr>
        <w:t>项目背景</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0" w:lineRule="atLeast"/>
        <w:ind w:left="0" w:right="0" w:firstLine="640" w:firstLineChars="200"/>
        <w:jc w:val="both"/>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党中央、国务院高度重视高标准农田建设工作。2004年中央一号文件提出，“建设高标准基本农田，提高粮食综合生产能力”。此后几年的中央一号文件</w:t>
      </w:r>
      <w:bookmarkStart w:id="75" w:name="_GoBack"/>
      <w:bookmarkEnd w:id="75"/>
      <w:r>
        <w:rPr>
          <w:rFonts w:hint="default" w:ascii="仿宋" w:hAnsi="仿宋" w:eastAsia="仿宋" w:cs="仿宋"/>
          <w:kern w:val="2"/>
          <w:sz w:val="32"/>
          <w:szCs w:val="32"/>
          <w:lang w:val="en-US" w:eastAsia="zh-CN" w:bidi="ar-SA"/>
        </w:rPr>
        <w:t>先后就建设“基本农田”“标准农田”“高标准农田”等作出部署。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0" w:lineRule="atLeast"/>
        <w:ind w:left="0" w:right="0" w:firstLine="640" w:firstLineChars="200"/>
        <w:jc w:val="both"/>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大力推进高标准农田建设，是稳步提高农业综合生产能力、保障国家粮食长久安全的物质基础，是发展现代农业、建设社会主义新农村的现实要求，是公共财政支持</w:t>
      </w:r>
      <w:r>
        <w:rPr>
          <w:rFonts w:hint="eastAsia" w:ascii="仿宋" w:hAnsi="仿宋" w:eastAsia="仿宋" w:cs="仿宋"/>
          <w:kern w:val="2"/>
          <w:sz w:val="32"/>
          <w:szCs w:val="32"/>
          <w:lang w:val="en-US" w:eastAsia="zh-CN" w:bidi="ar-SA"/>
        </w:rPr>
        <w:t>“三农”工作</w:t>
      </w:r>
      <w:r>
        <w:rPr>
          <w:rFonts w:hint="default" w:ascii="仿宋" w:hAnsi="仿宋" w:eastAsia="仿宋" w:cs="仿宋"/>
          <w:kern w:val="2"/>
          <w:sz w:val="32"/>
          <w:szCs w:val="32"/>
          <w:lang w:val="en-US" w:eastAsia="zh-CN" w:bidi="ar-SA"/>
        </w:rPr>
        <w:t>的重要战略举措，是提高农业整体效益的重要手段，也是新时期农业综合开发的重要历史使命，具有重大的现实意义和深远的战略意义。</w:t>
      </w:r>
    </w:p>
    <w:p>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 xml:space="preserve">积极开展高标准农田建设是稳步提高农业综合生产能力、保障国家粮食长久安全、自求平衡的物质基础；是打造粮食核心产区、发展现代农业、建设社会主义新农村的现实要求；是公共财政支持“三农”工作的重要战略举措，是进一步提升农业综合开发水平和创新开发体制机制的需要，具有重大的现实意义和深远的历史意义。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50" w:afterAutospacing="0" w:line="20" w:lineRule="atLeast"/>
        <w:ind w:left="0" w:right="0" w:firstLine="640" w:firstLineChars="20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为深入实施藏粮于地、藏粮于技战略，依据《全国高标准农田建设规划（2021—2030年）》，将提高粮食生产能力作为目标，坚持依水定地，合理利用地表水，根据现实情况加快我市以高效节水为重点的高标准农田各类项目建设，提高抵御自然风险能力和综合生产能力，推动我市农牧业高质量发展，鄂尔多斯市农牧局于2021年向伊金霍洛旗下达了旱作高标准农田建设任务1万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（二）主要内容及实施情况</w:t>
      </w:r>
    </w:p>
    <w:p>
      <w:pPr>
        <w:keepNext w:val="0"/>
        <w:keepLines w:val="0"/>
        <w:widowControl/>
        <w:suppressLineNumbers w:val="0"/>
        <w:ind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根据鄂尔多斯市农牧局2021年6月7日批复的项目初步设计报告，2021年伊金霍洛旗旱作高标准农田建设项目位于苏布尔嘎镇、伊金霍洛镇、乌兰木伦镇、红庆河镇和阿勒腾席热镇5个乡镇26个行政村51个社，建设高标准农田面积1万亩，全部为滴灌。工程总投资1500万元（财政投资1500万元），亩均1500元。</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后因</w:t>
      </w:r>
      <w:r>
        <w:rPr>
          <w:rFonts w:hint="default" w:ascii="仿宋" w:hAnsi="仿宋" w:eastAsia="仿宋" w:cs="仿宋"/>
          <w:kern w:val="2"/>
          <w:sz w:val="32"/>
          <w:szCs w:val="32"/>
          <w:lang w:val="en-US" w:eastAsia="zh-CN" w:bidi="ar-SA"/>
        </w:rPr>
        <w:t>在项目实施过程中</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项目区施工滴灌时与当地农民纠纷较为严重</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没有较好解决方案，为了不影响工程的建设，</w:t>
      </w:r>
      <w:r>
        <w:rPr>
          <w:rFonts w:hint="eastAsia" w:ascii="仿宋" w:hAnsi="仿宋" w:eastAsia="仿宋" w:cs="仿宋"/>
          <w:kern w:val="2"/>
          <w:sz w:val="32"/>
          <w:szCs w:val="32"/>
          <w:lang w:val="en-US" w:eastAsia="zh-CN" w:bidi="ar-SA"/>
        </w:rPr>
        <w:t>经鄂尔多斯市农牧局于2022年4月21日批复</w:t>
      </w:r>
      <w:r>
        <w:rPr>
          <w:rFonts w:hint="default" w:ascii="仿宋" w:hAnsi="仿宋" w:eastAsia="仿宋" w:cs="仿宋"/>
          <w:kern w:val="2"/>
          <w:sz w:val="32"/>
          <w:szCs w:val="32"/>
          <w:lang w:val="en-US" w:eastAsia="zh-CN" w:bidi="ar-SA"/>
        </w:rPr>
        <w:t>变更</w:t>
      </w:r>
      <w:r>
        <w:rPr>
          <w:rFonts w:hint="eastAsia" w:ascii="仿宋" w:hAnsi="仿宋" w:eastAsia="仿宋" w:cs="仿宋"/>
          <w:kern w:val="2"/>
          <w:sz w:val="32"/>
          <w:szCs w:val="32"/>
          <w:lang w:val="en-US" w:eastAsia="zh-CN" w:bidi="ar-SA"/>
        </w:rPr>
        <w:t>部分建设地点，变更后建设规模不变，</w:t>
      </w:r>
      <w:r>
        <w:rPr>
          <w:rFonts w:hint="default" w:ascii="仿宋" w:hAnsi="仿宋" w:eastAsia="仿宋" w:cs="仿宋"/>
          <w:kern w:val="2"/>
          <w:sz w:val="32"/>
          <w:szCs w:val="32"/>
          <w:lang w:val="en-US" w:eastAsia="zh-CN" w:bidi="ar-SA"/>
        </w:rPr>
        <w:t>总投资1510.59万元，较原批复增加投资10.59万元。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（三）资金投入和使用情况</w:t>
      </w:r>
    </w:p>
    <w:p>
      <w:pPr>
        <w:pStyle w:val="2"/>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color w:val="000000"/>
          <w:kern w:val="0"/>
          <w:sz w:val="32"/>
          <w:szCs w:val="32"/>
          <w:lang w:val="en-US" w:eastAsia="zh-CN" w:bidi="ar"/>
        </w:rPr>
      </w:pPr>
      <w:r>
        <w:rPr>
          <w:rFonts w:hint="eastAsia"/>
          <w:lang w:val="en-US" w:eastAsia="zh-CN"/>
        </w:rPr>
        <w:t xml:space="preserve">    </w:t>
      </w:r>
      <w:r>
        <w:rPr>
          <w:rFonts w:hint="eastAsia" w:ascii="仿宋_GB2312" w:hAnsi="仿宋_GB2312" w:eastAsia="仿宋_GB2312" w:cs="仿宋_GB2312"/>
          <w:color w:val="000000"/>
          <w:kern w:val="0"/>
          <w:sz w:val="32"/>
          <w:szCs w:val="32"/>
          <w:lang w:val="en-US" w:eastAsia="zh-CN" w:bidi="ar"/>
        </w:rPr>
        <w:t>本项目变更后</w:t>
      </w:r>
      <w:r>
        <w:rPr>
          <w:rFonts w:hint="default" w:ascii="仿宋_GB2312" w:hAnsi="仿宋_GB2312" w:eastAsia="仿宋_GB2312" w:cs="仿宋_GB2312"/>
          <w:color w:val="000000"/>
          <w:kern w:val="0"/>
          <w:sz w:val="32"/>
          <w:szCs w:val="32"/>
          <w:lang w:val="en-US" w:eastAsia="zh-CN" w:bidi="ar"/>
        </w:rPr>
        <w:t>总投资1510.59万元</w:t>
      </w:r>
      <w:r>
        <w:rPr>
          <w:rFonts w:hint="eastAsia" w:ascii="仿宋_GB2312" w:hAnsi="仿宋_GB2312" w:eastAsia="仿宋_GB2312" w:cs="仿宋_GB2312"/>
          <w:color w:val="000000"/>
          <w:kern w:val="0"/>
          <w:sz w:val="32"/>
          <w:szCs w:val="32"/>
          <w:lang w:val="en-US" w:eastAsia="zh-CN" w:bidi="ar"/>
        </w:rPr>
        <w:t>，实际投资1412.48万元。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ascii="仿宋_GB2312" w:hAnsi="仿宋_GB2312" w:eastAsia="仿宋_GB2312" w:cs="仿宋_GB2312"/>
          <w:color w:val="000000"/>
          <w:kern w:val="0"/>
          <w:sz w:val="32"/>
          <w:szCs w:val="32"/>
          <w:lang w:val="en-US" w:eastAsia="zh-CN" w:bidi="ar"/>
        </w:rPr>
        <w:t>截至2023年6月1日，共支出资金1372.43万元，剩余40.05万元为工程质保金。</w:t>
      </w:r>
    </w:p>
    <w:p>
      <w:pPr>
        <w:spacing w:line="360" w:lineRule="auto"/>
        <w:ind w:firstLine="640" w:firstLineChars="200"/>
        <w:outlineLvl w:val="0"/>
        <w:rPr>
          <w:rFonts w:hint="eastAsia" w:ascii="黑体" w:hAnsi="黑体" w:eastAsia="黑体"/>
          <w:sz w:val="32"/>
          <w:szCs w:val="32"/>
          <w:highlight w:val="none"/>
        </w:rPr>
      </w:pPr>
      <w:bookmarkStart w:id="29" w:name="_Toc8629"/>
      <w:bookmarkStart w:id="30" w:name="_Toc19296"/>
      <w:bookmarkStart w:id="31" w:name="_Toc25694"/>
      <w:bookmarkStart w:id="32" w:name="_Toc18256"/>
      <w:bookmarkStart w:id="33" w:name="_Toc20451"/>
      <w:bookmarkStart w:id="34" w:name="_Toc31669"/>
      <w:bookmarkStart w:id="35" w:name="_Toc23264"/>
      <w:bookmarkStart w:id="36" w:name="_Toc29907"/>
      <w:bookmarkStart w:id="37" w:name="_Toc24470"/>
      <w:bookmarkStart w:id="38" w:name="_Toc28906"/>
      <w:r>
        <w:rPr>
          <w:rFonts w:hint="eastAsia" w:ascii="黑体" w:hAnsi="黑体" w:eastAsia="黑体"/>
          <w:sz w:val="32"/>
          <w:szCs w:val="32"/>
          <w:highlight w:val="none"/>
          <w:lang w:val="en-US" w:eastAsia="zh-CN"/>
        </w:rPr>
        <w:t>二</w:t>
      </w:r>
      <w:r>
        <w:rPr>
          <w:rFonts w:hint="eastAsia" w:ascii="黑体" w:hAnsi="黑体" w:eastAsia="黑体"/>
          <w:sz w:val="32"/>
          <w:szCs w:val="32"/>
          <w:highlight w:val="none"/>
        </w:rPr>
        <w:t>、综合评价情况及评价结论</w:t>
      </w:r>
      <w:bookmarkEnd w:id="29"/>
      <w:bookmarkEnd w:id="30"/>
      <w:bookmarkEnd w:id="31"/>
      <w:bookmarkEnd w:id="32"/>
      <w:bookmarkEnd w:id="33"/>
      <w:bookmarkEnd w:id="34"/>
      <w:bookmarkEnd w:id="35"/>
      <w:bookmarkEnd w:id="36"/>
      <w:bookmarkEnd w:id="37"/>
      <w:bookmarkEnd w:id="38"/>
    </w:p>
    <w:p>
      <w:pPr>
        <w:keepNext w:val="0"/>
        <w:keepLines w:val="0"/>
        <w:pageBreakBefore w:val="0"/>
        <w:numPr>
          <w:ilvl w:val="0"/>
          <w:numId w:val="0"/>
        </w:numPr>
        <w:kinsoku/>
        <w:wordWrap/>
        <w:overflowPunct/>
        <w:topLinePunct w:val="0"/>
        <w:autoSpaceDE/>
        <w:autoSpaceDN/>
        <w:bidi w:val="0"/>
        <w:snapToGrid/>
        <w:spacing w:line="360" w:lineRule="auto"/>
        <w:ind w:left="0" w:leftChars="0" w:firstLine="640"/>
        <w:rPr>
          <w:rFonts w:hint="eastAsia"/>
          <w:lang w:val="en-US" w:eastAsia="zh-CN"/>
        </w:rPr>
      </w:pPr>
      <w:r>
        <w:rPr>
          <w:rFonts w:hint="eastAsia" w:ascii="仿宋" w:hAnsi="仿宋" w:eastAsia="仿宋" w:cs="仿宋"/>
          <w:b w:val="0"/>
          <w:bCs w:val="0"/>
          <w:kern w:val="2"/>
          <w:sz w:val="32"/>
          <w:szCs w:val="32"/>
          <w:lang w:val="en-US" w:eastAsia="zh-CN" w:bidi="ar-SA"/>
        </w:rPr>
        <w:t>通过资料收集、数据分析、满意度调查等程序，运用符合本项目实际的《</w:t>
      </w:r>
      <w:r>
        <w:rPr>
          <w:rFonts w:hint="eastAsia" w:ascii="仿宋" w:hAnsi="仿宋" w:eastAsia="仿宋" w:cs="仿宋"/>
          <w:bCs/>
          <w:sz w:val="32"/>
          <w:szCs w:val="32"/>
          <w:highlight w:val="none"/>
          <w:lang w:val="en-US" w:eastAsia="zh-CN"/>
        </w:rPr>
        <w:t>伊金霍洛旗农牧局2021年旱作高标准</w:t>
      </w:r>
      <w:r>
        <w:rPr>
          <w:rFonts w:hint="default" w:ascii="仿宋" w:hAnsi="仿宋" w:eastAsia="仿宋" w:cs="仿宋"/>
          <w:bCs/>
          <w:sz w:val="32"/>
          <w:szCs w:val="32"/>
          <w:highlight w:val="none"/>
          <w:lang w:val="en-US" w:eastAsia="zh-CN"/>
        </w:rPr>
        <w:t>农田建设项目</w:t>
      </w:r>
      <w:r>
        <w:rPr>
          <w:rFonts w:hint="eastAsia" w:ascii="仿宋" w:hAnsi="仿宋" w:eastAsia="仿宋" w:cs="仿宋"/>
          <w:b w:val="0"/>
          <w:bCs w:val="0"/>
          <w:kern w:val="2"/>
          <w:sz w:val="32"/>
          <w:szCs w:val="32"/>
          <w:lang w:val="en-US" w:eastAsia="zh-CN" w:bidi="ar-SA"/>
        </w:rPr>
        <w:t>支出绩效评价指标体系框架》，对</w:t>
      </w:r>
      <w:r>
        <w:rPr>
          <w:rFonts w:hint="eastAsia" w:ascii="仿宋" w:hAnsi="仿宋" w:eastAsia="仿宋" w:cs="仿宋"/>
          <w:bCs/>
          <w:sz w:val="32"/>
          <w:szCs w:val="32"/>
          <w:highlight w:val="none"/>
          <w:lang w:val="en-US" w:eastAsia="zh-CN"/>
        </w:rPr>
        <w:t>伊金霍洛旗农牧局2021年旱作高标准</w:t>
      </w:r>
      <w:r>
        <w:rPr>
          <w:rFonts w:hint="default" w:ascii="仿宋" w:hAnsi="仿宋" w:eastAsia="仿宋" w:cs="仿宋"/>
          <w:bCs/>
          <w:sz w:val="32"/>
          <w:szCs w:val="32"/>
          <w:highlight w:val="none"/>
          <w:lang w:val="en-US" w:eastAsia="zh-CN"/>
        </w:rPr>
        <w:t>农田建设项目</w:t>
      </w:r>
      <w:r>
        <w:rPr>
          <w:rFonts w:hint="eastAsia" w:ascii="仿宋" w:hAnsi="仿宋" w:eastAsia="仿宋" w:cs="仿宋"/>
          <w:bCs/>
          <w:color w:val="auto"/>
          <w:sz w:val="32"/>
          <w:szCs w:val="32"/>
          <w:highlight w:val="none"/>
          <w:lang w:val="en-US" w:eastAsia="zh-CN"/>
        </w:rPr>
        <w:t>支出</w:t>
      </w:r>
      <w:r>
        <w:rPr>
          <w:rFonts w:hint="eastAsia" w:ascii="仿宋" w:hAnsi="仿宋" w:eastAsia="仿宋" w:cs="仿宋"/>
          <w:b w:val="0"/>
          <w:bCs w:val="0"/>
          <w:kern w:val="2"/>
          <w:sz w:val="32"/>
          <w:szCs w:val="32"/>
          <w:lang w:val="en-US" w:eastAsia="zh-CN" w:bidi="ar-SA"/>
        </w:rPr>
        <w:t>进行了客观评价，最终评分结果</w:t>
      </w:r>
      <w:r>
        <w:rPr>
          <w:rFonts w:hint="eastAsia" w:ascii="仿宋" w:hAnsi="仿宋" w:eastAsia="仿宋" w:cs="仿宋"/>
          <w:b w:val="0"/>
          <w:bCs w:val="0"/>
          <w:color w:val="auto"/>
          <w:kern w:val="2"/>
          <w:sz w:val="32"/>
          <w:szCs w:val="32"/>
          <w:lang w:val="en-US" w:eastAsia="zh-CN" w:bidi="ar-SA"/>
        </w:rPr>
        <w:t>为90.08分，绩效评价等级为“优”。</w:t>
      </w:r>
    </w:p>
    <w:p>
      <w:pPr>
        <w:numPr>
          <w:ilvl w:val="0"/>
          <w:numId w:val="0"/>
        </w:numPr>
        <w:spacing w:line="360" w:lineRule="auto"/>
        <w:ind w:firstLine="640" w:firstLineChars="200"/>
        <w:outlineLvl w:val="0"/>
        <w:rPr>
          <w:rFonts w:hint="eastAsia" w:ascii="黑体" w:hAnsi="黑体" w:eastAsia="黑体"/>
          <w:sz w:val="32"/>
          <w:szCs w:val="32"/>
          <w:highlight w:val="none"/>
        </w:rPr>
      </w:pPr>
      <w:bookmarkStart w:id="39" w:name="_Toc5563"/>
      <w:bookmarkStart w:id="40" w:name="_Toc23723"/>
      <w:bookmarkStart w:id="41" w:name="_Toc27743"/>
      <w:bookmarkStart w:id="42" w:name="_Toc20177"/>
      <w:bookmarkStart w:id="43" w:name="_Toc29978"/>
      <w:bookmarkStart w:id="44" w:name="_Toc31361"/>
      <w:bookmarkStart w:id="45" w:name="_Toc4035"/>
      <w:bookmarkStart w:id="46" w:name="_Toc6464"/>
      <w:bookmarkStart w:id="47" w:name="_Toc12002"/>
      <w:bookmarkStart w:id="48" w:name="_Toc2046"/>
      <w:r>
        <w:rPr>
          <w:rFonts w:hint="eastAsia" w:ascii="黑体" w:hAnsi="黑体" w:eastAsia="黑体"/>
          <w:sz w:val="32"/>
          <w:szCs w:val="32"/>
          <w:highlight w:val="none"/>
          <w:lang w:val="en-US" w:eastAsia="zh-CN"/>
        </w:rPr>
        <w:t>三、</w:t>
      </w:r>
      <w:r>
        <w:rPr>
          <w:rFonts w:hint="eastAsia" w:ascii="黑体" w:hAnsi="黑体" w:eastAsia="黑体"/>
          <w:sz w:val="32"/>
          <w:szCs w:val="32"/>
          <w:highlight w:val="none"/>
        </w:rPr>
        <w:t>存在的问题</w:t>
      </w:r>
      <w:bookmarkEnd w:id="39"/>
      <w:bookmarkEnd w:id="40"/>
      <w:bookmarkEnd w:id="41"/>
      <w:bookmarkEnd w:id="42"/>
      <w:bookmarkEnd w:id="43"/>
      <w:bookmarkEnd w:id="44"/>
      <w:bookmarkEnd w:id="45"/>
      <w:bookmarkEnd w:id="46"/>
      <w:bookmarkEnd w:id="47"/>
      <w:bookmarkEnd w:id="48"/>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textAlignment w:val="auto"/>
        <w:outlineLvl w:val="1"/>
        <w:rPr>
          <w:rFonts w:hint="default" w:ascii="楷体" w:hAnsi="楷体" w:eastAsia="楷体" w:cs="楷体"/>
          <w:kern w:val="2"/>
          <w:sz w:val="32"/>
          <w:szCs w:val="32"/>
          <w:highlight w:val="none"/>
          <w:lang w:val="en-US" w:eastAsia="zh-CN" w:bidi="ar-SA"/>
        </w:rPr>
      </w:pPr>
      <w:bookmarkStart w:id="49" w:name="_Toc31148"/>
      <w:bookmarkStart w:id="50" w:name="_Toc19510"/>
      <w:bookmarkStart w:id="51" w:name="_Toc24456"/>
      <w:bookmarkStart w:id="52" w:name="_Toc14550"/>
      <w:r>
        <w:rPr>
          <w:rFonts w:hint="eastAsia" w:ascii="楷体" w:hAnsi="楷体" w:eastAsia="楷体" w:cs="楷体"/>
          <w:kern w:val="2"/>
          <w:sz w:val="32"/>
          <w:szCs w:val="32"/>
          <w:highlight w:val="none"/>
          <w:lang w:val="en-US" w:eastAsia="zh-CN" w:bidi="ar-SA"/>
        </w:rPr>
        <w:t>预算绩效管理相关问题</w:t>
      </w:r>
      <w:bookmarkEnd w:id="49"/>
      <w:bookmarkEnd w:id="50"/>
      <w:bookmarkEnd w:id="51"/>
      <w:bookmarkEnd w:id="52"/>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 w:hAnsi="仿宋" w:eastAsia="仿宋" w:cs="仿宋"/>
          <w:sz w:val="32"/>
          <w:szCs w:val="32"/>
          <w:lang w:val="en-US"/>
        </w:rPr>
      </w:pPr>
      <w:r>
        <w:rPr>
          <w:rFonts w:hint="eastAsia" w:ascii="仿宋" w:hAnsi="仿宋" w:eastAsia="仿宋" w:cs="仿宋"/>
          <w:sz w:val="32"/>
          <w:szCs w:val="32"/>
          <w:lang w:val="en-US" w:eastAsia="zh-CN"/>
        </w:rPr>
        <w:t>1.未按照要求开展绩效监控工作</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伊旗农牧局2021年、2022年均未能按照要求开展本项目年度监控工作、填报监控报告，</w:t>
      </w:r>
      <w:r>
        <w:rPr>
          <w:rFonts w:hint="eastAsia" w:ascii="仿宋" w:hAnsi="仿宋" w:eastAsia="仿宋" w:cs="仿宋"/>
          <w:sz w:val="32"/>
          <w:szCs w:val="32"/>
        </w:rPr>
        <w:t>绩效监控工作开展有效性较差。</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both"/>
        <w:textAlignment w:val="auto"/>
        <w:rPr>
          <w:rFonts w:hint="default" w:ascii="仿宋" w:hAnsi="仿宋" w:eastAsia="仿宋" w:cs="仿宋"/>
          <w:sz w:val="32"/>
          <w:szCs w:val="32"/>
          <w:lang w:val="en-US"/>
        </w:rPr>
      </w:pPr>
      <w:r>
        <w:rPr>
          <w:rFonts w:hint="eastAsia" w:ascii="仿宋" w:hAnsi="仿宋" w:eastAsia="仿宋" w:cs="仿宋"/>
          <w:sz w:val="32"/>
          <w:szCs w:val="32"/>
          <w:lang w:val="en-US" w:eastAsia="zh-CN"/>
        </w:rPr>
        <w:t>2.自评工作准确性较差</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 w:hAnsi="仿宋" w:eastAsia="仿宋" w:cs="仿宋"/>
          <w:sz w:val="32"/>
          <w:szCs w:val="32"/>
          <w:lang w:val="en-US" w:eastAsia="zh-CN"/>
        </w:rPr>
      </w:pPr>
      <w:bookmarkStart w:id="53" w:name="_Toc5723"/>
      <w:bookmarkStart w:id="54" w:name="_Toc24853"/>
      <w:r>
        <w:rPr>
          <w:rFonts w:hint="eastAsia" w:ascii="仿宋" w:hAnsi="仿宋" w:eastAsia="仿宋" w:cs="仿宋"/>
          <w:sz w:val="32"/>
          <w:szCs w:val="32"/>
          <w:lang w:val="en-US" w:eastAsia="zh-CN"/>
        </w:rPr>
        <w:t>伊旗农牧局按照要求填报了2021年绩效自评表及自评报告，但自评数据不准确，如自评表中项目验收合格率指标为100%，实际情况为2022年5月完成旗级初验、9月完成市级验收；</w:t>
      </w:r>
      <w:r>
        <w:rPr>
          <w:rFonts w:hint="eastAsia" w:ascii="仿宋" w:hAnsi="仿宋" w:eastAsia="仿宋" w:cs="仿宋"/>
          <w:sz w:val="32"/>
          <w:szCs w:val="32"/>
        </w:rPr>
        <w:t>未按照要求填报2022年绩效自评报告及自评表，绩效自评工作较差</w:t>
      </w:r>
      <w:r>
        <w:rPr>
          <w:rFonts w:hint="eastAsia" w:ascii="仿宋" w:hAnsi="仿宋" w:eastAsia="仿宋" w:cs="仿宋"/>
          <w:sz w:val="32"/>
          <w:szCs w:val="32"/>
          <w:lang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textAlignment w:val="auto"/>
        <w:outlineLvl w:val="1"/>
        <w:rPr>
          <w:rFonts w:hint="eastAsia" w:ascii="楷体" w:hAnsi="楷体" w:eastAsia="楷体" w:cs="楷体"/>
          <w:kern w:val="2"/>
          <w:sz w:val="32"/>
          <w:szCs w:val="32"/>
          <w:highlight w:val="none"/>
          <w:lang w:val="en-US" w:eastAsia="zh-CN" w:bidi="ar-SA"/>
        </w:rPr>
      </w:pPr>
      <w:r>
        <w:rPr>
          <w:rFonts w:hint="eastAsia" w:ascii="楷体" w:hAnsi="楷体" w:eastAsia="楷体" w:cs="楷体"/>
          <w:kern w:val="2"/>
          <w:sz w:val="32"/>
          <w:szCs w:val="32"/>
          <w:highlight w:val="none"/>
          <w:lang w:val="en-US" w:eastAsia="zh-CN" w:bidi="ar-SA"/>
        </w:rPr>
        <w:t>资金及管理相关问题</w:t>
      </w:r>
      <w:bookmarkEnd w:id="53"/>
      <w:bookmarkEnd w:id="54"/>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320" w:firstLineChars="100"/>
        <w:jc w:val="left"/>
        <w:textAlignment w:val="auto"/>
        <w:rPr>
          <w:rFonts w:hint="eastAsia" w:ascii="仿宋" w:hAnsi="仿宋" w:eastAsia="仿宋" w:cs="仿宋"/>
          <w:bCs/>
          <w:color w:val="auto"/>
          <w:kern w:val="2"/>
          <w:sz w:val="32"/>
          <w:szCs w:val="32"/>
          <w:highlight w:val="none"/>
          <w:lang w:val="en-US" w:eastAsia="zh-CN" w:bidi="ar-SA"/>
        </w:rPr>
      </w:pPr>
      <w:r>
        <w:rPr>
          <w:rFonts w:hint="eastAsia" w:ascii="仿宋" w:hAnsi="仿宋" w:eastAsia="仿宋" w:cs="仿宋"/>
          <w:bCs/>
          <w:color w:val="auto"/>
          <w:kern w:val="2"/>
          <w:sz w:val="32"/>
          <w:szCs w:val="32"/>
          <w:highlight w:val="none"/>
          <w:lang w:val="en-US" w:eastAsia="zh-CN" w:bidi="ar-SA"/>
        </w:rPr>
        <w:t>1.财务核算不规范、会计信息质量可靠性较差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default" w:ascii="仿宋" w:hAnsi="仿宋" w:eastAsia="仿宋" w:cs="仿宋"/>
          <w:bCs/>
          <w:color w:val="auto"/>
          <w:kern w:val="2"/>
          <w:sz w:val="32"/>
          <w:szCs w:val="32"/>
          <w:highlight w:val="none"/>
          <w:lang w:val="en-US" w:eastAsia="zh-CN" w:bidi="ar-SA"/>
        </w:rPr>
      </w:pPr>
      <w:r>
        <w:rPr>
          <w:rFonts w:hint="eastAsia" w:ascii="仿宋" w:hAnsi="仿宋" w:eastAsia="仿宋" w:cs="仿宋"/>
          <w:bCs/>
          <w:color w:val="auto"/>
          <w:kern w:val="2"/>
          <w:sz w:val="32"/>
          <w:szCs w:val="32"/>
          <w:highlight w:val="none"/>
          <w:lang w:val="en-US" w:eastAsia="zh-CN" w:bidi="ar-SA"/>
        </w:rPr>
        <w:t>伊旗农牧局在支付甘肃淼源土木工程咨询设计有限公司、河北泽田节水科技有限公司、河北润田节水设备有限公司相关服务费及工程款时，存在发票金额与报销单金额不一致、应付账款未挂账的问题、无票支付工程款等财务核算不规范的问题，会计信息质量可靠性较差导致负债不准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320" w:firstLineChars="100"/>
        <w:jc w:val="left"/>
        <w:textAlignment w:val="auto"/>
        <w:rPr>
          <w:rFonts w:hint="default" w:ascii="仿宋" w:hAnsi="仿宋" w:eastAsia="仿宋" w:cs="仿宋"/>
          <w:bCs/>
          <w:color w:val="auto"/>
          <w:kern w:val="2"/>
          <w:sz w:val="32"/>
          <w:szCs w:val="32"/>
          <w:highlight w:val="none"/>
          <w:lang w:val="en-US" w:eastAsia="zh-CN" w:bidi="ar-SA"/>
        </w:rPr>
      </w:pPr>
      <w:r>
        <w:rPr>
          <w:rFonts w:hint="eastAsia" w:ascii="仿宋" w:hAnsi="仿宋" w:eastAsia="仿宋" w:cs="仿宋"/>
          <w:bCs/>
          <w:color w:val="auto"/>
          <w:kern w:val="2"/>
          <w:sz w:val="32"/>
          <w:szCs w:val="32"/>
          <w:highlight w:val="none"/>
          <w:lang w:val="en-US" w:eastAsia="zh-CN" w:bidi="ar-SA"/>
        </w:rPr>
        <w:t>2.财务竣工决算审计报告数据不准确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2021年1万亩旱作高标准农田建设项目财务竣工审计报告中的工程竣工结算审核费计算错误，根据合同计算结果应为81,534.00元（与实际付款金额一致）；但财务决算审计报告中列算该金额为73,182.00元，导致不能如实反映项目的实际投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3.对项目形成的固定资产后续管理不到位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default" w:ascii="仿宋" w:hAnsi="仿宋" w:eastAsia="仿宋" w:cs="仿宋"/>
          <w:kern w:val="2"/>
          <w:sz w:val="32"/>
          <w:szCs w:val="32"/>
          <w:lang w:val="en-US" w:eastAsia="zh-CN" w:bidi="ar-SA"/>
        </w:rPr>
      </w:pPr>
      <w:r>
        <w:rPr>
          <w:rFonts w:hint="eastAsia" w:ascii="仿宋" w:hAnsi="仿宋" w:eastAsia="仿宋" w:cs="仿宋"/>
          <w:color w:val="auto"/>
          <w:kern w:val="2"/>
          <w:sz w:val="32"/>
          <w:szCs w:val="32"/>
          <w:highlight w:val="none"/>
          <w:lang w:val="en-US" w:eastAsia="zh-CN" w:bidi="ar-SA"/>
        </w:rPr>
        <w:t>伊旗农牧局以移交表的形式将项目实施形成的资产移交至了项目实施地村民委员会，但后续未对村委会是否将资产纳入固定资产管理进行跟踪。</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textAlignment w:val="auto"/>
        <w:outlineLvl w:val="1"/>
        <w:rPr>
          <w:rFonts w:hint="eastAsia" w:ascii="楷体" w:hAnsi="楷体" w:eastAsia="楷体" w:cs="楷体"/>
          <w:kern w:val="2"/>
          <w:sz w:val="32"/>
          <w:szCs w:val="32"/>
          <w:highlight w:val="none"/>
          <w:lang w:val="en-US" w:eastAsia="zh-CN" w:bidi="ar-SA"/>
        </w:rPr>
      </w:pPr>
      <w:bookmarkStart w:id="55" w:name="_Toc24624"/>
      <w:bookmarkStart w:id="56" w:name="_Toc9782"/>
      <w:r>
        <w:rPr>
          <w:rFonts w:hint="eastAsia" w:ascii="楷体" w:hAnsi="楷体" w:eastAsia="楷体" w:cs="楷体"/>
          <w:kern w:val="2"/>
          <w:sz w:val="32"/>
          <w:szCs w:val="32"/>
          <w:highlight w:val="none"/>
          <w:lang w:val="en-US" w:eastAsia="zh-CN" w:bidi="ar-SA"/>
        </w:rPr>
        <w:t>项目未按合同约定工期完工、预算执行率低</w:t>
      </w:r>
      <w:bookmarkEnd w:id="55"/>
      <w:bookmarkEnd w:id="56"/>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kern w:val="2"/>
          <w:sz w:val="32"/>
          <w:szCs w:val="32"/>
          <w:lang w:val="en-US" w:eastAsia="zh-CN" w:bidi="ar-SA"/>
        </w:rPr>
      </w:pPr>
      <w:r>
        <w:rPr>
          <w:rFonts w:hint="eastAsia" w:ascii="仿宋_GB2312" w:hAnsi="仿宋_GB2312" w:eastAsia="仿宋_GB2312" w:cs="仿宋_GB2312"/>
          <w:color w:val="000000"/>
          <w:kern w:val="0"/>
          <w:sz w:val="32"/>
          <w:szCs w:val="32"/>
          <w:lang w:val="en-US" w:eastAsia="zh-CN" w:bidi="ar"/>
        </w:rPr>
        <w:t>《鄂尔多斯市农牧局关于2021年伊金霍洛旗旱作高标准农田建设项目初步设计的批复》要求：</w:t>
      </w:r>
      <w:r>
        <w:rPr>
          <w:rFonts w:ascii="仿宋_GB2312" w:hAnsi="仿宋_GB2312" w:eastAsia="仿宋_GB2312" w:cs="仿宋_GB2312"/>
          <w:color w:val="000000"/>
          <w:kern w:val="0"/>
          <w:sz w:val="32"/>
          <w:szCs w:val="32"/>
          <w:lang w:val="en-US" w:eastAsia="zh-CN" w:bidi="ar"/>
        </w:rPr>
        <w:t>工程建设应于2021年11月底前完成全部建设任务</w:t>
      </w:r>
      <w:r>
        <w:rPr>
          <w:rFonts w:hint="eastAsia" w:ascii="仿宋_GB2312" w:hAnsi="仿宋_GB2312" w:eastAsia="仿宋_GB2312" w:cs="仿宋_GB2312"/>
          <w:color w:val="000000"/>
          <w:kern w:val="0"/>
          <w:sz w:val="32"/>
          <w:szCs w:val="32"/>
          <w:lang w:val="en-US" w:eastAsia="zh-CN" w:bidi="ar"/>
        </w:rPr>
        <w:t>；</w:t>
      </w:r>
      <w:r>
        <w:rPr>
          <w:rFonts w:hint="eastAsia" w:ascii="仿宋" w:hAnsi="仿宋" w:eastAsia="仿宋" w:cs="仿宋"/>
          <w:kern w:val="2"/>
          <w:sz w:val="32"/>
          <w:szCs w:val="32"/>
          <w:lang w:val="en-US" w:eastAsia="zh-CN" w:bidi="ar-SA"/>
        </w:rPr>
        <w:t>项目施工合同也约定，2021年建设项目应于2021年11月底前完成，旗级初验报告中实际建设完成期限为2022年4月底，项目实际完成时间滞后于批复要求及合同约定。本项目2021年预算执行率仅为43.02%。</w:t>
      </w:r>
    </w:p>
    <w:p>
      <w:pPr>
        <w:numPr>
          <w:ilvl w:val="0"/>
          <w:numId w:val="0"/>
        </w:numPr>
        <w:spacing w:line="360" w:lineRule="auto"/>
        <w:ind w:firstLine="640" w:firstLineChars="200"/>
        <w:outlineLvl w:val="0"/>
        <w:rPr>
          <w:rFonts w:hint="eastAsia" w:ascii="黑体" w:hAnsi="黑体" w:eastAsia="黑体"/>
          <w:sz w:val="32"/>
          <w:szCs w:val="32"/>
          <w:highlight w:val="none"/>
        </w:rPr>
      </w:pPr>
      <w:bookmarkStart w:id="57" w:name="_Toc13047"/>
      <w:bookmarkStart w:id="58" w:name="_Toc14579"/>
      <w:bookmarkStart w:id="59" w:name="_Toc4776"/>
      <w:bookmarkStart w:id="60" w:name="_Toc23840"/>
      <w:bookmarkStart w:id="61" w:name="_Toc21942"/>
      <w:bookmarkStart w:id="62" w:name="_Toc20496"/>
      <w:bookmarkStart w:id="63" w:name="_Toc22919"/>
      <w:bookmarkStart w:id="64" w:name="_Toc21250"/>
      <w:bookmarkStart w:id="65" w:name="_Toc15381"/>
      <w:bookmarkStart w:id="66" w:name="_Toc16755"/>
      <w:r>
        <w:rPr>
          <w:rFonts w:hint="eastAsia" w:ascii="黑体" w:hAnsi="黑体" w:eastAsia="黑体"/>
          <w:sz w:val="32"/>
          <w:szCs w:val="32"/>
          <w:highlight w:val="none"/>
          <w:lang w:val="en-US" w:eastAsia="zh-CN"/>
        </w:rPr>
        <w:t>四、</w:t>
      </w:r>
      <w:r>
        <w:rPr>
          <w:rFonts w:hint="eastAsia" w:ascii="黑体" w:hAnsi="黑体" w:eastAsia="黑体"/>
          <w:sz w:val="32"/>
          <w:szCs w:val="32"/>
          <w:highlight w:val="none"/>
        </w:rPr>
        <w:t>有关建议</w:t>
      </w:r>
      <w:bookmarkEnd w:id="57"/>
      <w:bookmarkEnd w:id="58"/>
      <w:bookmarkEnd w:id="59"/>
      <w:bookmarkEnd w:id="60"/>
      <w:bookmarkEnd w:id="61"/>
      <w:bookmarkEnd w:id="62"/>
      <w:bookmarkEnd w:id="63"/>
      <w:bookmarkEnd w:id="64"/>
      <w:bookmarkEnd w:id="65"/>
      <w:bookmarkEnd w:id="66"/>
    </w:p>
    <w:p>
      <w:pPr>
        <w:pStyle w:val="4"/>
        <w:keepNext w:val="0"/>
        <w:keepLines w:val="0"/>
        <w:pageBreakBefore w:val="0"/>
        <w:widowControl w:val="0"/>
        <w:numPr>
          <w:ilvl w:val="0"/>
          <w:numId w:val="2"/>
        </w:numPr>
        <w:kinsoku/>
        <w:wordWrap/>
        <w:overflowPunct/>
        <w:topLinePunct w:val="0"/>
        <w:autoSpaceDE/>
        <w:autoSpaceDN/>
        <w:bidi w:val="0"/>
        <w:adjustRightInd w:val="0"/>
        <w:snapToGrid w:val="0"/>
        <w:spacing w:after="0" w:line="360" w:lineRule="auto"/>
        <w:ind w:left="0" w:leftChars="0" w:firstLine="640" w:firstLineChars="200"/>
        <w:textAlignment w:val="auto"/>
        <w:outlineLvl w:val="1"/>
        <w:rPr>
          <w:rFonts w:hint="default" w:ascii="楷体" w:hAnsi="楷体" w:eastAsia="楷体" w:cs="楷体"/>
          <w:kern w:val="2"/>
          <w:sz w:val="32"/>
          <w:szCs w:val="32"/>
          <w:highlight w:val="none"/>
          <w:lang w:val="en-US" w:eastAsia="zh-CN" w:bidi="ar-SA"/>
        </w:rPr>
      </w:pPr>
      <w:bookmarkStart w:id="67" w:name="_Toc20517"/>
      <w:bookmarkStart w:id="68" w:name="_Toc31109"/>
      <w:bookmarkStart w:id="69" w:name="_Toc25159"/>
      <w:bookmarkStart w:id="70" w:name="_Toc7910"/>
      <w:r>
        <w:rPr>
          <w:rFonts w:hint="eastAsia" w:ascii="楷体" w:hAnsi="楷体" w:eastAsia="楷体" w:cs="楷体"/>
          <w:kern w:val="2"/>
          <w:sz w:val="32"/>
          <w:szCs w:val="32"/>
          <w:highlight w:val="none"/>
          <w:lang w:val="en-US" w:eastAsia="zh-CN" w:bidi="ar-SA"/>
        </w:rPr>
        <w:t>加强预算绩效管理工作</w:t>
      </w:r>
      <w:bookmarkEnd w:id="67"/>
      <w:bookmarkEnd w:id="68"/>
      <w:bookmarkEnd w:id="69"/>
      <w:bookmarkEnd w:id="70"/>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640" w:firstLineChars="200"/>
        <w:textAlignment w:val="auto"/>
        <w:rPr>
          <w:rFonts w:hint="eastAsia" w:ascii="仿宋" w:hAnsi="仿宋" w:eastAsia="仿宋" w:cs="仿宋"/>
          <w:bCs/>
          <w:color w:val="auto"/>
          <w:kern w:val="2"/>
          <w:sz w:val="32"/>
          <w:szCs w:val="32"/>
          <w:highlight w:val="none"/>
          <w:lang w:val="en-US" w:eastAsia="zh-CN" w:bidi="ar-SA"/>
        </w:rPr>
      </w:pPr>
      <w:r>
        <w:rPr>
          <w:rFonts w:hint="eastAsia" w:ascii="仿宋_GB2312" w:hAnsi="仿宋_GB2312" w:eastAsia="仿宋_GB2312" w:cs="仿宋_GB2312"/>
          <w:b w:val="0"/>
          <w:bCs w:val="0"/>
          <w:sz w:val="32"/>
          <w:szCs w:val="32"/>
          <w:lang w:val="en-US" w:eastAsia="zh-CN"/>
        </w:rPr>
        <w:t>提高对预算绩效管理工作的重视程度，进一步完善本单位的内部绩效管理体系，</w:t>
      </w:r>
      <w:r>
        <w:rPr>
          <w:rFonts w:hint="eastAsia" w:ascii="仿宋" w:hAnsi="仿宋" w:eastAsia="仿宋" w:cs="仿宋"/>
          <w:bCs/>
          <w:color w:val="auto"/>
          <w:kern w:val="2"/>
          <w:sz w:val="32"/>
          <w:szCs w:val="32"/>
          <w:highlight w:val="none"/>
          <w:lang w:val="en-US" w:eastAsia="zh-CN" w:bidi="ar-SA"/>
        </w:rPr>
        <w:t>构建事前事中事后绩效管理闭环系统，按照“事前有目标、过程有监控、事后有评价”的全过程绩效管理体系要求进行绩效管理</w:t>
      </w:r>
      <w:r>
        <w:rPr>
          <w:rFonts w:hint="eastAsia" w:ascii="仿宋" w:hAnsi="仿宋" w:eastAsia="仿宋" w:cs="仿宋"/>
          <w:b w:val="0"/>
          <w:bCs/>
          <w:color w:val="auto"/>
          <w:kern w:val="2"/>
          <w:sz w:val="32"/>
          <w:szCs w:val="32"/>
          <w:highlight w:val="none"/>
          <w:lang w:val="en-US" w:eastAsia="zh-CN" w:bidi="ar-SA"/>
        </w:rPr>
        <w:t>。</w:t>
      </w:r>
      <w:r>
        <w:rPr>
          <w:rFonts w:hint="eastAsia" w:ascii="仿宋" w:hAnsi="仿宋" w:eastAsia="仿宋" w:cs="仿宋"/>
          <w:b w:val="0"/>
          <w:bCs/>
          <w:i w:val="0"/>
          <w:iCs w:val="0"/>
          <w:color w:val="auto"/>
          <w:kern w:val="2"/>
          <w:sz w:val="32"/>
          <w:szCs w:val="32"/>
          <w:highlight w:val="none"/>
          <w:lang w:val="en-US" w:eastAsia="zh-CN" w:bidi="ar-SA"/>
        </w:rPr>
        <w:t>要</w:t>
      </w:r>
      <w:r>
        <w:rPr>
          <w:rFonts w:hint="eastAsia" w:ascii="仿宋" w:hAnsi="仿宋" w:eastAsia="仿宋" w:cs="仿宋"/>
          <w:b w:val="0"/>
          <w:bCs/>
          <w:color w:val="auto"/>
          <w:kern w:val="2"/>
          <w:sz w:val="32"/>
          <w:szCs w:val="32"/>
          <w:highlight w:val="none"/>
          <w:lang w:val="en-US" w:eastAsia="zh-CN" w:bidi="ar-SA"/>
        </w:rPr>
        <w:t>强</w:t>
      </w:r>
      <w:r>
        <w:rPr>
          <w:rFonts w:hint="eastAsia" w:ascii="仿宋" w:hAnsi="仿宋" w:eastAsia="仿宋" w:cs="仿宋"/>
          <w:bCs/>
          <w:color w:val="auto"/>
          <w:kern w:val="2"/>
          <w:sz w:val="32"/>
          <w:szCs w:val="32"/>
          <w:highlight w:val="none"/>
          <w:lang w:val="en-US" w:eastAsia="zh-CN" w:bidi="ar-SA"/>
        </w:rPr>
        <w:t>化绩效目标管理，合理设置绩效指标；做好绩效运行监控，对发现的偏差要分析原因并及时纠正，确保绩效目标如期保质保量实现；开展绩效自评工作，如实反映绩效目标实现结果。</w:t>
      </w:r>
    </w:p>
    <w:p>
      <w:pPr>
        <w:pStyle w:val="5"/>
        <w:ind w:left="0" w:leftChars="0" w:firstLine="640" w:firstLineChars="0"/>
        <w:outlineLvl w:val="1"/>
        <w:rPr>
          <w:rFonts w:hint="default" w:ascii="楷体" w:hAnsi="楷体" w:eastAsia="楷体" w:cs="楷体"/>
          <w:kern w:val="2"/>
          <w:sz w:val="32"/>
          <w:szCs w:val="32"/>
          <w:highlight w:val="none"/>
          <w:lang w:val="en-US" w:eastAsia="zh-CN" w:bidi="ar-SA"/>
        </w:rPr>
      </w:pPr>
      <w:bookmarkStart w:id="71" w:name="_Toc24899"/>
      <w:bookmarkStart w:id="72" w:name="_Toc661"/>
      <w:r>
        <w:rPr>
          <w:rFonts w:hint="eastAsia" w:ascii="楷体" w:hAnsi="楷体" w:eastAsia="楷体" w:cs="楷体"/>
          <w:kern w:val="2"/>
          <w:sz w:val="32"/>
          <w:szCs w:val="32"/>
          <w:highlight w:val="none"/>
          <w:lang w:val="en-US" w:eastAsia="zh-CN" w:bidi="ar-SA"/>
        </w:rPr>
        <w:t>（二）规范财务及固定资产管理</w:t>
      </w:r>
      <w:bookmarkEnd w:id="71"/>
      <w:bookmarkEnd w:id="72"/>
    </w:p>
    <w:p>
      <w:pPr>
        <w:ind w:firstLine="530"/>
        <w:rPr>
          <w:rFonts w:hint="default"/>
          <w:b w:val="0"/>
          <w:bCs/>
          <w:lang w:val="en-US" w:eastAsia="zh-CN"/>
        </w:rPr>
      </w:pPr>
      <w:r>
        <w:rPr>
          <w:rFonts w:hint="eastAsia" w:ascii="仿宋" w:hAnsi="仿宋" w:eastAsia="仿宋" w:cs="仿宋"/>
          <w:b w:val="0"/>
          <w:bCs/>
          <w:color w:val="auto"/>
          <w:kern w:val="2"/>
          <w:sz w:val="32"/>
          <w:szCs w:val="32"/>
          <w:highlight w:val="none"/>
          <w:lang w:val="en-US" w:eastAsia="zh-CN" w:bidi="ar-SA"/>
        </w:rPr>
        <w:t>一是财务人员应加强对原始凭证金额的正确性和手续的完备性等审核；二是财务会计严格按照权责发生制的要求核算，确保财务信息的可靠性；三是加强对项目实施所形成固定资产的后续跟踪管理。</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1"/>
        <w:rPr>
          <w:rFonts w:hint="default"/>
          <w:lang w:val="en-US" w:eastAsia="zh-CN"/>
        </w:rPr>
      </w:pPr>
      <w:bookmarkStart w:id="73" w:name="_Toc26453"/>
      <w:bookmarkStart w:id="74" w:name="_Toc12856"/>
      <w:r>
        <w:rPr>
          <w:rFonts w:hint="eastAsia" w:ascii="楷体" w:hAnsi="楷体" w:eastAsia="楷体" w:cs="楷体"/>
          <w:kern w:val="2"/>
          <w:sz w:val="32"/>
          <w:szCs w:val="32"/>
          <w:highlight w:val="none"/>
          <w:lang w:val="en-US" w:eastAsia="zh-CN" w:bidi="ar-SA"/>
        </w:rPr>
        <w:t>（三）加快项目实施进度、提高预算执行率</w:t>
      </w:r>
      <w:bookmarkEnd w:id="73"/>
      <w:bookmarkEnd w:id="74"/>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default"/>
          <w:sz w:val="32"/>
          <w:szCs w:val="32"/>
          <w:lang w:val="en-US" w:eastAsia="zh-CN"/>
        </w:rPr>
      </w:pPr>
      <w:r>
        <w:rPr>
          <w:rFonts w:hint="eastAsia" w:ascii="仿宋" w:hAnsi="仿宋" w:eastAsia="仿宋" w:cs="仿宋"/>
          <w:bCs/>
          <w:kern w:val="2"/>
          <w:sz w:val="32"/>
          <w:szCs w:val="32"/>
          <w:highlight w:val="none"/>
          <w:lang w:val="en-US" w:eastAsia="zh-CN" w:bidi="ar-SA"/>
        </w:rPr>
        <w:t>项目法人单位要做好工程建设管理、确保工程有序进行，能够按合同约定及建设要求进度完工，及时根据项目进度支付相关价款，提高预算执行率。</w:t>
      </w:r>
    </w:p>
    <w:p>
      <w:pPr>
        <w:pStyle w:val="2"/>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2"/>
        <w:ind w:left="0" w:leftChars="0" w:firstLine="0" w:firstLineChars="0"/>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2"/>
        <w:rPr>
          <w:rFonts w:hint="eastAsia" w:ascii="仿宋" w:hAnsi="仿宋" w:eastAsia="仿宋" w:cs="仿宋"/>
          <w:b/>
          <w:sz w:val="32"/>
          <w:szCs w:val="32"/>
        </w:rPr>
      </w:pPr>
    </w:p>
    <w:p>
      <w:pPr>
        <w:pStyle w:val="2"/>
        <w:ind w:left="0" w:leftChars="0" w:firstLine="0" w:firstLineChars="0"/>
        <w:rPr>
          <w:rFonts w:hint="default" w:ascii="仿宋" w:hAnsi="仿宋" w:eastAsia="仿宋" w:cs="仿宋"/>
          <w:b/>
          <w:sz w:val="32"/>
          <w:szCs w:val="32"/>
          <w:lang w:val="en-US" w:eastAsia="zh-CN"/>
        </w:rPr>
      </w:pPr>
    </w:p>
    <w:sectPr>
      <w:footerReference r:id="rId3" w:type="default"/>
      <w:pgSz w:w="11906" w:h="16838"/>
      <w:pgMar w:top="1247" w:right="1052" w:bottom="1418" w:left="181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13D6D6-0F38-4B63-9304-0098272FDB9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embedRegular r:id="rId2" w:fontKey="{28D2FB83-C4DB-4741-A4EA-9E783282A95D}"/>
  </w:font>
  <w:font w:name="仿宋">
    <w:panose1 w:val="02010609060101010101"/>
    <w:charset w:val="86"/>
    <w:family w:val="auto"/>
    <w:pitch w:val="default"/>
    <w:sig w:usb0="800002BF" w:usb1="38CF7CFA" w:usb2="00000016" w:usb3="00000000" w:csb0="00040001" w:csb1="00000000"/>
    <w:embedRegular r:id="rId3" w:fontKey="{118A1EB2-30A8-40B9-9124-AA89BE13B75D}"/>
  </w:font>
  <w:font w:name="楷体">
    <w:panose1 w:val="02010609060101010101"/>
    <w:charset w:val="86"/>
    <w:family w:val="auto"/>
    <w:pitch w:val="default"/>
    <w:sig w:usb0="800002BF" w:usb1="38CF7CFA" w:usb2="00000016" w:usb3="00000000" w:csb0="00040001" w:csb1="00000000"/>
    <w:embedRegular r:id="rId4" w:fontKey="{831407E0-3958-4808-BAFD-38106B3BCD77}"/>
  </w:font>
  <w:font w:name="仿宋_GB2312">
    <w:panose1 w:val="02010609030101010101"/>
    <w:charset w:val="86"/>
    <w:family w:val="modern"/>
    <w:pitch w:val="default"/>
    <w:sig w:usb0="00000001" w:usb1="080E0000" w:usb2="00000000" w:usb3="00000000" w:csb0="00040000" w:csb1="00000000"/>
    <w:embedRegular r:id="rId5" w:fontKey="{F2098905-EDDD-4273-B1A9-032080EEDE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wZXdvmAQAAyAMAAA4AAABkcnMvZTJvRG9jLnhtbK1TzY7TMBC+&#10;I/EOlu802Yq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BcGV3b5gEA&#10;AMgDAAAOAAAAAAAAAAEAIAAAACIBAABkcnMvZTJvRG9jLnhtbFBLBQYAAAAABgAGAFkBAAB6BQAA&#10;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CD80CB"/>
    <w:multiLevelType w:val="singleLevel"/>
    <w:tmpl w:val="DDCD80CB"/>
    <w:lvl w:ilvl="0" w:tentative="0">
      <w:start w:val="1"/>
      <w:numFmt w:val="chineseCounting"/>
      <w:suff w:val="nothing"/>
      <w:lvlText w:val="（%1）"/>
      <w:lvlJc w:val="left"/>
      <w:pPr>
        <w:ind w:left="0" w:firstLine="420"/>
      </w:pPr>
      <w:rPr>
        <w:rFonts w:hint="eastAsia"/>
      </w:rPr>
    </w:lvl>
  </w:abstractNum>
  <w:abstractNum w:abstractNumId="1">
    <w:nsid w:val="FC680677"/>
    <w:multiLevelType w:val="singleLevel"/>
    <w:tmpl w:val="FC68067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ZTdjZDgyMWJmMjRlNTU5OGMxYjdmNjdmZmRlMWMifQ=="/>
  </w:docVars>
  <w:rsids>
    <w:rsidRoot w:val="00172A27"/>
    <w:rsid w:val="00001512"/>
    <w:rsid w:val="000110A0"/>
    <w:rsid w:val="000254F7"/>
    <w:rsid w:val="000547DE"/>
    <w:rsid w:val="00061426"/>
    <w:rsid w:val="000819F0"/>
    <w:rsid w:val="000C71D2"/>
    <w:rsid w:val="000D3368"/>
    <w:rsid w:val="000E55E1"/>
    <w:rsid w:val="000F34DC"/>
    <w:rsid w:val="001132E2"/>
    <w:rsid w:val="00113614"/>
    <w:rsid w:val="00130AAE"/>
    <w:rsid w:val="00140FDA"/>
    <w:rsid w:val="00162890"/>
    <w:rsid w:val="001669D4"/>
    <w:rsid w:val="00174A4E"/>
    <w:rsid w:val="00195906"/>
    <w:rsid w:val="001B4838"/>
    <w:rsid w:val="001C1110"/>
    <w:rsid w:val="001D6C32"/>
    <w:rsid w:val="002162F9"/>
    <w:rsid w:val="00235DA9"/>
    <w:rsid w:val="002454E6"/>
    <w:rsid w:val="00250B3A"/>
    <w:rsid w:val="002609AE"/>
    <w:rsid w:val="00284EA3"/>
    <w:rsid w:val="002A196B"/>
    <w:rsid w:val="002A5309"/>
    <w:rsid w:val="002F0E81"/>
    <w:rsid w:val="002F1B6F"/>
    <w:rsid w:val="003158E3"/>
    <w:rsid w:val="003165AC"/>
    <w:rsid w:val="00333EAF"/>
    <w:rsid w:val="00362B32"/>
    <w:rsid w:val="00370F16"/>
    <w:rsid w:val="00382F96"/>
    <w:rsid w:val="00393A7C"/>
    <w:rsid w:val="00394B17"/>
    <w:rsid w:val="003C4318"/>
    <w:rsid w:val="003F0095"/>
    <w:rsid w:val="00440F04"/>
    <w:rsid w:val="00456A6F"/>
    <w:rsid w:val="00460AE6"/>
    <w:rsid w:val="00461612"/>
    <w:rsid w:val="00477A2C"/>
    <w:rsid w:val="004828F8"/>
    <w:rsid w:val="004A054D"/>
    <w:rsid w:val="004A3796"/>
    <w:rsid w:val="004A537F"/>
    <w:rsid w:val="004B45CF"/>
    <w:rsid w:val="004B7840"/>
    <w:rsid w:val="004D3617"/>
    <w:rsid w:val="004D5697"/>
    <w:rsid w:val="004E591B"/>
    <w:rsid w:val="004E7A0B"/>
    <w:rsid w:val="004F2047"/>
    <w:rsid w:val="00515216"/>
    <w:rsid w:val="00517484"/>
    <w:rsid w:val="00537549"/>
    <w:rsid w:val="00546EBA"/>
    <w:rsid w:val="005508EA"/>
    <w:rsid w:val="005526E1"/>
    <w:rsid w:val="005548E9"/>
    <w:rsid w:val="005600DB"/>
    <w:rsid w:val="0056497F"/>
    <w:rsid w:val="00573FE6"/>
    <w:rsid w:val="005804B3"/>
    <w:rsid w:val="005913BC"/>
    <w:rsid w:val="005A3E67"/>
    <w:rsid w:val="005B0A46"/>
    <w:rsid w:val="005C23B3"/>
    <w:rsid w:val="005D7358"/>
    <w:rsid w:val="005F04D7"/>
    <w:rsid w:val="005F4E93"/>
    <w:rsid w:val="006313EE"/>
    <w:rsid w:val="00633D60"/>
    <w:rsid w:val="0067306F"/>
    <w:rsid w:val="006766F4"/>
    <w:rsid w:val="00682D34"/>
    <w:rsid w:val="00684A68"/>
    <w:rsid w:val="00696DC3"/>
    <w:rsid w:val="006B1B2E"/>
    <w:rsid w:val="006B22B1"/>
    <w:rsid w:val="006D00E3"/>
    <w:rsid w:val="006D1F11"/>
    <w:rsid w:val="006D3BF2"/>
    <w:rsid w:val="007159ED"/>
    <w:rsid w:val="00735223"/>
    <w:rsid w:val="0075722D"/>
    <w:rsid w:val="00767D88"/>
    <w:rsid w:val="007748D3"/>
    <w:rsid w:val="007B1389"/>
    <w:rsid w:val="007C2F23"/>
    <w:rsid w:val="007D2A2B"/>
    <w:rsid w:val="007D5AC4"/>
    <w:rsid w:val="007F0A1D"/>
    <w:rsid w:val="00802040"/>
    <w:rsid w:val="00825ADA"/>
    <w:rsid w:val="00827ABA"/>
    <w:rsid w:val="00845A75"/>
    <w:rsid w:val="008B7C80"/>
    <w:rsid w:val="008C0B87"/>
    <w:rsid w:val="008C6785"/>
    <w:rsid w:val="008D36AF"/>
    <w:rsid w:val="00904084"/>
    <w:rsid w:val="00922C25"/>
    <w:rsid w:val="00955611"/>
    <w:rsid w:val="00970600"/>
    <w:rsid w:val="009C3972"/>
    <w:rsid w:val="009E6B78"/>
    <w:rsid w:val="009F0B0E"/>
    <w:rsid w:val="00A058FF"/>
    <w:rsid w:val="00A34D34"/>
    <w:rsid w:val="00A3786B"/>
    <w:rsid w:val="00A41A9E"/>
    <w:rsid w:val="00A968A8"/>
    <w:rsid w:val="00AA1C46"/>
    <w:rsid w:val="00AA754C"/>
    <w:rsid w:val="00AA7F40"/>
    <w:rsid w:val="00AC2139"/>
    <w:rsid w:val="00AE24DD"/>
    <w:rsid w:val="00AE2EDF"/>
    <w:rsid w:val="00B1713E"/>
    <w:rsid w:val="00B21DC7"/>
    <w:rsid w:val="00B40AA6"/>
    <w:rsid w:val="00B53AC3"/>
    <w:rsid w:val="00B8510B"/>
    <w:rsid w:val="00B90497"/>
    <w:rsid w:val="00B92B09"/>
    <w:rsid w:val="00B95AEE"/>
    <w:rsid w:val="00BA4DA1"/>
    <w:rsid w:val="00C34DAD"/>
    <w:rsid w:val="00C61835"/>
    <w:rsid w:val="00C71429"/>
    <w:rsid w:val="00C8190A"/>
    <w:rsid w:val="00C83F56"/>
    <w:rsid w:val="00C950BA"/>
    <w:rsid w:val="00C9546D"/>
    <w:rsid w:val="00CA60DF"/>
    <w:rsid w:val="00CC274B"/>
    <w:rsid w:val="00D20706"/>
    <w:rsid w:val="00D248B0"/>
    <w:rsid w:val="00D3157C"/>
    <w:rsid w:val="00D37E30"/>
    <w:rsid w:val="00D70042"/>
    <w:rsid w:val="00D8419B"/>
    <w:rsid w:val="00D95E6F"/>
    <w:rsid w:val="00DB733F"/>
    <w:rsid w:val="00DD7C57"/>
    <w:rsid w:val="00DE6CB5"/>
    <w:rsid w:val="00E01363"/>
    <w:rsid w:val="00E14E9C"/>
    <w:rsid w:val="00E45F41"/>
    <w:rsid w:val="00E544AC"/>
    <w:rsid w:val="00E54763"/>
    <w:rsid w:val="00E60C36"/>
    <w:rsid w:val="00E66BCA"/>
    <w:rsid w:val="00E74664"/>
    <w:rsid w:val="00E87307"/>
    <w:rsid w:val="00E9093E"/>
    <w:rsid w:val="00EA1716"/>
    <w:rsid w:val="00EB4530"/>
    <w:rsid w:val="00EE268E"/>
    <w:rsid w:val="00EF0789"/>
    <w:rsid w:val="00EF7950"/>
    <w:rsid w:val="00F0309B"/>
    <w:rsid w:val="00F03D25"/>
    <w:rsid w:val="00F07F70"/>
    <w:rsid w:val="00F22E22"/>
    <w:rsid w:val="00F2780D"/>
    <w:rsid w:val="00F44094"/>
    <w:rsid w:val="00F652A0"/>
    <w:rsid w:val="00F70752"/>
    <w:rsid w:val="00F765BB"/>
    <w:rsid w:val="00F8632E"/>
    <w:rsid w:val="00FB0C08"/>
    <w:rsid w:val="013E647C"/>
    <w:rsid w:val="015A7F84"/>
    <w:rsid w:val="01814321"/>
    <w:rsid w:val="019E4ED3"/>
    <w:rsid w:val="01C56903"/>
    <w:rsid w:val="02114003"/>
    <w:rsid w:val="027F04E4"/>
    <w:rsid w:val="028D7421"/>
    <w:rsid w:val="044E03A3"/>
    <w:rsid w:val="04635D75"/>
    <w:rsid w:val="04B0389B"/>
    <w:rsid w:val="04F75026"/>
    <w:rsid w:val="052D0A47"/>
    <w:rsid w:val="05474818"/>
    <w:rsid w:val="05772998"/>
    <w:rsid w:val="058014BF"/>
    <w:rsid w:val="05A351AD"/>
    <w:rsid w:val="05B56BD0"/>
    <w:rsid w:val="05EF3F4F"/>
    <w:rsid w:val="062F576D"/>
    <w:rsid w:val="06316315"/>
    <w:rsid w:val="06361B7E"/>
    <w:rsid w:val="064405B9"/>
    <w:rsid w:val="065A3ABE"/>
    <w:rsid w:val="06B84C89"/>
    <w:rsid w:val="06DD649D"/>
    <w:rsid w:val="06F34E25"/>
    <w:rsid w:val="07866B35"/>
    <w:rsid w:val="07AB6626"/>
    <w:rsid w:val="07B22115"/>
    <w:rsid w:val="07BB67DE"/>
    <w:rsid w:val="07F514DF"/>
    <w:rsid w:val="081E5074"/>
    <w:rsid w:val="082B53A5"/>
    <w:rsid w:val="083F64E1"/>
    <w:rsid w:val="08404F36"/>
    <w:rsid w:val="08407581"/>
    <w:rsid w:val="08560E9C"/>
    <w:rsid w:val="087B5F6E"/>
    <w:rsid w:val="08952097"/>
    <w:rsid w:val="089645E3"/>
    <w:rsid w:val="08AB527D"/>
    <w:rsid w:val="08DB2FD9"/>
    <w:rsid w:val="08E3350B"/>
    <w:rsid w:val="08E615DA"/>
    <w:rsid w:val="08E81855"/>
    <w:rsid w:val="09552E52"/>
    <w:rsid w:val="09866978"/>
    <w:rsid w:val="09A17C56"/>
    <w:rsid w:val="09DF42DA"/>
    <w:rsid w:val="09F53F72"/>
    <w:rsid w:val="0A8E1F88"/>
    <w:rsid w:val="0ADA08D3"/>
    <w:rsid w:val="0ADD081A"/>
    <w:rsid w:val="0AF67B2D"/>
    <w:rsid w:val="0B100BEF"/>
    <w:rsid w:val="0B187151"/>
    <w:rsid w:val="0B210C41"/>
    <w:rsid w:val="0B41063E"/>
    <w:rsid w:val="0B41524D"/>
    <w:rsid w:val="0B4B60CB"/>
    <w:rsid w:val="0B6251C3"/>
    <w:rsid w:val="0B942573"/>
    <w:rsid w:val="0B9B5081"/>
    <w:rsid w:val="0BAE4B67"/>
    <w:rsid w:val="0BBC0D77"/>
    <w:rsid w:val="0BFF32CF"/>
    <w:rsid w:val="0C2B3807"/>
    <w:rsid w:val="0C344D4F"/>
    <w:rsid w:val="0C4228E1"/>
    <w:rsid w:val="0C6C454B"/>
    <w:rsid w:val="0C817A73"/>
    <w:rsid w:val="0C97139D"/>
    <w:rsid w:val="0CE20369"/>
    <w:rsid w:val="0D026C5D"/>
    <w:rsid w:val="0D046532"/>
    <w:rsid w:val="0D2B0E86"/>
    <w:rsid w:val="0D357C00"/>
    <w:rsid w:val="0D674D12"/>
    <w:rsid w:val="0D786D52"/>
    <w:rsid w:val="0DD24471"/>
    <w:rsid w:val="0E1B0866"/>
    <w:rsid w:val="0E370B89"/>
    <w:rsid w:val="0E3A49AA"/>
    <w:rsid w:val="0E796AAB"/>
    <w:rsid w:val="0ED32660"/>
    <w:rsid w:val="0ED818B2"/>
    <w:rsid w:val="0EF12021"/>
    <w:rsid w:val="0F144BE2"/>
    <w:rsid w:val="0F167A81"/>
    <w:rsid w:val="0F1D18B8"/>
    <w:rsid w:val="0F4E32CD"/>
    <w:rsid w:val="0F4F0726"/>
    <w:rsid w:val="0F7E44A1"/>
    <w:rsid w:val="0F973BF1"/>
    <w:rsid w:val="0F9A13CF"/>
    <w:rsid w:val="0FA77648"/>
    <w:rsid w:val="0FAC2EB1"/>
    <w:rsid w:val="0FDE750E"/>
    <w:rsid w:val="0FF02C80"/>
    <w:rsid w:val="0FF3288D"/>
    <w:rsid w:val="0FF572E9"/>
    <w:rsid w:val="100938CA"/>
    <w:rsid w:val="100E1475"/>
    <w:rsid w:val="102D459C"/>
    <w:rsid w:val="10393A3D"/>
    <w:rsid w:val="10F93ED3"/>
    <w:rsid w:val="11001706"/>
    <w:rsid w:val="1111746F"/>
    <w:rsid w:val="116003F7"/>
    <w:rsid w:val="11731ED8"/>
    <w:rsid w:val="11895257"/>
    <w:rsid w:val="11B524F0"/>
    <w:rsid w:val="11C010F6"/>
    <w:rsid w:val="11C57F01"/>
    <w:rsid w:val="11E46932"/>
    <w:rsid w:val="11FD389F"/>
    <w:rsid w:val="11FD650A"/>
    <w:rsid w:val="12374CB3"/>
    <w:rsid w:val="124038B5"/>
    <w:rsid w:val="12434CF6"/>
    <w:rsid w:val="124949E7"/>
    <w:rsid w:val="124B5DDB"/>
    <w:rsid w:val="12597320"/>
    <w:rsid w:val="125C296C"/>
    <w:rsid w:val="12A04F4F"/>
    <w:rsid w:val="12D44BF8"/>
    <w:rsid w:val="130733F2"/>
    <w:rsid w:val="13207E3D"/>
    <w:rsid w:val="138A3509"/>
    <w:rsid w:val="138B678C"/>
    <w:rsid w:val="13A520F1"/>
    <w:rsid w:val="13B931DB"/>
    <w:rsid w:val="13F13588"/>
    <w:rsid w:val="140908D1"/>
    <w:rsid w:val="146855F8"/>
    <w:rsid w:val="146A5814"/>
    <w:rsid w:val="14A168E7"/>
    <w:rsid w:val="14C73292"/>
    <w:rsid w:val="14FC0436"/>
    <w:rsid w:val="14FC3433"/>
    <w:rsid w:val="15160EC5"/>
    <w:rsid w:val="15335AFD"/>
    <w:rsid w:val="157D5343"/>
    <w:rsid w:val="15883A78"/>
    <w:rsid w:val="15DF5D8E"/>
    <w:rsid w:val="162D0289"/>
    <w:rsid w:val="16361A33"/>
    <w:rsid w:val="164B3423"/>
    <w:rsid w:val="169F72CB"/>
    <w:rsid w:val="16AD3796"/>
    <w:rsid w:val="16B22BC5"/>
    <w:rsid w:val="16BC7D81"/>
    <w:rsid w:val="16C15CF6"/>
    <w:rsid w:val="16CB6312"/>
    <w:rsid w:val="1700420E"/>
    <w:rsid w:val="172D4BCE"/>
    <w:rsid w:val="1763479D"/>
    <w:rsid w:val="1784744F"/>
    <w:rsid w:val="17A80401"/>
    <w:rsid w:val="17BB0135"/>
    <w:rsid w:val="17C37D1A"/>
    <w:rsid w:val="17E301CC"/>
    <w:rsid w:val="18275669"/>
    <w:rsid w:val="185972A0"/>
    <w:rsid w:val="185E4B62"/>
    <w:rsid w:val="1875547F"/>
    <w:rsid w:val="18897EA7"/>
    <w:rsid w:val="18BF6AD9"/>
    <w:rsid w:val="18D019BE"/>
    <w:rsid w:val="18F810A4"/>
    <w:rsid w:val="19425DE4"/>
    <w:rsid w:val="195B7FEF"/>
    <w:rsid w:val="198A4263"/>
    <w:rsid w:val="19C8688A"/>
    <w:rsid w:val="1A1618C3"/>
    <w:rsid w:val="1A4A0408"/>
    <w:rsid w:val="1AB1581F"/>
    <w:rsid w:val="1ABA0B77"/>
    <w:rsid w:val="1B0E67CD"/>
    <w:rsid w:val="1B2D1349"/>
    <w:rsid w:val="1B397CEE"/>
    <w:rsid w:val="1B8E5449"/>
    <w:rsid w:val="1BEA13EC"/>
    <w:rsid w:val="1BEC4D61"/>
    <w:rsid w:val="1C055E22"/>
    <w:rsid w:val="1C232697"/>
    <w:rsid w:val="1C3D380E"/>
    <w:rsid w:val="1C5D3ED1"/>
    <w:rsid w:val="1C9A0C60"/>
    <w:rsid w:val="1CAE143A"/>
    <w:rsid w:val="1CB515F6"/>
    <w:rsid w:val="1CF46D14"/>
    <w:rsid w:val="1CFD3156"/>
    <w:rsid w:val="1D05109B"/>
    <w:rsid w:val="1D146591"/>
    <w:rsid w:val="1D254137"/>
    <w:rsid w:val="1D5F50C8"/>
    <w:rsid w:val="1D7D78AA"/>
    <w:rsid w:val="1D992E53"/>
    <w:rsid w:val="1D9A07EC"/>
    <w:rsid w:val="1DB83859"/>
    <w:rsid w:val="1DC00253"/>
    <w:rsid w:val="1DD84332"/>
    <w:rsid w:val="1DE63A32"/>
    <w:rsid w:val="1DEA52D0"/>
    <w:rsid w:val="1DF57E64"/>
    <w:rsid w:val="1E144587"/>
    <w:rsid w:val="1E220F0E"/>
    <w:rsid w:val="1E222CBC"/>
    <w:rsid w:val="1E29713E"/>
    <w:rsid w:val="1E2C7696"/>
    <w:rsid w:val="1E407CEF"/>
    <w:rsid w:val="1E7960D5"/>
    <w:rsid w:val="1EA949C5"/>
    <w:rsid w:val="1EBA7398"/>
    <w:rsid w:val="1EF503D0"/>
    <w:rsid w:val="1F1D4043"/>
    <w:rsid w:val="1F3E378D"/>
    <w:rsid w:val="1F4D3D68"/>
    <w:rsid w:val="1F5844BB"/>
    <w:rsid w:val="1F5A6485"/>
    <w:rsid w:val="1F6C7AC2"/>
    <w:rsid w:val="1F891A0E"/>
    <w:rsid w:val="1FB21E1D"/>
    <w:rsid w:val="1FCF2528"/>
    <w:rsid w:val="1FDB75C6"/>
    <w:rsid w:val="1FDC333E"/>
    <w:rsid w:val="202C6073"/>
    <w:rsid w:val="20EE50D7"/>
    <w:rsid w:val="20F56A44"/>
    <w:rsid w:val="210B2F65"/>
    <w:rsid w:val="214974AF"/>
    <w:rsid w:val="215A658E"/>
    <w:rsid w:val="223034CD"/>
    <w:rsid w:val="22421B7E"/>
    <w:rsid w:val="225D790C"/>
    <w:rsid w:val="22635651"/>
    <w:rsid w:val="228A230C"/>
    <w:rsid w:val="22B365D8"/>
    <w:rsid w:val="22C32593"/>
    <w:rsid w:val="22E03145"/>
    <w:rsid w:val="23045086"/>
    <w:rsid w:val="232C0139"/>
    <w:rsid w:val="234436D4"/>
    <w:rsid w:val="239006C7"/>
    <w:rsid w:val="239E6253"/>
    <w:rsid w:val="23AE4FF1"/>
    <w:rsid w:val="23C465C3"/>
    <w:rsid w:val="23EF1892"/>
    <w:rsid w:val="24044C11"/>
    <w:rsid w:val="24103F52"/>
    <w:rsid w:val="24857B00"/>
    <w:rsid w:val="24D410B9"/>
    <w:rsid w:val="24DE7A25"/>
    <w:rsid w:val="24E27B0B"/>
    <w:rsid w:val="24F1163A"/>
    <w:rsid w:val="24F84776"/>
    <w:rsid w:val="24FB1117"/>
    <w:rsid w:val="250A26FB"/>
    <w:rsid w:val="250E3F9A"/>
    <w:rsid w:val="25362648"/>
    <w:rsid w:val="25555909"/>
    <w:rsid w:val="2564324A"/>
    <w:rsid w:val="25821D3E"/>
    <w:rsid w:val="25B15470"/>
    <w:rsid w:val="25BC1C48"/>
    <w:rsid w:val="25BF7042"/>
    <w:rsid w:val="25DD69C0"/>
    <w:rsid w:val="26795443"/>
    <w:rsid w:val="267C4F33"/>
    <w:rsid w:val="2690648B"/>
    <w:rsid w:val="26A2191F"/>
    <w:rsid w:val="27084A19"/>
    <w:rsid w:val="27156A20"/>
    <w:rsid w:val="274A5031"/>
    <w:rsid w:val="276232F9"/>
    <w:rsid w:val="276C31F9"/>
    <w:rsid w:val="27890D88"/>
    <w:rsid w:val="279F537D"/>
    <w:rsid w:val="27BA1E7F"/>
    <w:rsid w:val="27BD1CA7"/>
    <w:rsid w:val="27EB4CD8"/>
    <w:rsid w:val="280C22E7"/>
    <w:rsid w:val="28884063"/>
    <w:rsid w:val="28A8200F"/>
    <w:rsid w:val="28F434A6"/>
    <w:rsid w:val="295C39A4"/>
    <w:rsid w:val="297E0FC2"/>
    <w:rsid w:val="29A12807"/>
    <w:rsid w:val="29AB40C8"/>
    <w:rsid w:val="29CC7F7F"/>
    <w:rsid w:val="29D62BAC"/>
    <w:rsid w:val="29D72BA4"/>
    <w:rsid w:val="29DC2793"/>
    <w:rsid w:val="2A56389D"/>
    <w:rsid w:val="2A6B5DAF"/>
    <w:rsid w:val="2B141BDE"/>
    <w:rsid w:val="2B255B99"/>
    <w:rsid w:val="2B434271"/>
    <w:rsid w:val="2B683CD8"/>
    <w:rsid w:val="2B6F150A"/>
    <w:rsid w:val="2B8B7F60"/>
    <w:rsid w:val="2BA12CBD"/>
    <w:rsid w:val="2BCF1FA9"/>
    <w:rsid w:val="2BE95057"/>
    <w:rsid w:val="2C271DE5"/>
    <w:rsid w:val="2C2916B9"/>
    <w:rsid w:val="2C3563DB"/>
    <w:rsid w:val="2CC77EF2"/>
    <w:rsid w:val="2CD226C8"/>
    <w:rsid w:val="2D185B0B"/>
    <w:rsid w:val="2D6D1A79"/>
    <w:rsid w:val="2DE47F8D"/>
    <w:rsid w:val="2E0323B2"/>
    <w:rsid w:val="2E0C3040"/>
    <w:rsid w:val="2EB25C4C"/>
    <w:rsid w:val="2EBF4557"/>
    <w:rsid w:val="2ED973C6"/>
    <w:rsid w:val="2EDF0755"/>
    <w:rsid w:val="2EF53AD4"/>
    <w:rsid w:val="2F0D0E1E"/>
    <w:rsid w:val="2F302D5E"/>
    <w:rsid w:val="2F3C1703"/>
    <w:rsid w:val="2F5C3B54"/>
    <w:rsid w:val="2F805A94"/>
    <w:rsid w:val="2F8310E0"/>
    <w:rsid w:val="2F974B8C"/>
    <w:rsid w:val="2F99416E"/>
    <w:rsid w:val="2F9C03F4"/>
    <w:rsid w:val="2FAF0127"/>
    <w:rsid w:val="2FAF1ED5"/>
    <w:rsid w:val="2FC8743B"/>
    <w:rsid w:val="2FCF4325"/>
    <w:rsid w:val="2FEF2C1A"/>
    <w:rsid w:val="303671B4"/>
    <w:rsid w:val="3069477A"/>
    <w:rsid w:val="30B654E5"/>
    <w:rsid w:val="30C23E8A"/>
    <w:rsid w:val="30E67B79"/>
    <w:rsid w:val="3103697D"/>
    <w:rsid w:val="31431437"/>
    <w:rsid w:val="315A22D3"/>
    <w:rsid w:val="3199108F"/>
    <w:rsid w:val="31C85DFF"/>
    <w:rsid w:val="31D93EE1"/>
    <w:rsid w:val="31DD71CE"/>
    <w:rsid w:val="31F71576"/>
    <w:rsid w:val="32075FF9"/>
    <w:rsid w:val="322B7C3F"/>
    <w:rsid w:val="32534D72"/>
    <w:rsid w:val="327D7408"/>
    <w:rsid w:val="32A8733C"/>
    <w:rsid w:val="32BC2F3E"/>
    <w:rsid w:val="32C71983"/>
    <w:rsid w:val="335B0427"/>
    <w:rsid w:val="338005E5"/>
    <w:rsid w:val="33857B1D"/>
    <w:rsid w:val="33A930DF"/>
    <w:rsid w:val="33B96AC6"/>
    <w:rsid w:val="33C85C5B"/>
    <w:rsid w:val="33DC5263"/>
    <w:rsid w:val="346D53BD"/>
    <w:rsid w:val="34B00BC9"/>
    <w:rsid w:val="34CA01B9"/>
    <w:rsid w:val="34CA42AC"/>
    <w:rsid w:val="34F9173B"/>
    <w:rsid w:val="34FB79A6"/>
    <w:rsid w:val="34FF413A"/>
    <w:rsid w:val="35054CFD"/>
    <w:rsid w:val="35697E4A"/>
    <w:rsid w:val="3598340C"/>
    <w:rsid w:val="35BA7826"/>
    <w:rsid w:val="35BC70FA"/>
    <w:rsid w:val="35C96217"/>
    <w:rsid w:val="35D02BA5"/>
    <w:rsid w:val="35D8663C"/>
    <w:rsid w:val="361353DA"/>
    <w:rsid w:val="3628478F"/>
    <w:rsid w:val="36C037D6"/>
    <w:rsid w:val="36FF3742"/>
    <w:rsid w:val="372A0224"/>
    <w:rsid w:val="372E794B"/>
    <w:rsid w:val="37324DC4"/>
    <w:rsid w:val="375646C5"/>
    <w:rsid w:val="37691503"/>
    <w:rsid w:val="377203B8"/>
    <w:rsid w:val="37755EB7"/>
    <w:rsid w:val="37991DE9"/>
    <w:rsid w:val="37B44FC9"/>
    <w:rsid w:val="37D20707"/>
    <w:rsid w:val="380026A3"/>
    <w:rsid w:val="38072E43"/>
    <w:rsid w:val="38174ABC"/>
    <w:rsid w:val="38206066"/>
    <w:rsid w:val="38322791"/>
    <w:rsid w:val="383F05C8"/>
    <w:rsid w:val="38422A55"/>
    <w:rsid w:val="38B62526"/>
    <w:rsid w:val="38CE1966"/>
    <w:rsid w:val="38FE5C7B"/>
    <w:rsid w:val="392B7033"/>
    <w:rsid w:val="395D01B7"/>
    <w:rsid w:val="39965EB4"/>
    <w:rsid w:val="399B6A78"/>
    <w:rsid w:val="399D36E6"/>
    <w:rsid w:val="39C21B90"/>
    <w:rsid w:val="39CF0BFC"/>
    <w:rsid w:val="39EE26D0"/>
    <w:rsid w:val="39FD21EF"/>
    <w:rsid w:val="3A2B6F44"/>
    <w:rsid w:val="3A485400"/>
    <w:rsid w:val="3A6F5083"/>
    <w:rsid w:val="3A7C1354"/>
    <w:rsid w:val="3ABD7EF5"/>
    <w:rsid w:val="3AC01C90"/>
    <w:rsid w:val="3B38336B"/>
    <w:rsid w:val="3B6444BC"/>
    <w:rsid w:val="3B705601"/>
    <w:rsid w:val="3B710987"/>
    <w:rsid w:val="3B84731C"/>
    <w:rsid w:val="3B9C138A"/>
    <w:rsid w:val="3BBE3A68"/>
    <w:rsid w:val="3C0417FB"/>
    <w:rsid w:val="3C29300F"/>
    <w:rsid w:val="3C5938F5"/>
    <w:rsid w:val="3C641A3F"/>
    <w:rsid w:val="3C815C1D"/>
    <w:rsid w:val="3CA134EE"/>
    <w:rsid w:val="3CAE0FC4"/>
    <w:rsid w:val="3CE753A4"/>
    <w:rsid w:val="3D08531B"/>
    <w:rsid w:val="3D136199"/>
    <w:rsid w:val="3D2F28A7"/>
    <w:rsid w:val="3D694964"/>
    <w:rsid w:val="3D6E3A51"/>
    <w:rsid w:val="3D873286"/>
    <w:rsid w:val="3D892D7C"/>
    <w:rsid w:val="3DA94408"/>
    <w:rsid w:val="3E122F57"/>
    <w:rsid w:val="3E6C59E0"/>
    <w:rsid w:val="3E94330A"/>
    <w:rsid w:val="3E9E5F37"/>
    <w:rsid w:val="3EB5502E"/>
    <w:rsid w:val="3EBC09D6"/>
    <w:rsid w:val="3F291E94"/>
    <w:rsid w:val="3F32667F"/>
    <w:rsid w:val="3F852C53"/>
    <w:rsid w:val="3F9738A3"/>
    <w:rsid w:val="3FA23237"/>
    <w:rsid w:val="3FD15E98"/>
    <w:rsid w:val="400E2C48"/>
    <w:rsid w:val="40420B44"/>
    <w:rsid w:val="40992C68"/>
    <w:rsid w:val="40C5099F"/>
    <w:rsid w:val="40F005A0"/>
    <w:rsid w:val="41125128"/>
    <w:rsid w:val="414141DC"/>
    <w:rsid w:val="41446410"/>
    <w:rsid w:val="41596145"/>
    <w:rsid w:val="4162149D"/>
    <w:rsid w:val="416D1BF0"/>
    <w:rsid w:val="4182569C"/>
    <w:rsid w:val="41B3028D"/>
    <w:rsid w:val="41CE5FB6"/>
    <w:rsid w:val="41EC690B"/>
    <w:rsid w:val="423C1CEE"/>
    <w:rsid w:val="42801398"/>
    <w:rsid w:val="428A301F"/>
    <w:rsid w:val="42CD6DEA"/>
    <w:rsid w:val="42E7081F"/>
    <w:rsid w:val="431E7646"/>
    <w:rsid w:val="43783BD9"/>
    <w:rsid w:val="438B5AAE"/>
    <w:rsid w:val="439D30F7"/>
    <w:rsid w:val="43C60080"/>
    <w:rsid w:val="43D57693"/>
    <w:rsid w:val="4487121B"/>
    <w:rsid w:val="44913E48"/>
    <w:rsid w:val="449412A6"/>
    <w:rsid w:val="44A040E0"/>
    <w:rsid w:val="44A678F3"/>
    <w:rsid w:val="44B518E4"/>
    <w:rsid w:val="44DF2E05"/>
    <w:rsid w:val="455235D7"/>
    <w:rsid w:val="456D0411"/>
    <w:rsid w:val="457C4AF8"/>
    <w:rsid w:val="458B6AE9"/>
    <w:rsid w:val="461B7E96"/>
    <w:rsid w:val="46485A5A"/>
    <w:rsid w:val="46690BD8"/>
    <w:rsid w:val="467A2DE5"/>
    <w:rsid w:val="46937509"/>
    <w:rsid w:val="46C46B5A"/>
    <w:rsid w:val="46F74436"/>
    <w:rsid w:val="4759788D"/>
    <w:rsid w:val="476B6BD2"/>
    <w:rsid w:val="478B1022"/>
    <w:rsid w:val="47907254"/>
    <w:rsid w:val="47DB78B4"/>
    <w:rsid w:val="48253225"/>
    <w:rsid w:val="4847319B"/>
    <w:rsid w:val="484A4A39"/>
    <w:rsid w:val="48BB02CE"/>
    <w:rsid w:val="48E2555A"/>
    <w:rsid w:val="490A7DCD"/>
    <w:rsid w:val="495366B7"/>
    <w:rsid w:val="496C59E5"/>
    <w:rsid w:val="496E6505"/>
    <w:rsid w:val="49AA42F5"/>
    <w:rsid w:val="49B26D3A"/>
    <w:rsid w:val="4A0D3F70"/>
    <w:rsid w:val="4A5C2802"/>
    <w:rsid w:val="4A742241"/>
    <w:rsid w:val="4A9F4FAB"/>
    <w:rsid w:val="4AAE5753"/>
    <w:rsid w:val="4AC62A9D"/>
    <w:rsid w:val="4B1B0E84"/>
    <w:rsid w:val="4B3F4007"/>
    <w:rsid w:val="4B771FE9"/>
    <w:rsid w:val="4B83273C"/>
    <w:rsid w:val="4BA80176"/>
    <w:rsid w:val="4BEA27BB"/>
    <w:rsid w:val="4C1F3EFD"/>
    <w:rsid w:val="4C9420C2"/>
    <w:rsid w:val="4CCA4162"/>
    <w:rsid w:val="4CD62D3F"/>
    <w:rsid w:val="4CF82CB6"/>
    <w:rsid w:val="4D4E02A1"/>
    <w:rsid w:val="4DAB7D28"/>
    <w:rsid w:val="4DBC60C8"/>
    <w:rsid w:val="4DCF3417"/>
    <w:rsid w:val="4DD16109"/>
    <w:rsid w:val="4DDD5F28"/>
    <w:rsid w:val="4E2E6A7C"/>
    <w:rsid w:val="4E303DD0"/>
    <w:rsid w:val="4E453CD9"/>
    <w:rsid w:val="4E6525CD"/>
    <w:rsid w:val="4EB33287"/>
    <w:rsid w:val="4F057132"/>
    <w:rsid w:val="4F635510"/>
    <w:rsid w:val="4FE439C5"/>
    <w:rsid w:val="4FE5311A"/>
    <w:rsid w:val="5010602F"/>
    <w:rsid w:val="501D2551"/>
    <w:rsid w:val="5034384E"/>
    <w:rsid w:val="503F29AA"/>
    <w:rsid w:val="50461F8A"/>
    <w:rsid w:val="50744D49"/>
    <w:rsid w:val="50923421"/>
    <w:rsid w:val="50B213CE"/>
    <w:rsid w:val="50B61BEE"/>
    <w:rsid w:val="515D57DD"/>
    <w:rsid w:val="522D03CE"/>
    <w:rsid w:val="5240491E"/>
    <w:rsid w:val="52497B10"/>
    <w:rsid w:val="5266487A"/>
    <w:rsid w:val="52770B21"/>
    <w:rsid w:val="529615B2"/>
    <w:rsid w:val="529D77FC"/>
    <w:rsid w:val="52AB4326"/>
    <w:rsid w:val="52BC29D7"/>
    <w:rsid w:val="53213872"/>
    <w:rsid w:val="533B7DA0"/>
    <w:rsid w:val="53A35560"/>
    <w:rsid w:val="53C9715A"/>
    <w:rsid w:val="53D941A3"/>
    <w:rsid w:val="53EE6BC1"/>
    <w:rsid w:val="53FA0D9C"/>
    <w:rsid w:val="54175E00"/>
    <w:rsid w:val="5488491F"/>
    <w:rsid w:val="54C02294"/>
    <w:rsid w:val="54C857C5"/>
    <w:rsid w:val="54E65AEA"/>
    <w:rsid w:val="550F7802"/>
    <w:rsid w:val="5527147A"/>
    <w:rsid w:val="55300B6D"/>
    <w:rsid w:val="55674E7D"/>
    <w:rsid w:val="556A2277"/>
    <w:rsid w:val="556D3CC1"/>
    <w:rsid w:val="557650C0"/>
    <w:rsid w:val="55823C80"/>
    <w:rsid w:val="55A25EB5"/>
    <w:rsid w:val="55A74EA7"/>
    <w:rsid w:val="55B33C1E"/>
    <w:rsid w:val="55CE6CAA"/>
    <w:rsid w:val="56356351"/>
    <w:rsid w:val="564A135A"/>
    <w:rsid w:val="567E247E"/>
    <w:rsid w:val="56E30533"/>
    <w:rsid w:val="571A7C6A"/>
    <w:rsid w:val="57235040"/>
    <w:rsid w:val="576E3ADD"/>
    <w:rsid w:val="578C5AC2"/>
    <w:rsid w:val="57FB18AC"/>
    <w:rsid w:val="580A0887"/>
    <w:rsid w:val="58A43CF2"/>
    <w:rsid w:val="58BD3B92"/>
    <w:rsid w:val="58EF0200"/>
    <w:rsid w:val="58EF7663"/>
    <w:rsid w:val="58F307D5"/>
    <w:rsid w:val="58FE6895"/>
    <w:rsid w:val="592B1A3D"/>
    <w:rsid w:val="593212FE"/>
    <w:rsid w:val="59486D73"/>
    <w:rsid w:val="595219A0"/>
    <w:rsid w:val="598A6D39"/>
    <w:rsid w:val="59BE2450"/>
    <w:rsid w:val="59FD7B5D"/>
    <w:rsid w:val="5A19426B"/>
    <w:rsid w:val="5A4412E8"/>
    <w:rsid w:val="5A8B548A"/>
    <w:rsid w:val="5AE24490"/>
    <w:rsid w:val="5B1769FD"/>
    <w:rsid w:val="5B5F0CBE"/>
    <w:rsid w:val="5BC722AF"/>
    <w:rsid w:val="5BCD17B1"/>
    <w:rsid w:val="5C3303B7"/>
    <w:rsid w:val="5C4C26D6"/>
    <w:rsid w:val="5C5F68AD"/>
    <w:rsid w:val="5C7B120D"/>
    <w:rsid w:val="5C8430AE"/>
    <w:rsid w:val="5CCA45A8"/>
    <w:rsid w:val="5D236733"/>
    <w:rsid w:val="5D5C103F"/>
    <w:rsid w:val="5D6063D5"/>
    <w:rsid w:val="5D9B1145"/>
    <w:rsid w:val="5DA87DE0"/>
    <w:rsid w:val="5E005E6E"/>
    <w:rsid w:val="5E0202FD"/>
    <w:rsid w:val="5E55537D"/>
    <w:rsid w:val="5E8545C5"/>
    <w:rsid w:val="5E9C6FA0"/>
    <w:rsid w:val="5EB43529"/>
    <w:rsid w:val="5EBE007B"/>
    <w:rsid w:val="5F553F98"/>
    <w:rsid w:val="5F787143"/>
    <w:rsid w:val="5F8A1207"/>
    <w:rsid w:val="5F990328"/>
    <w:rsid w:val="5F9E149B"/>
    <w:rsid w:val="5FD51606"/>
    <w:rsid w:val="5FF051F5"/>
    <w:rsid w:val="600D2A8A"/>
    <w:rsid w:val="60107EBF"/>
    <w:rsid w:val="60316CD8"/>
    <w:rsid w:val="604B209D"/>
    <w:rsid w:val="604C40C6"/>
    <w:rsid w:val="605746E4"/>
    <w:rsid w:val="60725219"/>
    <w:rsid w:val="607E304A"/>
    <w:rsid w:val="609F196E"/>
    <w:rsid w:val="60A15809"/>
    <w:rsid w:val="60A20879"/>
    <w:rsid w:val="60CA4511"/>
    <w:rsid w:val="60EC4488"/>
    <w:rsid w:val="612E4AA0"/>
    <w:rsid w:val="618C765D"/>
    <w:rsid w:val="62593D9F"/>
    <w:rsid w:val="628829FE"/>
    <w:rsid w:val="62C90F25"/>
    <w:rsid w:val="62DA4EE0"/>
    <w:rsid w:val="63224191"/>
    <w:rsid w:val="632D3614"/>
    <w:rsid w:val="633839B4"/>
    <w:rsid w:val="63C47FD6"/>
    <w:rsid w:val="63DA4A6C"/>
    <w:rsid w:val="641A130C"/>
    <w:rsid w:val="644665A5"/>
    <w:rsid w:val="6461518D"/>
    <w:rsid w:val="6468651B"/>
    <w:rsid w:val="647E5D3F"/>
    <w:rsid w:val="648667D0"/>
    <w:rsid w:val="64AA3F05"/>
    <w:rsid w:val="64D4770D"/>
    <w:rsid w:val="65046244"/>
    <w:rsid w:val="650724AB"/>
    <w:rsid w:val="65077AE2"/>
    <w:rsid w:val="6508537F"/>
    <w:rsid w:val="652A557F"/>
    <w:rsid w:val="652E28CE"/>
    <w:rsid w:val="65BE14BF"/>
    <w:rsid w:val="65C04588"/>
    <w:rsid w:val="65C07C91"/>
    <w:rsid w:val="66710C8D"/>
    <w:rsid w:val="66766424"/>
    <w:rsid w:val="667C4500"/>
    <w:rsid w:val="66CA526B"/>
    <w:rsid w:val="6701135A"/>
    <w:rsid w:val="67095D94"/>
    <w:rsid w:val="6710759A"/>
    <w:rsid w:val="67204E8B"/>
    <w:rsid w:val="67BA52E0"/>
    <w:rsid w:val="67E45EB9"/>
    <w:rsid w:val="67FA2A32"/>
    <w:rsid w:val="68030A35"/>
    <w:rsid w:val="6844104D"/>
    <w:rsid w:val="688D6A07"/>
    <w:rsid w:val="68A54CE7"/>
    <w:rsid w:val="68CB7079"/>
    <w:rsid w:val="68ED0BAD"/>
    <w:rsid w:val="699456BD"/>
    <w:rsid w:val="69C641B4"/>
    <w:rsid w:val="69D361E5"/>
    <w:rsid w:val="69D750BF"/>
    <w:rsid w:val="6A2E78BF"/>
    <w:rsid w:val="6A67734A"/>
    <w:rsid w:val="6A7675F6"/>
    <w:rsid w:val="6AA933EA"/>
    <w:rsid w:val="6AB67BD1"/>
    <w:rsid w:val="6AC326FD"/>
    <w:rsid w:val="6ACD70D8"/>
    <w:rsid w:val="6AE15F4E"/>
    <w:rsid w:val="6AF208ED"/>
    <w:rsid w:val="6B596BBE"/>
    <w:rsid w:val="6BCD31EE"/>
    <w:rsid w:val="6BD11132"/>
    <w:rsid w:val="6BE9284F"/>
    <w:rsid w:val="6BF2496D"/>
    <w:rsid w:val="6BF6265F"/>
    <w:rsid w:val="6C1B2381"/>
    <w:rsid w:val="6C37721E"/>
    <w:rsid w:val="6C3E5C27"/>
    <w:rsid w:val="6C5F0204"/>
    <w:rsid w:val="6C6475C8"/>
    <w:rsid w:val="6C7A503E"/>
    <w:rsid w:val="6C7C7008"/>
    <w:rsid w:val="6CD40E9C"/>
    <w:rsid w:val="6CD6284C"/>
    <w:rsid w:val="6D2A25C0"/>
    <w:rsid w:val="6D3F3B91"/>
    <w:rsid w:val="6D83727B"/>
    <w:rsid w:val="6DA44D3B"/>
    <w:rsid w:val="6DF90F09"/>
    <w:rsid w:val="6E4E0530"/>
    <w:rsid w:val="6E5673E4"/>
    <w:rsid w:val="6E6F4AE4"/>
    <w:rsid w:val="6E80648D"/>
    <w:rsid w:val="6E893695"/>
    <w:rsid w:val="6EA97E5C"/>
    <w:rsid w:val="6EBB6CBE"/>
    <w:rsid w:val="6EDF562C"/>
    <w:rsid w:val="6EF07839"/>
    <w:rsid w:val="6EF235A3"/>
    <w:rsid w:val="6F084B83"/>
    <w:rsid w:val="6F120007"/>
    <w:rsid w:val="6F6D2C38"/>
    <w:rsid w:val="6F8D3156"/>
    <w:rsid w:val="6FD875A8"/>
    <w:rsid w:val="6FF66C2D"/>
    <w:rsid w:val="706C2EEF"/>
    <w:rsid w:val="708E2E66"/>
    <w:rsid w:val="70D16AD5"/>
    <w:rsid w:val="70D34D1C"/>
    <w:rsid w:val="711A294B"/>
    <w:rsid w:val="71775FF0"/>
    <w:rsid w:val="71CC5215"/>
    <w:rsid w:val="71E125AB"/>
    <w:rsid w:val="720376F1"/>
    <w:rsid w:val="724834E8"/>
    <w:rsid w:val="724A3704"/>
    <w:rsid w:val="725D6FD3"/>
    <w:rsid w:val="72671BC0"/>
    <w:rsid w:val="727E3CE5"/>
    <w:rsid w:val="72C25048"/>
    <w:rsid w:val="72F378F8"/>
    <w:rsid w:val="72F50DA2"/>
    <w:rsid w:val="73012015"/>
    <w:rsid w:val="73041B05"/>
    <w:rsid w:val="730575B1"/>
    <w:rsid w:val="734359DE"/>
    <w:rsid w:val="735F3C30"/>
    <w:rsid w:val="73774085"/>
    <w:rsid w:val="737C2F71"/>
    <w:rsid w:val="739C129A"/>
    <w:rsid w:val="73BA4B95"/>
    <w:rsid w:val="73E060CE"/>
    <w:rsid w:val="73F27BAF"/>
    <w:rsid w:val="7402235F"/>
    <w:rsid w:val="74485B23"/>
    <w:rsid w:val="746A3BEA"/>
    <w:rsid w:val="747D391D"/>
    <w:rsid w:val="7499627D"/>
    <w:rsid w:val="74C31187"/>
    <w:rsid w:val="74E92D60"/>
    <w:rsid w:val="74FC6F38"/>
    <w:rsid w:val="751E3AA0"/>
    <w:rsid w:val="75241FEA"/>
    <w:rsid w:val="75271ADB"/>
    <w:rsid w:val="752753EF"/>
    <w:rsid w:val="75530B22"/>
    <w:rsid w:val="75583E3E"/>
    <w:rsid w:val="757E794D"/>
    <w:rsid w:val="75840CDB"/>
    <w:rsid w:val="758D346E"/>
    <w:rsid w:val="75A82C1C"/>
    <w:rsid w:val="75BA46FD"/>
    <w:rsid w:val="75C21A84"/>
    <w:rsid w:val="75CB56EC"/>
    <w:rsid w:val="75F769A0"/>
    <w:rsid w:val="766905FD"/>
    <w:rsid w:val="767D234A"/>
    <w:rsid w:val="76F0011C"/>
    <w:rsid w:val="773A78A3"/>
    <w:rsid w:val="77AE1C16"/>
    <w:rsid w:val="77D903FD"/>
    <w:rsid w:val="78533050"/>
    <w:rsid w:val="7871743B"/>
    <w:rsid w:val="78B90C9C"/>
    <w:rsid w:val="78C134AC"/>
    <w:rsid w:val="78D14237"/>
    <w:rsid w:val="78EE303B"/>
    <w:rsid w:val="79030169"/>
    <w:rsid w:val="790E04B2"/>
    <w:rsid w:val="79206F6D"/>
    <w:rsid w:val="793F5185"/>
    <w:rsid w:val="79450781"/>
    <w:rsid w:val="7A0128FA"/>
    <w:rsid w:val="7A735312"/>
    <w:rsid w:val="7A810C91"/>
    <w:rsid w:val="7A97500D"/>
    <w:rsid w:val="7AAA4D40"/>
    <w:rsid w:val="7AF33716"/>
    <w:rsid w:val="7B0F4365"/>
    <w:rsid w:val="7B3D4AA7"/>
    <w:rsid w:val="7B550C59"/>
    <w:rsid w:val="7B922762"/>
    <w:rsid w:val="7B9D48A5"/>
    <w:rsid w:val="7C7970C0"/>
    <w:rsid w:val="7CCD2F68"/>
    <w:rsid w:val="7CE87DA1"/>
    <w:rsid w:val="7D1110A6"/>
    <w:rsid w:val="7D384885"/>
    <w:rsid w:val="7D4A280A"/>
    <w:rsid w:val="7DDF203E"/>
    <w:rsid w:val="7DF46E19"/>
    <w:rsid w:val="7E3928B9"/>
    <w:rsid w:val="7E3C6090"/>
    <w:rsid w:val="7E5C0F96"/>
    <w:rsid w:val="7E8A5393"/>
    <w:rsid w:val="7F0F1615"/>
    <w:rsid w:val="7F1D01D6"/>
    <w:rsid w:val="7F8E4C30"/>
    <w:rsid w:val="7FD64829"/>
    <w:rsid w:val="7FFD59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unhideWhenUsed/>
    <w:uiPriority w:val="1"/>
  </w:style>
  <w:style w:type="table" w:default="1" w:styleId="12">
    <w:name w:val="Normal Table"/>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500" w:lineRule="exact"/>
      <w:ind w:left="1588" w:leftChars="832" w:firstLine="433" w:firstLineChars="196"/>
    </w:pPr>
  </w:style>
  <w:style w:type="paragraph" w:styleId="4">
    <w:name w:val="Body Text"/>
    <w:basedOn w:val="1"/>
    <w:next w:val="5"/>
    <w:qFormat/>
    <w:uiPriority w:val="0"/>
    <w:pPr>
      <w:spacing w:after="120"/>
    </w:pPr>
  </w:style>
  <w:style w:type="paragraph" w:styleId="5">
    <w:name w:val="index 9"/>
    <w:basedOn w:val="1"/>
    <w:next w:val="1"/>
    <w:qFormat/>
    <w:uiPriority w:val="0"/>
    <w:pPr>
      <w:ind w:left="3360"/>
    </w:pPr>
  </w:style>
  <w:style w:type="paragraph" w:styleId="6">
    <w:name w:val="Date"/>
    <w:basedOn w:val="1"/>
    <w:next w:val="1"/>
    <w:link w:val="15"/>
    <w:uiPriority w:val="0"/>
    <w:rPr>
      <w:rFonts w:ascii="Arial" w:hAnsi="Arial"/>
      <w:b/>
      <w:kern w:val="0"/>
      <w:sz w:val="24"/>
      <w:szCs w:val="20"/>
    </w:rPr>
  </w:style>
  <w:style w:type="paragraph" w:styleId="7">
    <w:name w:val="footer"/>
    <w:basedOn w:val="1"/>
    <w:link w:val="16"/>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Autospacing="1" w:afterAutospacing="1"/>
      <w:jc w:val="left"/>
    </w:pPr>
    <w:rPr>
      <w:rFonts w:ascii="Calibri" w:hAnsi="Calibri"/>
      <w:kern w:val="0"/>
      <w:sz w:val="24"/>
    </w:rPr>
  </w:style>
  <w:style w:type="table" w:styleId="13">
    <w:name w:val="Table Grid"/>
    <w:basedOn w:val="1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5">
    <w:name w:val="日期 Char"/>
    <w:basedOn w:val="14"/>
    <w:link w:val="6"/>
    <w:qFormat/>
    <w:uiPriority w:val="0"/>
    <w:rPr>
      <w:rFonts w:ascii="Arial" w:hAnsi="Arial"/>
      <w:b/>
      <w:sz w:val="24"/>
    </w:rPr>
  </w:style>
  <w:style w:type="character" w:customStyle="1" w:styleId="16">
    <w:name w:val="页脚 Char"/>
    <w:basedOn w:val="14"/>
    <w:link w:val="7"/>
    <w:qFormat/>
    <w:uiPriority w:val="0"/>
    <w:rPr>
      <w:kern w:val="2"/>
      <w:sz w:val="18"/>
      <w:szCs w:val="18"/>
    </w:rPr>
  </w:style>
  <w:style w:type="character" w:customStyle="1" w:styleId="17">
    <w:name w:val="页眉 Char"/>
    <w:basedOn w:val="14"/>
    <w:link w:val="8"/>
    <w:uiPriority w:val="0"/>
    <w:rPr>
      <w:kern w:val="2"/>
      <w:sz w:val="18"/>
      <w:szCs w:val="18"/>
    </w:rPr>
  </w:style>
  <w:style w:type="character" w:customStyle="1" w:styleId="18">
    <w:name w:val="label_list1"/>
    <w:basedOn w:val="14"/>
    <w:qFormat/>
    <w:uiPriority w:val="0"/>
  </w:style>
  <w:style w:type="paragraph" w:customStyle="1" w:styleId="19">
    <w:name w:val="列出段落1"/>
    <w:basedOn w:val="1"/>
    <w:qFormat/>
    <w:uiPriority w:val="34"/>
    <w:pPr>
      <w:ind w:firstLine="420" w:firstLineChars="200"/>
    </w:pPr>
    <w:rPr>
      <w:rFonts w:ascii="Calibri" w:hAnsi="Calibri" w:eastAsia="宋体" w:cs="Times New Roman"/>
      <w:szCs w:val="22"/>
    </w:rPr>
  </w:style>
  <w:style w:type="paragraph" w:customStyle="1" w:styleId="20">
    <w:name w:val="List Paragraph1"/>
    <w:basedOn w:val="1"/>
    <w:qFormat/>
    <w:uiPriority w:val="34"/>
    <w:pPr>
      <w:ind w:firstLine="420" w:firstLineChars="200"/>
    </w:pPr>
  </w:style>
  <w:style w:type="paragraph" w:styleId="21">
    <w:name w:val="List Paragraph"/>
    <w:basedOn w:val="1"/>
    <w:qFormat/>
    <w:uiPriority w:val="34"/>
    <w:pPr>
      <w:ind w:firstLine="420" w:firstLineChars="200"/>
    </w:pPr>
  </w:style>
  <w:style w:type="paragraph" w:customStyle="1" w:styleId="22">
    <w:name w:val="Body Text First Indent1"/>
    <w:basedOn w:val="23"/>
    <w:qFormat/>
    <w:uiPriority w:val="0"/>
    <w:pPr>
      <w:ind w:firstLine="100" w:firstLineChars="100"/>
    </w:pPr>
  </w:style>
  <w:style w:type="paragraph" w:customStyle="1" w:styleId="23">
    <w:name w:val="Body Text1"/>
    <w:basedOn w:val="1"/>
    <w:qFormat/>
    <w:uiPriority w:val="0"/>
    <w:rPr>
      <w:b/>
      <w:sz w:val="44"/>
    </w:rPr>
  </w:style>
  <w:style w:type="character" w:customStyle="1" w:styleId="24">
    <w:name w:val="font11"/>
    <w:basedOn w:val="14"/>
    <w:uiPriority w:val="0"/>
    <w:rPr>
      <w:rFonts w:hint="eastAsia" w:ascii="宋体" w:hAnsi="宋体" w:eastAsia="宋体" w:cs="宋体"/>
      <w:b/>
      <w:bCs/>
      <w:color w:val="000000"/>
      <w:sz w:val="36"/>
      <w:szCs w:val="36"/>
      <w:u w:val="none"/>
    </w:rPr>
  </w:style>
  <w:style w:type="character" w:customStyle="1" w:styleId="25">
    <w:name w:val="font21"/>
    <w:basedOn w:val="14"/>
    <w:qFormat/>
    <w:uiPriority w:val="0"/>
    <w:rPr>
      <w:rFonts w:hint="eastAsia" w:ascii="宋体" w:hAnsi="宋体" w:eastAsia="宋体" w:cs="宋体"/>
      <w:b/>
      <w:bCs/>
      <w:color w:val="000000"/>
      <w:sz w:val="24"/>
      <w:szCs w:val="24"/>
      <w:u w:val="none"/>
    </w:rPr>
  </w:style>
  <w:style w:type="character" w:customStyle="1" w:styleId="26">
    <w:name w:val="font31"/>
    <w:basedOn w:val="14"/>
    <w:qFormat/>
    <w:uiPriority w:val="0"/>
    <w:rPr>
      <w:rFonts w:hint="eastAsia" w:ascii="宋体" w:hAnsi="宋体" w:eastAsia="宋体" w:cs="宋体"/>
      <w:color w:val="000000"/>
      <w:sz w:val="24"/>
      <w:szCs w:val="24"/>
      <w:u w:val="none"/>
    </w:rPr>
  </w:style>
  <w:style w:type="paragraph" w:customStyle="1" w:styleId="27">
    <w:name w:val="WPSOffice手动目录 1"/>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12159</Words>
  <Characters>13749</Characters>
  <Lines>18</Lines>
  <Paragraphs>5</Paragraphs>
  <TotalTime>98</TotalTime>
  <ScaleCrop>false</ScaleCrop>
  <LinksUpToDate>false</LinksUpToDate>
  <CharactersWithSpaces>14996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2012-08-03T03:48:00Z</dcterms:created>
  <dc:creator>行政部</dc:creator>
  <cp:lastModifiedBy>杨勇</cp:lastModifiedBy>
  <cp:lastPrinted>2023-10-09T02:46:00Z</cp:lastPrinted>
  <dcterms:modified xsi:type="dcterms:W3CDTF">2023-10-16T06:36:41Z</dcterms:modified>
  <dc:title>日期</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A12A085FC3044D7AB2A5EED9EDE50C5D_13</vt:lpwstr>
  </property>
</Properties>
</file>