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before="156" w:beforeLines="50" w:line="360" w:lineRule="auto"/>
        <w:rPr>
          <w:rFonts w:ascii="楷体" w:hAnsi="楷体" w:eastAsia="楷体" w:cs="Times New Roman"/>
          <w:b/>
          <w:sz w:val="36"/>
          <w:szCs w:val="36"/>
          <w:lang w:bidi="ar"/>
        </w:rPr>
      </w:pPr>
    </w:p>
    <w:p>
      <w:pPr>
        <w:widowControl/>
        <w:adjustRightInd w:val="0"/>
        <w:snapToGrid w:val="0"/>
        <w:spacing w:before="156" w:beforeLines="50" w:line="360" w:lineRule="auto"/>
        <w:rPr>
          <w:rFonts w:ascii="楷体" w:hAnsi="楷体" w:eastAsia="楷体" w:cs="Times New Roman"/>
          <w:b/>
          <w:sz w:val="36"/>
          <w:szCs w:val="36"/>
          <w:lang w:bidi="ar"/>
        </w:rPr>
      </w:pPr>
    </w:p>
    <w:p>
      <w:pPr>
        <w:widowControl/>
        <w:adjustRightInd w:val="0"/>
        <w:snapToGrid w:val="0"/>
        <w:spacing w:before="156" w:beforeLines="50" w:line="360" w:lineRule="auto"/>
        <w:rPr>
          <w:lang w:bidi="ar"/>
        </w:rPr>
      </w:pPr>
    </w:p>
    <w:p>
      <w:pPr>
        <w:widowControl/>
        <w:adjustRightInd w:val="0"/>
        <w:snapToGrid w:val="0"/>
        <w:spacing w:line="360" w:lineRule="auto"/>
        <w:jc w:val="center"/>
        <w:rPr>
          <w:rFonts w:ascii="楷体" w:hAnsi="楷体" w:eastAsia="楷体" w:cs="Times New Roman"/>
          <w:b/>
          <w:sz w:val="44"/>
          <w:szCs w:val="44"/>
          <w:lang w:bidi="ar"/>
        </w:rPr>
      </w:pPr>
      <w:bookmarkStart w:id="0" w:name="_Toc29646"/>
      <w:bookmarkStart w:id="1" w:name="_Toc16635"/>
      <w:r>
        <w:rPr>
          <w:rFonts w:hint="eastAsia" w:ascii="楷体" w:hAnsi="楷体" w:eastAsia="楷体" w:cs="Times New Roman"/>
          <w:b/>
          <w:sz w:val="44"/>
          <w:szCs w:val="44"/>
          <w:lang w:bidi="ar"/>
        </w:rPr>
        <w:t>2022年度乌兰木伦镇人民政府</w:t>
      </w:r>
      <w:bookmarkEnd w:id="0"/>
      <w:bookmarkEnd w:id="1"/>
    </w:p>
    <w:p>
      <w:pPr>
        <w:widowControl/>
        <w:adjustRightInd w:val="0"/>
        <w:snapToGrid w:val="0"/>
        <w:spacing w:line="360" w:lineRule="auto"/>
        <w:jc w:val="center"/>
        <w:rPr>
          <w:rFonts w:ascii="黑体" w:hAnsi="宋体" w:eastAsia="黑体" w:cs="Times New Roman"/>
          <w:b/>
          <w:sz w:val="72"/>
          <w:szCs w:val="72"/>
          <w:lang w:val="zh-CN" w:bidi="ar"/>
        </w:rPr>
      </w:pPr>
      <w:bookmarkStart w:id="2" w:name="_Toc6581"/>
      <w:bookmarkStart w:id="3" w:name="_Toc21851"/>
      <w:r>
        <w:rPr>
          <w:rFonts w:hint="eastAsia" w:ascii="楷体" w:hAnsi="楷体" w:eastAsia="楷体" w:cs="Times New Roman"/>
          <w:b/>
          <w:sz w:val="44"/>
          <w:szCs w:val="44"/>
          <w:lang w:bidi="ar"/>
        </w:rPr>
        <w:t>财政综合运行</w:t>
      </w:r>
      <w:bookmarkEnd w:id="2"/>
      <w:bookmarkEnd w:id="3"/>
      <w:r>
        <w:rPr>
          <w:rFonts w:hint="eastAsia" w:ascii="楷体" w:hAnsi="楷体" w:eastAsia="楷体" w:cs="Times New Roman"/>
          <w:b/>
          <w:sz w:val="44"/>
          <w:szCs w:val="44"/>
          <w:lang w:val="zh-CN" w:bidi="ar"/>
        </w:rPr>
        <w:t>绩效评</w:t>
      </w:r>
      <w:r>
        <w:rPr>
          <w:rFonts w:hint="eastAsia" w:ascii="楷体" w:hAnsi="楷体" w:eastAsia="楷体" w:cs="Times New Roman"/>
          <w:b/>
          <w:sz w:val="44"/>
          <w:szCs w:val="44"/>
          <w:lang w:bidi="ar"/>
        </w:rPr>
        <w:t>价</w:t>
      </w:r>
      <w:r>
        <w:rPr>
          <w:rFonts w:hint="eastAsia" w:ascii="楷体" w:hAnsi="楷体" w:eastAsia="楷体" w:cs="Times New Roman"/>
          <w:b/>
          <w:sz w:val="44"/>
          <w:szCs w:val="44"/>
          <w:lang w:val="zh-CN" w:bidi="ar"/>
        </w:rPr>
        <w:t>报告</w:t>
      </w:r>
    </w:p>
    <w:p>
      <w:pPr>
        <w:adjustRightInd w:val="0"/>
        <w:snapToGrid w:val="0"/>
        <w:spacing w:line="360" w:lineRule="auto"/>
        <w:jc w:val="center"/>
        <w:rPr>
          <w:rFonts w:hint="default" w:asciiTheme="majorEastAsia" w:hAnsiTheme="majorEastAsia" w:eastAsiaTheme="majorEastAsia" w:cstheme="majorEastAsia"/>
          <w:b/>
          <w:sz w:val="44"/>
          <w:szCs w:val="44"/>
          <w:lang w:val="en-US" w:eastAsia="zh-CN"/>
        </w:rPr>
      </w:pPr>
    </w:p>
    <w:p>
      <w:pPr>
        <w:pStyle w:val="7"/>
      </w:pPr>
    </w:p>
    <w:p>
      <w:pPr>
        <w:widowControl/>
        <w:adjustRightInd w:val="0"/>
        <w:snapToGrid w:val="0"/>
        <w:spacing w:before="156" w:beforeLines="50" w:after="156" w:afterLines="50" w:line="360" w:lineRule="auto"/>
        <w:rPr>
          <w:rFonts w:ascii="黑体" w:hAnsi="宋体" w:eastAsia="黑体" w:cs="仿宋"/>
          <w:b/>
          <w:sz w:val="32"/>
          <w:szCs w:val="32"/>
        </w:rPr>
      </w:pPr>
    </w:p>
    <w:p>
      <w:pPr>
        <w:adjustRightInd w:val="0"/>
        <w:snapToGrid w:val="0"/>
        <w:spacing w:line="360" w:lineRule="auto"/>
        <w:jc w:val="both"/>
        <w:rPr>
          <w:rFonts w:ascii="楷体" w:hAnsi="楷体" w:eastAsia="楷体" w:cs="Times New Roman"/>
          <w:b/>
          <w:sz w:val="44"/>
          <w:szCs w:val="44"/>
        </w:rPr>
      </w:pPr>
    </w:p>
    <w:p>
      <w:pPr>
        <w:widowControl/>
        <w:adjustRightInd w:val="0"/>
        <w:snapToGrid w:val="0"/>
        <w:spacing w:before="156" w:beforeLines="50" w:after="156" w:afterLines="50" w:line="360" w:lineRule="auto"/>
        <w:rPr>
          <w:rFonts w:ascii="黑体" w:hAnsi="宋体" w:eastAsia="黑体" w:cs="仿宋"/>
          <w:b/>
          <w:sz w:val="32"/>
          <w:szCs w:val="32"/>
        </w:rPr>
      </w:pPr>
    </w:p>
    <w:p>
      <w:pPr>
        <w:pStyle w:val="2"/>
        <w:rPr>
          <w:rFonts w:ascii="黑体" w:hAnsi="宋体" w:eastAsia="黑体" w:cs="仿宋"/>
          <w:b/>
          <w:sz w:val="32"/>
          <w:szCs w:val="32"/>
        </w:rPr>
      </w:pPr>
    </w:p>
    <w:p>
      <w:pPr>
        <w:pStyle w:val="2"/>
        <w:rPr>
          <w:rFonts w:ascii="黑体" w:hAnsi="宋体" w:eastAsia="黑体" w:cs="仿宋"/>
          <w:b/>
          <w:sz w:val="32"/>
          <w:szCs w:val="32"/>
        </w:rPr>
      </w:pPr>
    </w:p>
    <w:p>
      <w:pPr>
        <w:pStyle w:val="2"/>
        <w:rPr>
          <w:rFonts w:ascii="黑体" w:hAnsi="宋体" w:eastAsia="黑体" w:cs="仿宋"/>
          <w:b/>
          <w:sz w:val="32"/>
          <w:szCs w:val="32"/>
        </w:rPr>
      </w:pPr>
    </w:p>
    <w:p>
      <w:pPr>
        <w:adjustRightInd w:val="0"/>
        <w:snapToGrid w:val="0"/>
        <w:spacing w:line="360" w:lineRule="auto"/>
        <w:jc w:val="center"/>
        <w:outlineLvl w:val="0"/>
        <w:rPr>
          <w:rFonts w:hint="eastAsia" w:ascii="黑体" w:hAnsi="黑体" w:eastAsia="黑体"/>
          <w:sz w:val="32"/>
          <w:lang w:eastAsia="zh-CN"/>
        </w:rPr>
      </w:pPr>
      <w:bookmarkStart w:id="4" w:name="_Toc21665"/>
      <w:r>
        <w:rPr>
          <w:rFonts w:hint="eastAsia" w:ascii="仿宋" w:hAnsi="仿宋" w:eastAsia="仿宋" w:cs="仿宋"/>
          <w:kern w:val="2"/>
          <w:sz w:val="32"/>
          <w:szCs w:val="32"/>
          <w:lang w:val="en-US" w:eastAsia="zh-CN" w:bidi="ar-SA"/>
        </w:rPr>
        <w:t>内蒙古东衡政同咨询管理有限公司</w:t>
      </w:r>
    </w:p>
    <w:p>
      <w:pPr>
        <w:pStyle w:val="2"/>
        <w:rPr>
          <w:rFonts w:hint="eastAsia" w:ascii="黑体" w:hAnsi="黑体" w:eastAsia="黑体"/>
          <w:sz w:val="32"/>
        </w:rPr>
      </w:pPr>
    </w:p>
    <w:p>
      <w:pPr>
        <w:pStyle w:val="2"/>
        <w:rPr>
          <w:rFonts w:hint="eastAsia" w:ascii="黑体" w:hAnsi="黑体" w:eastAsia="黑体"/>
          <w:sz w:val="32"/>
        </w:rPr>
      </w:pPr>
    </w:p>
    <w:p>
      <w:pPr>
        <w:pStyle w:val="2"/>
        <w:rPr>
          <w:rFonts w:hint="eastAsia" w:ascii="黑体" w:hAnsi="黑体" w:eastAsia="黑体"/>
          <w:sz w:val="32"/>
        </w:rPr>
      </w:pPr>
    </w:p>
    <w:p>
      <w:pPr>
        <w:pStyle w:val="2"/>
        <w:rPr>
          <w:rFonts w:hint="eastAsia" w:ascii="黑体" w:hAnsi="黑体" w:eastAsia="黑体"/>
          <w:sz w:val="32"/>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楷体" w:hAnsi="楷体" w:eastAsia="楷体" w:cs="Times New Roman"/>
          <w:b/>
          <w:sz w:val="36"/>
          <w:szCs w:val="36"/>
          <w:lang w:bidi="ar"/>
        </w:rPr>
      </w:pPr>
      <w:r>
        <w:rPr>
          <w:rFonts w:hint="eastAsia" w:ascii="楷体" w:hAnsi="楷体" w:eastAsia="楷体" w:cs="Times New Roman"/>
          <w:b/>
          <w:sz w:val="36"/>
          <w:szCs w:val="36"/>
          <w:lang w:bidi="ar"/>
        </w:rPr>
        <w:t>2022年度乌兰木伦镇人民政府</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黑体" w:hAnsi="宋体" w:eastAsia="黑体" w:cs="Times New Roman"/>
          <w:b/>
          <w:sz w:val="36"/>
          <w:szCs w:val="36"/>
          <w:lang w:val="zh-CN" w:bidi="ar"/>
        </w:rPr>
      </w:pPr>
      <w:r>
        <w:rPr>
          <w:rFonts w:hint="eastAsia" w:ascii="楷体" w:hAnsi="楷体" w:eastAsia="楷体" w:cs="Times New Roman"/>
          <w:b/>
          <w:sz w:val="36"/>
          <w:szCs w:val="36"/>
          <w:lang w:bidi="ar"/>
        </w:rPr>
        <w:t>财政综合运行</w:t>
      </w:r>
      <w:r>
        <w:rPr>
          <w:rFonts w:hint="eastAsia" w:ascii="楷体" w:hAnsi="楷体" w:eastAsia="楷体" w:cs="Times New Roman"/>
          <w:b/>
          <w:sz w:val="36"/>
          <w:szCs w:val="36"/>
          <w:lang w:val="zh-CN" w:bidi="ar"/>
        </w:rPr>
        <w:t>绩效评</w:t>
      </w:r>
      <w:r>
        <w:rPr>
          <w:rFonts w:hint="eastAsia" w:ascii="楷体" w:hAnsi="楷体" w:eastAsia="楷体" w:cs="Times New Roman"/>
          <w:b/>
          <w:sz w:val="36"/>
          <w:szCs w:val="36"/>
          <w:lang w:bidi="ar"/>
        </w:rPr>
        <w:t>价</w:t>
      </w:r>
      <w:r>
        <w:rPr>
          <w:rFonts w:hint="eastAsia" w:ascii="楷体" w:hAnsi="楷体" w:eastAsia="楷体" w:cs="Times New Roman"/>
          <w:b/>
          <w:sz w:val="36"/>
          <w:szCs w:val="36"/>
          <w:lang w:val="zh-CN" w:bidi="ar"/>
        </w:rPr>
        <w:t>报告</w:t>
      </w:r>
    </w:p>
    <w:p>
      <w:pPr>
        <w:adjustRightInd w:val="0"/>
        <w:snapToGrid w:val="0"/>
        <w:spacing w:line="360" w:lineRule="auto"/>
        <w:outlineLvl w:val="0"/>
        <w:rPr>
          <w:rFonts w:hint="eastAsia" w:ascii="黑体" w:hAnsi="黑体" w:eastAsia="黑体"/>
          <w:sz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ascii="黑体" w:hAnsi="黑体" w:eastAsia="黑体"/>
          <w:sz w:val="32"/>
        </w:rPr>
      </w:pPr>
      <w:r>
        <w:rPr>
          <w:rFonts w:hint="eastAsia" w:ascii="黑体" w:hAnsi="黑体" w:eastAsia="黑体"/>
          <w:sz w:val="32"/>
        </w:rPr>
        <w:t>一、基本情况</w:t>
      </w:r>
      <w:bookmarkEnd w:id="4"/>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黑体" w:hAnsi="黑体" w:eastAsia="黑体" w:cstheme="minorBidi"/>
          <w:kern w:val="2"/>
          <w:sz w:val="32"/>
          <w:szCs w:val="22"/>
          <w:lang w:val="en-US" w:eastAsia="zh-CN" w:bidi="ar-SA"/>
        </w:rPr>
      </w:pPr>
      <w:bookmarkStart w:id="5" w:name="_Toc26095"/>
      <w:r>
        <w:rPr>
          <w:rFonts w:hint="eastAsia" w:ascii="楷体" w:eastAsia="楷体"/>
          <w:sz w:val="32"/>
        </w:rPr>
        <w:t>（一）区位概况</w:t>
      </w:r>
      <w:bookmarkEnd w:id="5"/>
    </w:p>
    <w:p>
      <w:pPr>
        <w:pStyle w:val="20"/>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 w:hAnsi="仿宋" w:eastAsia="仿宋" w:cs="仿宋"/>
          <w:sz w:val="32"/>
          <w:szCs w:val="32"/>
        </w:rPr>
      </w:pPr>
      <w:r>
        <w:rPr>
          <w:rFonts w:hint="eastAsia" w:ascii="仿宋" w:hAnsi="仿宋" w:eastAsia="仿宋" w:cs="仿宋"/>
          <w:sz w:val="32"/>
          <w:szCs w:val="32"/>
        </w:rPr>
        <w:t>乌兰木伦镇地处鄂尔多斯市伊金霍洛旗东南部，与陕西省大柳塔试验区隔河相望。全镇总面积726平方公里，镇区规划面积13平方公里，辖16个行政村，108个村民小组，4个社区。驻镇企业和个体工商户2700余家，其中大中型企业180家，小微企业402家，煤矿24个，煤化工企业4</w:t>
      </w:r>
      <w:r>
        <w:rPr>
          <w:rFonts w:hint="eastAsia" w:ascii="仿宋" w:hAnsi="仿宋" w:eastAsia="仿宋" w:cs="仿宋"/>
          <w:sz w:val="32"/>
          <w:szCs w:val="32"/>
          <w:lang w:val="en-US" w:eastAsia="zh-CN"/>
        </w:rPr>
        <w:t>家</w:t>
      </w:r>
      <w:r>
        <w:rPr>
          <w:rFonts w:hint="eastAsia" w:ascii="仿宋" w:hAnsi="仿宋" w:eastAsia="仿宋" w:cs="仿宋"/>
          <w:sz w:val="32"/>
          <w:szCs w:val="32"/>
        </w:rPr>
        <w:t>，加</w:t>
      </w:r>
      <w:r>
        <w:rPr>
          <w:rFonts w:hint="eastAsia" w:ascii="仿宋" w:hAnsi="仿宋" w:eastAsia="仿宋" w:cs="仿宋"/>
          <w:sz w:val="32"/>
          <w:szCs w:val="32"/>
          <w:lang w:eastAsia="zh-CN"/>
        </w:rPr>
        <w:t>气</w:t>
      </w:r>
      <w:r>
        <w:rPr>
          <w:rFonts w:hint="eastAsia" w:ascii="仿宋" w:hAnsi="仿宋" w:eastAsia="仿宋" w:cs="仿宋"/>
          <w:sz w:val="32"/>
          <w:szCs w:val="32"/>
        </w:rPr>
        <w:t>加油站22个，个体工商户2000余</w:t>
      </w:r>
      <w:r>
        <w:rPr>
          <w:rFonts w:hint="eastAsia" w:ascii="仿宋" w:hAnsi="仿宋" w:eastAsia="仿宋" w:cs="仿宋"/>
          <w:sz w:val="32"/>
          <w:szCs w:val="32"/>
          <w:lang w:val="en-US" w:eastAsia="zh-CN"/>
        </w:rPr>
        <w:t>家</w:t>
      </w:r>
      <w:r>
        <w:rPr>
          <w:rFonts w:hint="eastAsia" w:ascii="仿宋" w:hAnsi="仿宋" w:eastAsia="仿宋" w:cs="仿宋"/>
          <w:sz w:val="32"/>
          <w:szCs w:val="32"/>
        </w:rPr>
        <w:t>，企业</w:t>
      </w:r>
      <w:r>
        <w:rPr>
          <w:rFonts w:hint="eastAsia" w:ascii="仿宋" w:hAnsi="仿宋" w:eastAsia="仿宋" w:cs="仿宋"/>
          <w:sz w:val="32"/>
          <w:szCs w:val="32"/>
          <w:lang w:eastAsia="zh-CN"/>
        </w:rPr>
        <w:t>从业</w:t>
      </w:r>
      <w:r>
        <w:rPr>
          <w:rFonts w:hint="eastAsia" w:ascii="仿宋" w:hAnsi="仿宋" w:eastAsia="仿宋" w:cs="仿宋"/>
          <w:sz w:val="32"/>
          <w:szCs w:val="32"/>
        </w:rPr>
        <w:t>人员约5.1万名。2021年全镇村集体经济经营性收入2.48亿元，其中</w:t>
      </w:r>
      <w:r>
        <w:rPr>
          <w:rFonts w:hint="eastAsia" w:ascii="仿宋" w:hAnsi="仿宋" w:eastAsia="仿宋" w:cs="仿宋"/>
          <w:sz w:val="32"/>
          <w:szCs w:val="32"/>
          <w:lang w:val="en-US" w:eastAsia="zh-CN"/>
        </w:rPr>
        <w:t>收入</w:t>
      </w:r>
      <w:r>
        <w:rPr>
          <w:rFonts w:hint="eastAsia" w:ascii="仿宋" w:hAnsi="仿宋" w:eastAsia="仿宋" w:cs="仿宋"/>
          <w:sz w:val="32"/>
          <w:szCs w:val="32"/>
        </w:rPr>
        <w:t>1.5亿元以上的</w:t>
      </w:r>
      <w:r>
        <w:rPr>
          <w:rFonts w:hint="eastAsia" w:ascii="仿宋" w:hAnsi="仿宋" w:eastAsia="仿宋" w:cs="仿宋"/>
          <w:sz w:val="32"/>
          <w:szCs w:val="32"/>
          <w:lang w:val="en-US" w:eastAsia="zh-CN"/>
        </w:rPr>
        <w:t>村集体</w:t>
      </w:r>
      <w:r>
        <w:rPr>
          <w:rFonts w:hint="eastAsia" w:ascii="仿宋" w:hAnsi="仿宋" w:eastAsia="仿宋" w:cs="仿宋"/>
          <w:sz w:val="32"/>
          <w:szCs w:val="32"/>
        </w:rPr>
        <w:t>1个、500万元以上的</w:t>
      </w:r>
      <w:r>
        <w:rPr>
          <w:rFonts w:hint="eastAsia" w:ascii="仿宋" w:hAnsi="仿宋" w:eastAsia="仿宋" w:cs="仿宋"/>
          <w:sz w:val="32"/>
          <w:szCs w:val="32"/>
          <w:lang w:val="en-US" w:eastAsia="zh-CN"/>
        </w:rPr>
        <w:t>村集体</w:t>
      </w:r>
      <w:r>
        <w:rPr>
          <w:rFonts w:hint="eastAsia" w:ascii="仿宋" w:hAnsi="仿宋" w:eastAsia="仿宋" w:cs="仿宋"/>
          <w:sz w:val="32"/>
          <w:szCs w:val="32"/>
        </w:rPr>
        <w:t>2个、200万元以上的</w:t>
      </w:r>
      <w:r>
        <w:rPr>
          <w:rFonts w:hint="eastAsia" w:ascii="仿宋" w:hAnsi="仿宋" w:eastAsia="仿宋" w:cs="仿宋"/>
          <w:sz w:val="32"/>
          <w:szCs w:val="32"/>
          <w:lang w:val="en-US" w:eastAsia="zh-CN"/>
        </w:rPr>
        <w:t>村集体</w:t>
      </w:r>
      <w:r>
        <w:rPr>
          <w:rFonts w:hint="eastAsia" w:ascii="仿宋" w:hAnsi="仿宋" w:eastAsia="仿宋" w:cs="仿宋"/>
          <w:sz w:val="32"/>
          <w:szCs w:val="32"/>
        </w:rPr>
        <w:t>2个，其他村集体经营性收入均达到10万元以上。2018年8月，乌兰木伦镇成功获批全国经济发达镇行政管理体制改革试点地区，并先后获“全国文明村镇”“全区十佳星级文明镇”“全区小城镇建设先进单位”“全国环境优美乡镇”“中国绿色名镇”“自治区卫生镇”“自治区先进基层党组织”等荣誉称号。</w:t>
      </w:r>
    </w:p>
    <w:p>
      <w:pPr>
        <w:pStyle w:val="20"/>
        <w:keepNext w:val="0"/>
        <w:keepLines w:val="0"/>
        <w:pageBreakBefore w:val="0"/>
        <w:widowControl w:val="0"/>
        <w:kinsoku/>
        <w:wordWrap/>
        <w:overflowPunct/>
        <w:topLinePunct w:val="0"/>
        <w:autoSpaceDE/>
        <w:autoSpaceDN/>
        <w:bidi w:val="0"/>
        <w:adjustRightInd w:val="0"/>
        <w:snapToGrid w:val="0"/>
        <w:spacing w:line="560" w:lineRule="exact"/>
        <w:ind w:left="640" w:firstLine="0" w:firstLineChars="0"/>
        <w:textAlignment w:val="auto"/>
        <w:outlineLvl w:val="1"/>
        <w:rPr>
          <w:rFonts w:hint="eastAsia" w:ascii="楷体" w:eastAsia="楷体" w:hAnsiTheme="minorHAnsi" w:cstheme="minorBidi"/>
          <w:kern w:val="2"/>
          <w:sz w:val="32"/>
          <w:szCs w:val="22"/>
          <w:lang w:val="en-US" w:eastAsia="zh-CN" w:bidi="ar-SA"/>
        </w:rPr>
      </w:pPr>
      <w:bookmarkStart w:id="6" w:name="_Toc31184"/>
      <w:r>
        <w:rPr>
          <w:rFonts w:hint="eastAsia" w:ascii="楷体" w:eastAsia="楷体" w:hAnsiTheme="minorHAnsi" w:cstheme="minorBidi"/>
          <w:kern w:val="2"/>
          <w:sz w:val="32"/>
          <w:szCs w:val="22"/>
          <w:lang w:val="en-US" w:eastAsia="zh-CN" w:bidi="ar-SA"/>
        </w:rPr>
        <w:t>（二）财政运行基本情况</w:t>
      </w:r>
      <w:bookmarkEnd w:id="6"/>
    </w:p>
    <w:p>
      <w:pPr>
        <w:pStyle w:val="20"/>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 w:hAnsi="仿宋" w:eastAsia="仿宋" w:cs="仿宋"/>
          <w:sz w:val="32"/>
          <w:szCs w:val="32"/>
        </w:rPr>
      </w:pPr>
      <w:r>
        <w:rPr>
          <w:rFonts w:hint="eastAsia" w:ascii="仿宋" w:hAnsi="仿宋" w:eastAsia="仿宋" w:cs="仿宋"/>
          <w:sz w:val="32"/>
          <w:szCs w:val="32"/>
        </w:rPr>
        <w:t>2022年度乌兰木伦镇财政拨款收入79473.23万元，包括一般公共预算财政拨款77803.41万元，政府性基金预算财政拨款1669.82万元。截至2022年12月31日，乌兰木伦镇</w:t>
      </w:r>
      <w:r>
        <w:rPr>
          <w:rFonts w:hint="eastAsia" w:ascii="仿宋" w:hAnsi="仿宋" w:eastAsia="仿宋" w:cs="仿宋"/>
          <w:sz w:val="32"/>
          <w:szCs w:val="32"/>
          <w:lang w:val="en-US" w:eastAsia="zh-CN"/>
        </w:rPr>
        <w:t>财政拨款支出合计</w:t>
      </w:r>
      <w:r>
        <w:rPr>
          <w:rFonts w:hint="eastAsia" w:ascii="仿宋" w:hAnsi="仿宋" w:eastAsia="仿宋" w:cs="仿宋"/>
          <w:sz w:val="32"/>
          <w:szCs w:val="32"/>
        </w:rPr>
        <w:t>79473.23万元，预算执行率100%。</w:t>
      </w:r>
    </w:p>
    <w:p>
      <w:pPr>
        <w:pStyle w:val="20"/>
        <w:adjustRightInd w:val="0"/>
        <w:snapToGrid w:val="0"/>
        <w:spacing w:line="360" w:lineRule="auto"/>
        <w:ind w:firstLine="480"/>
        <w:jc w:val="center"/>
        <w:rPr>
          <w:rFonts w:hint="eastAsia" w:ascii="黑体" w:hAnsi="黑体" w:eastAsia="黑体"/>
          <w:sz w:val="24"/>
          <w:szCs w:val="24"/>
        </w:rPr>
      </w:pPr>
    </w:p>
    <w:p>
      <w:pPr>
        <w:pStyle w:val="20"/>
        <w:adjustRightInd w:val="0"/>
        <w:snapToGrid w:val="0"/>
        <w:spacing w:line="360" w:lineRule="auto"/>
        <w:ind w:firstLine="480"/>
        <w:jc w:val="center"/>
        <w:rPr>
          <w:rFonts w:ascii="仿宋_GB2312" w:hAnsi="仿宋_GB2312" w:eastAsia="仿宋_GB2312" w:cs="仿宋_GB2312"/>
          <w:sz w:val="32"/>
          <w:szCs w:val="32"/>
        </w:rPr>
      </w:pPr>
      <w:r>
        <w:rPr>
          <w:rFonts w:hint="eastAsia" w:ascii="黑体" w:hAnsi="黑体" w:eastAsia="黑体"/>
          <w:sz w:val="24"/>
          <w:szCs w:val="24"/>
        </w:rPr>
        <w:t>表1 2020年-2022年财政收支情况对比表</w:t>
      </w:r>
    </w:p>
    <w:p>
      <w:pPr>
        <w:pStyle w:val="2"/>
        <w:adjustRightInd w:val="0"/>
        <w:snapToGrid w:val="0"/>
        <w:spacing w:after="0" w:line="360" w:lineRule="auto"/>
        <w:jc w:val="right"/>
        <w:rPr>
          <w:rFonts w:ascii="宋体" w:hAnsi="宋体" w:eastAsia="宋体" w:cs="宋体"/>
          <w:szCs w:val="24"/>
        </w:rPr>
      </w:pPr>
      <w:r>
        <w:rPr>
          <w:rFonts w:hint="eastAsia" w:ascii="宋体" w:hAnsi="宋体" w:eastAsia="宋体" w:cs="宋体"/>
          <w:szCs w:val="24"/>
        </w:rPr>
        <w:t>单位：万元</w:t>
      </w:r>
    </w:p>
    <w:tbl>
      <w:tblPr>
        <w:tblStyle w:val="15"/>
        <w:tblW w:w="8736" w:type="dxa"/>
        <w:jc w:val="center"/>
        <w:tblLayout w:type="fixed"/>
        <w:tblCellMar>
          <w:top w:w="0" w:type="dxa"/>
          <w:left w:w="108" w:type="dxa"/>
          <w:bottom w:w="0" w:type="dxa"/>
          <w:right w:w="108" w:type="dxa"/>
        </w:tblCellMar>
      </w:tblPr>
      <w:tblGrid>
        <w:gridCol w:w="808"/>
        <w:gridCol w:w="3253"/>
        <w:gridCol w:w="1179"/>
        <w:gridCol w:w="1153"/>
        <w:gridCol w:w="1134"/>
        <w:gridCol w:w="1209"/>
      </w:tblGrid>
      <w:tr>
        <w:tblPrEx>
          <w:tblCellMar>
            <w:top w:w="0" w:type="dxa"/>
            <w:left w:w="108" w:type="dxa"/>
            <w:bottom w:w="0" w:type="dxa"/>
            <w:right w:w="108" w:type="dxa"/>
          </w:tblCellMar>
        </w:tblPrEx>
        <w:trPr>
          <w:trHeight w:val="397" w:hRule="atLeast"/>
          <w:tblHeader/>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收支</w:t>
            </w:r>
          </w:p>
        </w:tc>
        <w:tc>
          <w:tcPr>
            <w:tcW w:w="3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类别</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2020年</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2021年</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2022年</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kern w:val="0"/>
                <w:szCs w:val="21"/>
                <w:lang w:bidi="ar"/>
              </w:rPr>
            </w:pPr>
            <w:r>
              <w:rPr>
                <w:rFonts w:hint="eastAsia" w:ascii="宋体" w:hAnsi="宋体" w:eastAsia="宋体" w:cs="宋体"/>
                <w:b/>
                <w:bCs/>
                <w:kern w:val="0"/>
                <w:szCs w:val="21"/>
                <w:lang w:bidi="ar"/>
              </w:rPr>
              <w:t>增长率</w:t>
            </w:r>
          </w:p>
        </w:tc>
      </w:tr>
      <w:tr>
        <w:tblPrEx>
          <w:tblCellMar>
            <w:top w:w="0" w:type="dxa"/>
            <w:left w:w="108" w:type="dxa"/>
            <w:bottom w:w="0" w:type="dxa"/>
            <w:right w:w="108" w:type="dxa"/>
          </w:tblCellMar>
        </w:tblPrEx>
        <w:trPr>
          <w:trHeight w:val="397" w:hRule="atLeast"/>
          <w:jc w:val="center"/>
        </w:trPr>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收入额度</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一般公共预算财政拨款</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Cs w:val="21"/>
              </w:rPr>
            </w:pPr>
            <w:r>
              <w:rPr>
                <w:rFonts w:hint="eastAsia" w:ascii="宋体" w:hAnsi="宋体" w:eastAsia="宋体" w:cs="宋体"/>
                <w:szCs w:val="21"/>
              </w:rPr>
              <w:t>15449.75</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Cs w:val="21"/>
              </w:rPr>
            </w:pPr>
            <w:r>
              <w:rPr>
                <w:rFonts w:hint="eastAsia" w:ascii="宋体" w:hAnsi="宋体" w:eastAsia="宋体" w:cs="宋体"/>
                <w:kern w:val="0"/>
                <w:szCs w:val="21"/>
                <w:lang w:bidi="ar"/>
              </w:rPr>
              <w:t xml:space="preserve">30052.46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Cs w:val="21"/>
              </w:rPr>
            </w:pPr>
            <w:r>
              <w:rPr>
                <w:rFonts w:hint="eastAsia" w:ascii="宋体" w:hAnsi="宋体" w:eastAsia="宋体" w:cs="宋体"/>
                <w:kern w:val="0"/>
                <w:szCs w:val="21"/>
                <w:lang w:bidi="ar"/>
              </w:rPr>
              <w:t xml:space="preserve">77803.41 </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kern w:val="0"/>
                <w:szCs w:val="21"/>
                <w:lang w:bidi="ar"/>
              </w:rPr>
            </w:pPr>
            <w:r>
              <w:rPr>
                <w:rFonts w:hint="eastAsia" w:ascii="宋体" w:hAnsi="宋体" w:eastAsia="宋体" w:cs="宋体"/>
                <w:kern w:val="0"/>
                <w:szCs w:val="21"/>
                <w:lang w:bidi="ar"/>
              </w:rPr>
              <w:t>403.59%</w:t>
            </w:r>
          </w:p>
        </w:tc>
      </w:tr>
      <w:tr>
        <w:tblPrEx>
          <w:tblCellMar>
            <w:top w:w="0" w:type="dxa"/>
            <w:left w:w="108" w:type="dxa"/>
            <w:bottom w:w="0" w:type="dxa"/>
            <w:right w:w="108" w:type="dxa"/>
          </w:tblCellMar>
        </w:tblPrEx>
        <w:trPr>
          <w:trHeight w:val="397" w:hRule="atLeast"/>
          <w:jc w:val="center"/>
        </w:trPr>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szCs w:val="21"/>
              </w:rPr>
            </w:pP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政府性基金预算财政拨款</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Cs w:val="21"/>
              </w:rPr>
            </w:pPr>
            <w:r>
              <w:rPr>
                <w:rFonts w:hint="eastAsia" w:ascii="宋体" w:hAnsi="宋体" w:eastAsia="宋体" w:cs="宋体"/>
                <w:szCs w:val="21"/>
              </w:rPr>
              <w:t>1291.54</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Cs w:val="21"/>
              </w:rPr>
            </w:pPr>
            <w:r>
              <w:rPr>
                <w:rFonts w:hint="eastAsia" w:ascii="宋体" w:hAnsi="宋体" w:eastAsia="宋体" w:cs="宋体"/>
                <w:kern w:val="0"/>
                <w:szCs w:val="21"/>
                <w:lang w:bidi="ar"/>
              </w:rPr>
              <w:t xml:space="preserve">3509.62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Cs w:val="21"/>
              </w:rPr>
            </w:pPr>
            <w:r>
              <w:rPr>
                <w:rFonts w:hint="eastAsia" w:ascii="宋体" w:hAnsi="宋体" w:eastAsia="宋体" w:cs="宋体"/>
                <w:kern w:val="0"/>
                <w:szCs w:val="21"/>
                <w:lang w:bidi="ar"/>
              </w:rPr>
              <w:t xml:space="preserve">1669.82 </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kern w:val="0"/>
                <w:szCs w:val="21"/>
                <w:lang w:bidi="ar"/>
              </w:rPr>
            </w:pPr>
            <w:r>
              <w:rPr>
                <w:rFonts w:hint="eastAsia" w:ascii="宋体" w:hAnsi="宋体" w:eastAsia="宋体" w:cs="宋体"/>
                <w:kern w:val="0"/>
                <w:szCs w:val="21"/>
                <w:lang w:bidi="ar"/>
              </w:rPr>
              <w:t>29.29%</w:t>
            </w:r>
          </w:p>
        </w:tc>
      </w:tr>
      <w:tr>
        <w:tblPrEx>
          <w:tblCellMar>
            <w:top w:w="0" w:type="dxa"/>
            <w:left w:w="108" w:type="dxa"/>
            <w:bottom w:w="0" w:type="dxa"/>
            <w:right w:w="108" w:type="dxa"/>
          </w:tblCellMar>
        </w:tblPrEx>
        <w:trPr>
          <w:trHeight w:val="397" w:hRule="atLeast"/>
          <w:jc w:val="center"/>
        </w:trPr>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szCs w:val="21"/>
              </w:rPr>
            </w:pP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国有资本经营预算财政拨款收入</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Cs w:val="21"/>
              </w:rPr>
            </w:pPr>
            <w:r>
              <w:rPr>
                <w:rFonts w:hint="eastAsia" w:ascii="宋体" w:hAnsi="宋体" w:eastAsia="宋体" w:cs="宋体"/>
                <w:kern w:val="0"/>
                <w:szCs w:val="21"/>
                <w:lang w:bidi="ar"/>
              </w:rPr>
              <w:t>0.00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Cs w:val="21"/>
              </w:rPr>
            </w:pPr>
            <w:r>
              <w:rPr>
                <w:rFonts w:hint="eastAsia" w:ascii="宋体" w:hAnsi="宋体" w:eastAsia="宋体" w:cs="宋体"/>
                <w:kern w:val="0"/>
                <w:szCs w:val="21"/>
                <w:lang w:bidi="ar"/>
              </w:rPr>
              <w:t xml:space="preserve">23.20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Cs w:val="21"/>
              </w:rPr>
            </w:pPr>
            <w:r>
              <w:rPr>
                <w:rFonts w:hint="eastAsia" w:ascii="宋体" w:hAnsi="宋体" w:eastAsia="宋体" w:cs="宋体"/>
                <w:kern w:val="0"/>
                <w:szCs w:val="21"/>
                <w:lang w:bidi="ar"/>
              </w:rPr>
              <w:t xml:space="preserve">0.00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kern w:val="0"/>
                <w:szCs w:val="21"/>
                <w:lang w:bidi="ar"/>
              </w:rPr>
            </w:pPr>
            <w:r>
              <w:rPr>
                <w:rFonts w:hint="eastAsia" w:ascii="宋体" w:hAnsi="宋体" w:eastAsia="宋体" w:cs="宋体"/>
                <w:kern w:val="0"/>
                <w:szCs w:val="21"/>
                <w:lang w:bidi="ar"/>
              </w:rPr>
              <w:t>0.00%</w:t>
            </w:r>
          </w:p>
        </w:tc>
      </w:tr>
      <w:tr>
        <w:tblPrEx>
          <w:tblCellMar>
            <w:top w:w="0" w:type="dxa"/>
            <w:left w:w="108" w:type="dxa"/>
            <w:bottom w:w="0" w:type="dxa"/>
            <w:right w:w="108" w:type="dxa"/>
          </w:tblCellMar>
        </w:tblPrEx>
        <w:trPr>
          <w:trHeight w:val="397" w:hRule="atLeast"/>
          <w:jc w:val="center"/>
        </w:trPr>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szCs w:val="21"/>
              </w:rPr>
            </w:pP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年初财政拨款结转和结余</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Cs w:val="21"/>
              </w:rPr>
            </w:pPr>
            <w:r>
              <w:rPr>
                <w:rFonts w:hint="eastAsia" w:ascii="宋体" w:hAnsi="宋体" w:eastAsia="宋体" w:cs="宋体"/>
                <w:szCs w:val="21"/>
              </w:rPr>
              <w:t>1608.00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Cs w:val="21"/>
              </w:rPr>
            </w:pPr>
            <w:r>
              <w:rPr>
                <w:rFonts w:hint="eastAsia" w:ascii="宋体" w:hAnsi="宋体" w:eastAsia="宋体" w:cs="宋体"/>
                <w:kern w:val="0"/>
                <w:szCs w:val="21"/>
                <w:lang w:bidi="ar"/>
              </w:rPr>
              <w:t xml:space="preserve">7.77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Cs w:val="21"/>
              </w:rPr>
            </w:pPr>
            <w:r>
              <w:rPr>
                <w:rFonts w:hint="eastAsia" w:ascii="宋体" w:hAnsi="宋体" w:eastAsia="宋体" w:cs="宋体"/>
                <w:kern w:val="0"/>
                <w:szCs w:val="21"/>
                <w:lang w:bidi="ar"/>
              </w:rPr>
              <w:t xml:space="preserve">0.00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kern w:val="0"/>
                <w:szCs w:val="21"/>
                <w:lang w:bidi="ar"/>
              </w:rPr>
            </w:pPr>
            <w:r>
              <w:rPr>
                <w:rFonts w:hint="eastAsia" w:ascii="宋体" w:hAnsi="宋体" w:eastAsia="宋体" w:cs="宋体"/>
                <w:kern w:val="0"/>
                <w:szCs w:val="21"/>
                <w:lang w:bidi="ar"/>
              </w:rPr>
              <w:t>-100.00%</w:t>
            </w:r>
          </w:p>
        </w:tc>
      </w:tr>
      <w:tr>
        <w:tblPrEx>
          <w:tblCellMar>
            <w:top w:w="0" w:type="dxa"/>
            <w:left w:w="108" w:type="dxa"/>
            <w:bottom w:w="0" w:type="dxa"/>
            <w:right w:w="108" w:type="dxa"/>
          </w:tblCellMar>
        </w:tblPrEx>
        <w:trPr>
          <w:trHeight w:val="397" w:hRule="atLeast"/>
          <w:jc w:val="center"/>
        </w:trPr>
        <w:tc>
          <w:tcPr>
            <w:tcW w:w="40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小计</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b/>
                <w:bCs/>
                <w:szCs w:val="21"/>
              </w:rPr>
            </w:pPr>
            <w:r>
              <w:rPr>
                <w:rFonts w:hint="eastAsia" w:ascii="宋体" w:hAnsi="宋体" w:eastAsia="宋体" w:cs="宋体"/>
                <w:b/>
                <w:bCs/>
                <w:szCs w:val="21"/>
              </w:rPr>
              <w:t>18349.29</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szCs w:val="21"/>
              </w:rPr>
            </w:pPr>
            <w:r>
              <w:rPr>
                <w:rFonts w:hint="eastAsia" w:ascii="宋体" w:hAnsi="宋体" w:eastAsia="宋体" w:cs="宋体"/>
                <w:b/>
                <w:bCs/>
                <w:kern w:val="0"/>
                <w:szCs w:val="21"/>
                <w:lang w:bidi="ar"/>
              </w:rPr>
              <w:t xml:space="preserve">33593.05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szCs w:val="21"/>
              </w:rPr>
            </w:pPr>
            <w:r>
              <w:rPr>
                <w:rFonts w:hint="eastAsia" w:ascii="宋体" w:hAnsi="宋体" w:eastAsia="宋体" w:cs="宋体"/>
                <w:b/>
                <w:bCs/>
                <w:kern w:val="0"/>
                <w:szCs w:val="21"/>
                <w:lang w:bidi="ar"/>
              </w:rPr>
              <w:t xml:space="preserve">79473.23 </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kern w:val="0"/>
                <w:szCs w:val="21"/>
                <w:lang w:bidi="ar"/>
              </w:rPr>
            </w:pPr>
            <w:r>
              <w:rPr>
                <w:rFonts w:hint="eastAsia" w:ascii="宋体" w:hAnsi="宋体" w:eastAsia="宋体" w:cs="宋体"/>
                <w:b/>
                <w:bCs/>
                <w:kern w:val="0"/>
                <w:szCs w:val="21"/>
                <w:lang w:bidi="ar"/>
              </w:rPr>
              <w:t>333.11%</w:t>
            </w:r>
          </w:p>
        </w:tc>
      </w:tr>
      <w:tr>
        <w:tblPrEx>
          <w:tblCellMar>
            <w:top w:w="0" w:type="dxa"/>
            <w:left w:w="108" w:type="dxa"/>
            <w:bottom w:w="0" w:type="dxa"/>
            <w:right w:w="108" w:type="dxa"/>
          </w:tblCellMar>
        </w:tblPrEx>
        <w:trPr>
          <w:trHeight w:val="397" w:hRule="atLeast"/>
          <w:jc w:val="center"/>
        </w:trPr>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支出额度</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一般公共预算财政拨款</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Cs w:val="21"/>
              </w:rPr>
            </w:pPr>
            <w:r>
              <w:rPr>
                <w:rFonts w:hint="eastAsia" w:ascii="宋体" w:hAnsi="宋体" w:eastAsia="宋体" w:cs="宋体"/>
                <w:szCs w:val="21"/>
              </w:rPr>
              <w:t>17057.75</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Cs w:val="21"/>
              </w:rPr>
            </w:pPr>
            <w:r>
              <w:rPr>
                <w:rFonts w:hint="eastAsia" w:ascii="宋体" w:hAnsi="宋体" w:eastAsia="宋体" w:cs="宋体"/>
                <w:kern w:val="0"/>
                <w:szCs w:val="21"/>
                <w:lang w:bidi="ar"/>
              </w:rPr>
              <w:t xml:space="preserve">30060.23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Cs w:val="21"/>
              </w:rPr>
            </w:pPr>
            <w:r>
              <w:rPr>
                <w:rFonts w:hint="eastAsia" w:ascii="宋体" w:hAnsi="宋体" w:eastAsia="宋体" w:cs="宋体"/>
                <w:kern w:val="0"/>
                <w:szCs w:val="21"/>
                <w:lang w:bidi="ar"/>
              </w:rPr>
              <w:t xml:space="preserve">77803.41 </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kern w:val="0"/>
                <w:szCs w:val="21"/>
                <w:lang w:bidi="ar"/>
              </w:rPr>
            </w:pPr>
            <w:r>
              <w:rPr>
                <w:rFonts w:hint="eastAsia" w:ascii="宋体" w:hAnsi="宋体" w:eastAsia="宋体" w:cs="宋体"/>
                <w:kern w:val="0"/>
                <w:szCs w:val="21"/>
                <w:lang w:bidi="ar"/>
              </w:rPr>
              <w:t>356.12%</w:t>
            </w:r>
          </w:p>
        </w:tc>
      </w:tr>
      <w:tr>
        <w:tblPrEx>
          <w:tblCellMar>
            <w:top w:w="0" w:type="dxa"/>
            <w:left w:w="108" w:type="dxa"/>
            <w:bottom w:w="0" w:type="dxa"/>
            <w:right w:w="108" w:type="dxa"/>
          </w:tblCellMar>
        </w:tblPrEx>
        <w:trPr>
          <w:trHeight w:val="397" w:hRule="atLeast"/>
          <w:jc w:val="center"/>
        </w:trPr>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szCs w:val="21"/>
              </w:rPr>
            </w:pP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政府性基金预算财政拨款</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Cs w:val="21"/>
              </w:rPr>
            </w:pPr>
            <w:r>
              <w:rPr>
                <w:rFonts w:hint="eastAsia" w:ascii="宋体" w:hAnsi="宋体" w:eastAsia="宋体" w:cs="宋体"/>
                <w:szCs w:val="21"/>
              </w:rPr>
              <w:t>1291.54</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Cs w:val="21"/>
              </w:rPr>
            </w:pPr>
            <w:r>
              <w:rPr>
                <w:rFonts w:hint="eastAsia" w:ascii="宋体" w:hAnsi="宋体" w:eastAsia="宋体" w:cs="宋体"/>
                <w:kern w:val="0"/>
                <w:szCs w:val="21"/>
                <w:lang w:bidi="ar"/>
              </w:rPr>
              <w:t xml:space="preserve">3509.62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Cs w:val="21"/>
              </w:rPr>
            </w:pPr>
            <w:r>
              <w:rPr>
                <w:rFonts w:hint="eastAsia" w:ascii="宋体" w:hAnsi="宋体" w:eastAsia="宋体" w:cs="宋体"/>
                <w:kern w:val="0"/>
                <w:szCs w:val="21"/>
                <w:lang w:bidi="ar"/>
              </w:rPr>
              <w:t xml:space="preserve">1669.82 </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kern w:val="0"/>
                <w:szCs w:val="21"/>
                <w:lang w:bidi="ar"/>
              </w:rPr>
            </w:pPr>
            <w:r>
              <w:rPr>
                <w:rFonts w:hint="eastAsia" w:ascii="宋体" w:hAnsi="宋体" w:eastAsia="宋体" w:cs="宋体"/>
                <w:kern w:val="0"/>
                <w:szCs w:val="21"/>
                <w:lang w:bidi="ar"/>
              </w:rPr>
              <w:t>29.29%</w:t>
            </w:r>
          </w:p>
        </w:tc>
      </w:tr>
      <w:tr>
        <w:tblPrEx>
          <w:tblCellMar>
            <w:top w:w="0" w:type="dxa"/>
            <w:left w:w="108" w:type="dxa"/>
            <w:bottom w:w="0" w:type="dxa"/>
            <w:right w:w="108" w:type="dxa"/>
          </w:tblCellMar>
        </w:tblPrEx>
        <w:trPr>
          <w:trHeight w:val="397" w:hRule="atLeast"/>
          <w:jc w:val="center"/>
        </w:trPr>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szCs w:val="21"/>
              </w:rPr>
            </w:pP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国有资本经营预算财政拨款收入</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szCs w:val="21"/>
              </w:rPr>
            </w:pPr>
            <w:r>
              <w:rPr>
                <w:rFonts w:hint="eastAsia" w:ascii="宋体" w:hAnsi="宋体" w:eastAsia="宋体" w:cs="宋体"/>
                <w:kern w:val="0"/>
                <w:szCs w:val="21"/>
                <w:lang w:bidi="ar"/>
              </w:rPr>
              <w:t>0.00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Cs w:val="21"/>
              </w:rPr>
            </w:pPr>
            <w:r>
              <w:rPr>
                <w:rFonts w:hint="eastAsia" w:ascii="宋体" w:hAnsi="宋体" w:eastAsia="宋体" w:cs="宋体"/>
                <w:kern w:val="0"/>
                <w:szCs w:val="21"/>
                <w:lang w:bidi="ar"/>
              </w:rPr>
              <w:t xml:space="preserve">23.20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szCs w:val="21"/>
              </w:rPr>
            </w:pPr>
            <w:r>
              <w:rPr>
                <w:rFonts w:hint="eastAsia" w:ascii="宋体" w:hAnsi="宋体" w:eastAsia="宋体" w:cs="宋体"/>
                <w:kern w:val="0"/>
                <w:szCs w:val="21"/>
                <w:lang w:bidi="ar"/>
              </w:rPr>
              <w:t xml:space="preserve">0.00 </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kern w:val="0"/>
                <w:szCs w:val="21"/>
                <w:lang w:bidi="ar"/>
              </w:rPr>
            </w:pPr>
            <w:r>
              <w:rPr>
                <w:rFonts w:hint="eastAsia" w:ascii="宋体" w:hAnsi="宋体" w:eastAsia="宋体" w:cs="宋体"/>
                <w:kern w:val="0"/>
                <w:szCs w:val="21"/>
                <w:lang w:bidi="ar"/>
              </w:rPr>
              <w:t>0.00%</w:t>
            </w:r>
          </w:p>
        </w:tc>
      </w:tr>
      <w:tr>
        <w:tblPrEx>
          <w:tblCellMar>
            <w:top w:w="0" w:type="dxa"/>
            <w:left w:w="108" w:type="dxa"/>
            <w:bottom w:w="0" w:type="dxa"/>
            <w:right w:w="108" w:type="dxa"/>
          </w:tblCellMar>
        </w:tblPrEx>
        <w:trPr>
          <w:trHeight w:val="397" w:hRule="atLeast"/>
          <w:jc w:val="center"/>
        </w:trPr>
        <w:tc>
          <w:tcPr>
            <w:tcW w:w="40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小计</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b/>
                <w:bCs/>
                <w:szCs w:val="21"/>
              </w:rPr>
            </w:pPr>
            <w:r>
              <w:rPr>
                <w:rFonts w:hint="eastAsia" w:ascii="宋体" w:hAnsi="宋体" w:eastAsia="宋体" w:cs="宋体"/>
                <w:b/>
                <w:bCs/>
                <w:szCs w:val="21"/>
              </w:rPr>
              <w:t>18349.29</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szCs w:val="21"/>
              </w:rPr>
            </w:pPr>
            <w:r>
              <w:rPr>
                <w:rFonts w:hint="eastAsia" w:ascii="宋体" w:hAnsi="宋体" w:eastAsia="宋体" w:cs="宋体"/>
                <w:b/>
                <w:bCs/>
                <w:kern w:val="0"/>
                <w:szCs w:val="21"/>
                <w:lang w:bidi="ar"/>
              </w:rPr>
              <w:t xml:space="preserve">33593.05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szCs w:val="21"/>
              </w:rPr>
            </w:pPr>
            <w:r>
              <w:rPr>
                <w:rFonts w:hint="eastAsia" w:ascii="宋体" w:hAnsi="宋体" w:eastAsia="宋体" w:cs="宋体"/>
                <w:b/>
                <w:bCs/>
                <w:kern w:val="0"/>
                <w:szCs w:val="21"/>
                <w:lang w:bidi="ar"/>
              </w:rPr>
              <w:t xml:space="preserve">79473.23 </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kern w:val="0"/>
                <w:szCs w:val="21"/>
                <w:lang w:bidi="ar"/>
              </w:rPr>
            </w:pPr>
            <w:r>
              <w:rPr>
                <w:rFonts w:hint="eastAsia" w:ascii="宋体" w:hAnsi="宋体" w:eastAsia="宋体" w:cs="宋体"/>
                <w:b/>
                <w:bCs/>
                <w:kern w:val="0"/>
                <w:szCs w:val="21"/>
                <w:lang w:bidi="ar"/>
              </w:rPr>
              <w:t>333.11%</w:t>
            </w:r>
          </w:p>
        </w:tc>
      </w:tr>
    </w:tbl>
    <w:p>
      <w:pPr>
        <w:pStyle w:val="20"/>
        <w:adjustRightInd w:val="0"/>
        <w:snapToGrid w:val="0"/>
        <w:ind w:left="420" w:leftChars="200" w:firstLine="0" w:firstLineChars="0"/>
        <w:rPr>
          <w:rFonts w:hint="eastAsia" w:ascii="黑体" w:hAnsi="黑体" w:eastAsia="黑体" w:cs="Arial"/>
          <w:b w:val="0"/>
          <w:bCs/>
          <w:kern w:val="0"/>
          <w:sz w:val="21"/>
          <w:szCs w:val="21"/>
          <w:lang w:val="en-US" w:eastAsia="zh-CN" w:bidi="ar-SA"/>
        </w:rPr>
      </w:pPr>
      <w:r>
        <w:rPr>
          <w:rFonts w:hint="eastAsia" w:ascii="黑体" w:hAnsi="黑体" w:eastAsia="黑体" w:cs="Arial"/>
          <w:b w:val="0"/>
          <w:bCs/>
          <w:kern w:val="0"/>
          <w:sz w:val="21"/>
          <w:szCs w:val="21"/>
          <w:lang w:val="en-US" w:eastAsia="zh-CN" w:bidi="ar-SA"/>
        </w:rPr>
        <w:t>注：表中2021年年初财政拨款结转和结余7.77万元实际为存量资金，应旗财政统一要求，在决算表中记为年初财政拨款结转和结余。</w:t>
      </w:r>
    </w:p>
    <w:p>
      <w:pPr>
        <w:pStyle w:val="20"/>
        <w:keepNext w:val="0"/>
        <w:keepLines w:val="0"/>
        <w:pageBreakBefore w:val="0"/>
        <w:widowControl w:val="0"/>
        <w:kinsoku/>
        <w:wordWrap/>
        <w:overflowPunct/>
        <w:topLinePunct w:val="0"/>
        <w:autoSpaceDE/>
        <w:autoSpaceDN/>
        <w:bidi w:val="0"/>
        <w:spacing w:line="560" w:lineRule="exact"/>
        <w:ind w:left="640" w:firstLine="0" w:firstLineChars="0"/>
        <w:textAlignment w:val="auto"/>
        <w:outlineLvl w:val="1"/>
        <w:rPr>
          <w:rFonts w:hint="eastAsia" w:ascii="楷体" w:eastAsia="楷体" w:hAnsiTheme="minorHAnsi" w:cstheme="minorBidi"/>
          <w:kern w:val="2"/>
          <w:sz w:val="32"/>
          <w:szCs w:val="22"/>
          <w:lang w:val="en-US" w:eastAsia="zh-CN" w:bidi="ar-SA"/>
        </w:rPr>
      </w:pPr>
      <w:bookmarkStart w:id="7" w:name="_Toc12480"/>
      <w:r>
        <w:rPr>
          <w:rFonts w:hint="eastAsia" w:ascii="楷体" w:eastAsia="楷体" w:hAnsiTheme="minorHAnsi" w:cstheme="minorBidi"/>
          <w:kern w:val="2"/>
          <w:sz w:val="32"/>
          <w:szCs w:val="22"/>
          <w:lang w:val="en-US" w:eastAsia="zh-CN" w:bidi="ar-SA"/>
        </w:rPr>
        <w:t>（三）组织架构及职责</w:t>
      </w:r>
      <w:bookmarkEnd w:id="7"/>
    </w:p>
    <w:p>
      <w:pPr>
        <w:pStyle w:val="20"/>
        <w:keepNext w:val="0"/>
        <w:keepLines w:val="0"/>
        <w:pageBreakBefore w:val="0"/>
        <w:widowControl w:val="0"/>
        <w:kinsoku/>
        <w:wordWrap/>
        <w:overflowPunct/>
        <w:topLinePunct w:val="0"/>
        <w:autoSpaceDE/>
        <w:autoSpaceDN/>
        <w:bidi w:val="0"/>
        <w:spacing w:line="560" w:lineRule="exact"/>
        <w:ind w:firstLine="640"/>
        <w:textAlignment w:val="auto"/>
        <w:rPr>
          <w:rFonts w:ascii="仿宋" w:hAnsi="黑体" w:eastAsia="仿宋"/>
          <w:sz w:val="32"/>
          <w:szCs w:val="32"/>
        </w:rPr>
      </w:pPr>
      <w:r>
        <w:rPr>
          <w:rFonts w:hint="eastAsia" w:ascii="仿宋" w:hAnsi="黑体" w:eastAsia="仿宋"/>
          <w:sz w:val="32"/>
          <w:szCs w:val="32"/>
        </w:rPr>
        <w:t>乌兰木伦镇政府设置党政机构7个，分别为</w:t>
      </w:r>
      <w:r>
        <w:rPr>
          <w:rFonts w:hint="eastAsia" w:ascii="仿宋" w:hAnsi="黑体" w:eastAsia="仿宋"/>
          <w:sz w:val="32"/>
          <w:szCs w:val="32"/>
          <w:lang w:eastAsia="zh-CN"/>
        </w:rPr>
        <w:t>：</w:t>
      </w:r>
      <w:r>
        <w:rPr>
          <w:rFonts w:hint="eastAsia" w:ascii="仿宋" w:hAnsi="黑体" w:eastAsia="仿宋"/>
          <w:sz w:val="32"/>
          <w:szCs w:val="32"/>
        </w:rPr>
        <w:t>党政综合办公室、基层党的建设办公室、社会事务办公室、平安建设办公室、乡村振兴办公室、经济发展办公室</w:t>
      </w:r>
      <w:r>
        <w:rPr>
          <w:rFonts w:hint="eastAsia" w:ascii="仿宋" w:hAnsi="黑体" w:eastAsia="仿宋"/>
          <w:sz w:val="32"/>
          <w:szCs w:val="32"/>
          <w:lang w:eastAsia="zh-CN"/>
        </w:rPr>
        <w:t>（</w:t>
      </w:r>
      <w:r>
        <w:rPr>
          <w:rFonts w:hint="eastAsia" w:ascii="仿宋" w:hAnsi="黑体" w:eastAsia="仿宋"/>
          <w:sz w:val="32"/>
          <w:szCs w:val="32"/>
        </w:rPr>
        <w:t>财政和资产管理办公室</w:t>
      </w:r>
      <w:r>
        <w:rPr>
          <w:rFonts w:hint="eastAsia" w:ascii="仿宋" w:hAnsi="黑体" w:eastAsia="仿宋"/>
          <w:sz w:val="32"/>
          <w:szCs w:val="32"/>
          <w:lang w:eastAsia="zh-CN"/>
        </w:rPr>
        <w:t>）</w:t>
      </w:r>
      <w:r>
        <w:rPr>
          <w:rFonts w:hint="eastAsia" w:ascii="仿宋" w:hAnsi="黑体" w:eastAsia="仿宋"/>
          <w:sz w:val="32"/>
          <w:szCs w:val="32"/>
        </w:rPr>
        <w:t>、城乡建设办公室。各机构主要职能职责如下：</w:t>
      </w:r>
    </w:p>
    <w:p>
      <w:pPr>
        <w:pStyle w:val="20"/>
        <w:keepNext w:val="0"/>
        <w:keepLines w:val="0"/>
        <w:pageBreakBefore w:val="0"/>
        <w:widowControl w:val="0"/>
        <w:kinsoku/>
        <w:wordWrap/>
        <w:overflowPunct/>
        <w:topLinePunct w:val="0"/>
        <w:autoSpaceDE/>
        <w:autoSpaceDN/>
        <w:bidi w:val="0"/>
        <w:spacing w:line="560" w:lineRule="exact"/>
        <w:ind w:firstLine="640"/>
        <w:textAlignment w:val="auto"/>
        <w:rPr>
          <w:rFonts w:ascii="仿宋" w:hAnsi="黑体" w:eastAsia="仿宋"/>
          <w:sz w:val="32"/>
          <w:szCs w:val="32"/>
        </w:rPr>
      </w:pPr>
      <w:r>
        <w:rPr>
          <w:rFonts w:hint="eastAsia" w:ascii="仿宋" w:hAnsi="黑体" w:eastAsia="仿宋"/>
          <w:sz w:val="32"/>
          <w:szCs w:val="32"/>
        </w:rPr>
        <w:t>1.党政综合办公室。负责党委、政府的日常运转和综合协调等工作。</w:t>
      </w:r>
    </w:p>
    <w:p>
      <w:pPr>
        <w:pStyle w:val="20"/>
        <w:keepNext w:val="0"/>
        <w:keepLines w:val="0"/>
        <w:pageBreakBefore w:val="0"/>
        <w:widowControl w:val="0"/>
        <w:kinsoku/>
        <w:wordWrap/>
        <w:overflowPunct/>
        <w:topLinePunct w:val="0"/>
        <w:autoSpaceDE/>
        <w:autoSpaceDN/>
        <w:bidi w:val="0"/>
        <w:spacing w:line="560" w:lineRule="exact"/>
        <w:ind w:firstLine="640"/>
        <w:textAlignment w:val="auto"/>
        <w:rPr>
          <w:rFonts w:ascii="仿宋" w:hAnsi="黑体" w:eastAsia="仿宋"/>
          <w:sz w:val="32"/>
          <w:szCs w:val="32"/>
        </w:rPr>
      </w:pPr>
      <w:r>
        <w:rPr>
          <w:rFonts w:hint="eastAsia" w:ascii="仿宋" w:hAnsi="黑体" w:eastAsia="仿宋"/>
          <w:sz w:val="32"/>
          <w:szCs w:val="32"/>
        </w:rPr>
        <w:t>2.基层党的建设办公室。负责基层党组织建设和群团工作；负责宣传、意识形态、精神文明建设等工作。</w:t>
      </w:r>
    </w:p>
    <w:p>
      <w:pPr>
        <w:pStyle w:val="20"/>
        <w:keepNext w:val="0"/>
        <w:keepLines w:val="0"/>
        <w:pageBreakBefore w:val="0"/>
        <w:widowControl w:val="0"/>
        <w:kinsoku/>
        <w:wordWrap/>
        <w:overflowPunct/>
        <w:topLinePunct w:val="0"/>
        <w:autoSpaceDE/>
        <w:autoSpaceDN/>
        <w:bidi w:val="0"/>
        <w:spacing w:line="560" w:lineRule="exact"/>
        <w:ind w:firstLine="640"/>
        <w:textAlignment w:val="auto"/>
        <w:rPr>
          <w:rFonts w:ascii="仿宋" w:hAnsi="黑体" w:eastAsia="仿宋"/>
          <w:sz w:val="32"/>
          <w:szCs w:val="32"/>
        </w:rPr>
      </w:pPr>
      <w:r>
        <w:rPr>
          <w:rFonts w:hint="eastAsia" w:ascii="仿宋" w:hAnsi="黑体" w:eastAsia="仿宋"/>
          <w:sz w:val="32"/>
          <w:szCs w:val="32"/>
        </w:rPr>
        <w:t>3.社会事务办公室。负责民政、卫生健康、教育体育、残疾人保障、劳动就业、社会保障、文化旅游、计划生育、社会团体等社会事务性工作。</w:t>
      </w:r>
    </w:p>
    <w:p>
      <w:pPr>
        <w:pStyle w:val="20"/>
        <w:keepNext w:val="0"/>
        <w:keepLines w:val="0"/>
        <w:pageBreakBefore w:val="0"/>
        <w:widowControl w:val="0"/>
        <w:kinsoku/>
        <w:wordWrap/>
        <w:overflowPunct/>
        <w:topLinePunct w:val="0"/>
        <w:autoSpaceDE/>
        <w:autoSpaceDN/>
        <w:bidi w:val="0"/>
        <w:spacing w:line="560" w:lineRule="exact"/>
        <w:ind w:firstLine="640"/>
        <w:textAlignment w:val="auto"/>
        <w:rPr>
          <w:rFonts w:ascii="仿宋" w:hAnsi="黑体" w:eastAsia="仿宋"/>
          <w:sz w:val="32"/>
          <w:szCs w:val="32"/>
        </w:rPr>
      </w:pPr>
      <w:r>
        <w:rPr>
          <w:rFonts w:hint="eastAsia" w:ascii="仿宋" w:hAnsi="黑体" w:eastAsia="仿宋"/>
          <w:sz w:val="32"/>
          <w:szCs w:val="32"/>
        </w:rPr>
        <w:t>4.平安建设办公室。负责应急管理工作，综合监督管理辖区内安全生产工作，依法监督检查重大危险源的监控和重大事故隐患的整改工作，在规定权限内协调和参与事故救援及调查处理等工作。</w:t>
      </w:r>
    </w:p>
    <w:p>
      <w:pPr>
        <w:pStyle w:val="20"/>
        <w:keepNext w:val="0"/>
        <w:keepLines w:val="0"/>
        <w:pageBreakBefore w:val="0"/>
        <w:widowControl w:val="0"/>
        <w:kinsoku/>
        <w:wordWrap/>
        <w:overflowPunct/>
        <w:topLinePunct w:val="0"/>
        <w:autoSpaceDE/>
        <w:autoSpaceDN/>
        <w:bidi w:val="0"/>
        <w:spacing w:line="560" w:lineRule="exact"/>
        <w:ind w:firstLine="640"/>
        <w:textAlignment w:val="auto"/>
        <w:rPr>
          <w:rFonts w:ascii="仿宋" w:hAnsi="黑体" w:eastAsia="仿宋"/>
          <w:sz w:val="32"/>
          <w:szCs w:val="32"/>
        </w:rPr>
      </w:pPr>
      <w:r>
        <w:rPr>
          <w:rFonts w:hint="eastAsia" w:ascii="仿宋" w:hAnsi="黑体" w:eastAsia="仿宋"/>
          <w:sz w:val="32"/>
          <w:szCs w:val="32"/>
        </w:rPr>
        <w:t>5.乡村振兴办公室。负责贯彻落实有关农业、农村、农民等方面的方针政策和法律法规并组织实施等工作。</w:t>
      </w:r>
    </w:p>
    <w:p>
      <w:pPr>
        <w:pStyle w:val="20"/>
        <w:keepNext w:val="0"/>
        <w:keepLines w:val="0"/>
        <w:pageBreakBefore w:val="0"/>
        <w:widowControl w:val="0"/>
        <w:kinsoku/>
        <w:wordWrap/>
        <w:overflowPunct/>
        <w:topLinePunct w:val="0"/>
        <w:autoSpaceDE/>
        <w:autoSpaceDN/>
        <w:bidi w:val="0"/>
        <w:spacing w:line="560" w:lineRule="exact"/>
        <w:ind w:firstLine="640"/>
        <w:textAlignment w:val="auto"/>
        <w:rPr>
          <w:rFonts w:ascii="仿宋" w:hAnsi="黑体" w:eastAsia="仿宋"/>
          <w:sz w:val="32"/>
          <w:szCs w:val="32"/>
        </w:rPr>
      </w:pPr>
      <w:r>
        <w:rPr>
          <w:rFonts w:hint="eastAsia" w:ascii="仿宋" w:hAnsi="黑体" w:eastAsia="仿宋"/>
          <w:sz w:val="32"/>
          <w:szCs w:val="32"/>
        </w:rPr>
        <w:t>6.经济发展办公室</w:t>
      </w:r>
      <w:r>
        <w:rPr>
          <w:rFonts w:hint="eastAsia" w:ascii="仿宋" w:hAnsi="黑体" w:eastAsia="仿宋"/>
          <w:sz w:val="32"/>
          <w:szCs w:val="32"/>
          <w:lang w:eastAsia="zh-CN"/>
        </w:rPr>
        <w:t>（</w:t>
      </w:r>
      <w:r>
        <w:rPr>
          <w:rFonts w:hint="eastAsia" w:ascii="仿宋" w:hAnsi="黑体" w:eastAsia="仿宋"/>
          <w:sz w:val="32"/>
          <w:szCs w:val="32"/>
        </w:rPr>
        <w:t>挂财政和资产管理办公室牌子</w:t>
      </w:r>
      <w:r>
        <w:rPr>
          <w:rFonts w:hint="eastAsia" w:ascii="仿宋" w:hAnsi="黑体" w:eastAsia="仿宋"/>
          <w:sz w:val="32"/>
          <w:szCs w:val="32"/>
          <w:lang w:eastAsia="zh-CN"/>
        </w:rPr>
        <w:t>）</w:t>
      </w:r>
      <w:r>
        <w:rPr>
          <w:rFonts w:hint="eastAsia" w:ascii="仿宋" w:hAnsi="黑体" w:eastAsia="仿宋"/>
          <w:sz w:val="32"/>
          <w:szCs w:val="32"/>
        </w:rPr>
        <w:t>。负责拟订辖区内产业发展规划，经旗人民政府或投资主管部门批准后组织实施；负责镇内企业统计、项目报批、企业服务、科技服务</w:t>
      </w:r>
      <w:r>
        <w:rPr>
          <w:rFonts w:hint="eastAsia" w:ascii="仿宋" w:hAnsi="黑体" w:eastAsia="仿宋"/>
          <w:sz w:val="32"/>
          <w:szCs w:val="32"/>
          <w:lang w:eastAsia="zh-CN"/>
        </w:rPr>
        <w:t>、</w:t>
      </w:r>
      <w:r>
        <w:rPr>
          <w:rFonts w:hint="eastAsia" w:ascii="仿宋" w:hAnsi="黑体" w:eastAsia="仿宋"/>
          <w:sz w:val="32"/>
          <w:szCs w:val="32"/>
        </w:rPr>
        <w:t>政策宣传、招商服务和优化营商环境等工作。</w:t>
      </w:r>
    </w:p>
    <w:p>
      <w:pPr>
        <w:pStyle w:val="20"/>
        <w:keepNext w:val="0"/>
        <w:keepLines w:val="0"/>
        <w:pageBreakBefore w:val="0"/>
        <w:widowControl w:val="0"/>
        <w:kinsoku/>
        <w:wordWrap/>
        <w:overflowPunct/>
        <w:topLinePunct w:val="0"/>
        <w:autoSpaceDE/>
        <w:autoSpaceDN/>
        <w:bidi w:val="0"/>
        <w:spacing w:line="560" w:lineRule="exact"/>
        <w:ind w:firstLine="640"/>
        <w:textAlignment w:val="auto"/>
        <w:rPr>
          <w:rFonts w:ascii="仿宋" w:hAnsi="黑体" w:eastAsia="仿宋"/>
          <w:sz w:val="32"/>
          <w:szCs w:val="32"/>
        </w:rPr>
      </w:pPr>
      <w:r>
        <w:rPr>
          <w:rFonts w:ascii="仿宋" w:hAnsi="黑体" w:eastAsia="仿宋"/>
          <w:sz w:val="32"/>
          <w:szCs w:val="32"/>
        </w:rPr>
        <w:t>7.城乡建设办公室。负责镇内规划、建设、环保、交通、市容市貌、园林绿化、环境卫生、小区物业、公共设施、供暖、供水、供气管理</w:t>
      </w:r>
      <w:r>
        <w:rPr>
          <w:rFonts w:hint="eastAsia" w:ascii="仿宋" w:hAnsi="黑体" w:eastAsia="仿宋"/>
          <w:sz w:val="32"/>
          <w:szCs w:val="32"/>
        </w:rPr>
        <w:t>等工作</w:t>
      </w:r>
      <w:r>
        <w:rPr>
          <w:rFonts w:ascii="仿宋" w:hAnsi="黑体" w:eastAsia="仿宋"/>
          <w:sz w:val="32"/>
          <w:szCs w:val="32"/>
        </w:rPr>
        <w:t>。</w:t>
      </w:r>
    </w:p>
    <w:p>
      <w:pPr>
        <w:pStyle w:val="20"/>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黑体" w:eastAsia="仿宋"/>
          <w:sz w:val="32"/>
          <w:szCs w:val="32"/>
          <w:lang w:eastAsia="zh-CN"/>
        </w:rPr>
      </w:pPr>
      <w:r>
        <w:rPr>
          <w:rFonts w:hint="eastAsia" w:ascii="仿宋" w:hAnsi="黑体" w:eastAsia="仿宋"/>
          <w:sz w:val="32"/>
          <w:szCs w:val="32"/>
        </w:rPr>
        <w:t>乌兰木伦镇政府</w:t>
      </w:r>
      <w:r>
        <w:rPr>
          <w:rFonts w:ascii="仿宋" w:hAnsi="黑体" w:eastAsia="仿宋"/>
          <w:sz w:val="32"/>
          <w:szCs w:val="32"/>
        </w:rPr>
        <w:t>设置相当于副科级事业单位3个，分别为</w:t>
      </w:r>
      <w:r>
        <w:rPr>
          <w:rFonts w:hint="eastAsia" w:ascii="仿宋" w:hAnsi="黑体" w:eastAsia="仿宋"/>
          <w:sz w:val="32"/>
          <w:szCs w:val="32"/>
        </w:rPr>
        <w:t>：</w:t>
      </w:r>
      <w:r>
        <w:rPr>
          <w:rFonts w:ascii="仿宋" w:hAnsi="黑体" w:eastAsia="仿宋"/>
          <w:sz w:val="32"/>
          <w:szCs w:val="32"/>
        </w:rPr>
        <w:t>党群服务中心、综合行政执法局、综合保障和技术推广中心。</w:t>
      </w:r>
      <w:r>
        <w:rPr>
          <w:rFonts w:hint="eastAsia" w:ascii="仿宋" w:hAnsi="黑体" w:eastAsia="仿宋"/>
          <w:sz w:val="32"/>
          <w:szCs w:val="32"/>
        </w:rPr>
        <w:t>各单位主要</w:t>
      </w:r>
      <w:r>
        <w:rPr>
          <w:rFonts w:ascii="仿宋" w:hAnsi="黑体" w:eastAsia="仿宋"/>
          <w:sz w:val="32"/>
          <w:szCs w:val="32"/>
        </w:rPr>
        <w:t>职能职责如下</w:t>
      </w:r>
      <w:r>
        <w:rPr>
          <w:rFonts w:hint="eastAsia" w:ascii="仿宋" w:hAnsi="黑体" w:eastAsia="仿宋"/>
          <w:sz w:val="32"/>
          <w:szCs w:val="32"/>
          <w:lang w:eastAsia="zh-CN"/>
        </w:rPr>
        <w:t>：</w:t>
      </w:r>
    </w:p>
    <w:p>
      <w:pPr>
        <w:pStyle w:val="20"/>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 w:hAnsi="黑体" w:eastAsia="仿宋"/>
          <w:sz w:val="32"/>
          <w:szCs w:val="32"/>
        </w:rPr>
      </w:pPr>
      <w:r>
        <w:rPr>
          <w:rFonts w:hint="eastAsia" w:ascii="仿宋" w:hAnsi="黑体" w:eastAsia="仿宋"/>
          <w:sz w:val="32"/>
          <w:szCs w:val="32"/>
        </w:rPr>
        <w:t>1.党群服务中心。承担党员群众服务项目的设置、安排和调度工作，为党员和群众提供综合性服务；承担辖区内党员的联系服务等工作。</w:t>
      </w:r>
    </w:p>
    <w:p>
      <w:pPr>
        <w:pStyle w:val="20"/>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 w:hAnsi="黑体" w:eastAsia="仿宋"/>
          <w:sz w:val="32"/>
          <w:szCs w:val="32"/>
        </w:rPr>
      </w:pPr>
      <w:r>
        <w:rPr>
          <w:rFonts w:ascii="仿宋" w:hAnsi="黑体" w:eastAsia="仿宋"/>
          <w:sz w:val="32"/>
          <w:szCs w:val="32"/>
        </w:rPr>
        <w:t>2.综合行政执法局。行使自治区人民政府赋予镇行使的行政执法权和伊金霍洛旗有关部门委托镇行使的行政执法权</w:t>
      </w:r>
      <w:r>
        <w:rPr>
          <w:rFonts w:hint="eastAsia" w:ascii="仿宋" w:hAnsi="黑体" w:eastAsia="仿宋"/>
          <w:sz w:val="32"/>
          <w:szCs w:val="32"/>
        </w:rPr>
        <w:t>；</w:t>
      </w:r>
      <w:r>
        <w:rPr>
          <w:rFonts w:ascii="仿宋" w:hAnsi="黑体" w:eastAsia="仿宋"/>
          <w:sz w:val="32"/>
          <w:szCs w:val="32"/>
        </w:rPr>
        <w:t>负责镇区森林草原防火</w:t>
      </w:r>
      <w:r>
        <w:rPr>
          <w:rFonts w:hint="eastAsia" w:ascii="仿宋" w:hAnsi="黑体" w:eastAsia="仿宋"/>
          <w:sz w:val="32"/>
          <w:szCs w:val="32"/>
        </w:rPr>
        <w:t>等</w:t>
      </w:r>
      <w:r>
        <w:rPr>
          <w:rFonts w:ascii="仿宋" w:hAnsi="黑体" w:eastAsia="仿宋"/>
          <w:sz w:val="32"/>
          <w:szCs w:val="32"/>
        </w:rPr>
        <w:t>工作。</w:t>
      </w:r>
    </w:p>
    <w:p>
      <w:pPr>
        <w:pStyle w:val="20"/>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 w:hAnsi="黑体" w:eastAsia="仿宋"/>
          <w:sz w:val="32"/>
          <w:szCs w:val="32"/>
        </w:rPr>
      </w:pPr>
      <w:r>
        <w:rPr>
          <w:rFonts w:hint="eastAsia" w:ascii="仿宋" w:hAnsi="黑体" w:eastAsia="仿宋"/>
          <w:sz w:val="32"/>
          <w:szCs w:val="32"/>
        </w:rPr>
        <w:t>3.</w:t>
      </w:r>
      <w:r>
        <w:rPr>
          <w:rFonts w:ascii="仿宋" w:hAnsi="黑体" w:eastAsia="仿宋"/>
          <w:sz w:val="32"/>
          <w:szCs w:val="32"/>
        </w:rPr>
        <w:t>综合保障和技术推广中心。承担农、林、牧、水等领域技术引进和推广</w:t>
      </w:r>
      <w:r>
        <w:rPr>
          <w:rFonts w:hint="eastAsia" w:ascii="仿宋" w:hAnsi="黑体" w:eastAsia="仿宋"/>
          <w:sz w:val="32"/>
          <w:szCs w:val="32"/>
        </w:rPr>
        <w:t>等工作</w:t>
      </w:r>
      <w:r>
        <w:rPr>
          <w:rFonts w:ascii="仿宋" w:hAnsi="黑体" w:eastAsia="仿宋"/>
          <w:sz w:val="32"/>
          <w:szCs w:val="32"/>
        </w:rPr>
        <w:t>。</w:t>
      </w:r>
    </w:p>
    <w:p>
      <w:pPr>
        <w:pStyle w:val="20"/>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0"/>
        <w:rPr>
          <w:rFonts w:hint="eastAsia" w:ascii="黑体" w:hAnsi="黑体" w:eastAsia="黑体" w:cstheme="minorBidi"/>
          <w:sz w:val="32"/>
          <w:szCs w:val="22"/>
        </w:rPr>
      </w:pPr>
      <w:bookmarkStart w:id="8" w:name="_Toc570"/>
      <w:r>
        <w:rPr>
          <w:rFonts w:hint="eastAsia" w:ascii="黑体" w:hAnsi="黑体" w:eastAsia="黑体"/>
          <w:sz w:val="32"/>
          <w:lang w:val="en-US" w:eastAsia="zh-CN"/>
        </w:rPr>
        <w:t>二</w:t>
      </w:r>
      <w:r>
        <w:rPr>
          <w:rFonts w:hint="eastAsia" w:ascii="黑体" w:hAnsi="黑体" w:eastAsia="黑体"/>
          <w:sz w:val="32"/>
        </w:rPr>
        <w:t>、绩效评价结论</w:t>
      </w:r>
      <w:bookmarkEnd w:id="8"/>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 w:hAnsi="楷体" w:eastAsia="楷体"/>
          <w:sz w:val="32"/>
        </w:rPr>
      </w:pPr>
      <w:r>
        <w:rPr>
          <w:rFonts w:hint="eastAsia" w:ascii="仿宋" w:hAnsi="仿宋" w:eastAsia="仿宋" w:cs="仿宋"/>
          <w:sz w:val="32"/>
          <w:szCs w:val="32"/>
        </w:rPr>
        <w:t>2022年度，乌兰木伦镇政府财政收入质量、税收收入质量、预算执行质量良好，各项管理制度基本健全。但评价发现，乌兰木伦镇财政运行还存在预算编制不够细化、会计基础工作以及资金使用合规性有待提高、内控建设及预算绩效管理</w:t>
      </w:r>
      <w:r>
        <w:rPr>
          <w:rFonts w:hint="eastAsia" w:ascii="仿宋" w:hAnsi="仿宋" w:eastAsia="仿宋" w:cs="仿宋"/>
          <w:sz w:val="32"/>
          <w:szCs w:val="32"/>
          <w:highlight w:val="none"/>
        </w:rPr>
        <w:t>工作有待加强、村级资金监管工作有待落实等问题。综合得分为</w:t>
      </w:r>
      <w:r>
        <w:rPr>
          <w:rFonts w:ascii="仿宋" w:hAnsi="仿宋" w:eastAsia="仿宋" w:cs="仿宋"/>
          <w:sz w:val="32"/>
          <w:szCs w:val="32"/>
          <w:highlight w:val="none"/>
        </w:rPr>
        <w:t>8</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分，评价等级为“良”</w:t>
      </w:r>
      <w:r>
        <w:rPr>
          <w:rFonts w:hint="eastAsia" w:ascii="仿宋" w:hAnsi="仿宋" w:eastAsia="仿宋" w:cs="仿宋"/>
          <w:sz w:val="32"/>
          <w:szCs w:val="32"/>
        </w:rPr>
        <w:t>。</w:t>
      </w:r>
    </w:p>
    <w:p>
      <w:pPr>
        <w:pStyle w:val="20"/>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0"/>
        <w:rPr>
          <w:rFonts w:hint="eastAsia" w:ascii="黑体" w:hAnsi="黑体" w:eastAsia="黑体"/>
          <w:sz w:val="32"/>
        </w:rPr>
      </w:pPr>
      <w:bookmarkStart w:id="9" w:name="_Toc5834"/>
      <w:r>
        <w:rPr>
          <w:rFonts w:hint="eastAsia" w:ascii="黑体" w:hAnsi="黑体" w:eastAsia="黑体"/>
          <w:sz w:val="32"/>
          <w:lang w:eastAsia="zh-CN"/>
        </w:rPr>
        <w:t>三</w:t>
      </w:r>
      <w:r>
        <w:rPr>
          <w:rFonts w:hint="eastAsia" w:ascii="黑体" w:hAnsi="黑体" w:eastAsia="黑体"/>
          <w:sz w:val="32"/>
        </w:rPr>
        <w:t>、存在问题和建议</w:t>
      </w:r>
      <w:bookmarkEnd w:id="9"/>
    </w:p>
    <w:p>
      <w:pPr>
        <w:pStyle w:val="20"/>
        <w:keepNext w:val="0"/>
        <w:keepLines w:val="0"/>
        <w:pageBreakBefore w:val="0"/>
        <w:widowControl w:val="0"/>
        <w:kinsoku/>
        <w:wordWrap/>
        <w:overflowPunct/>
        <w:topLinePunct w:val="0"/>
        <w:autoSpaceDE/>
        <w:autoSpaceDN/>
        <w:bidi w:val="0"/>
        <w:adjustRightInd w:val="0"/>
        <w:snapToGrid w:val="0"/>
        <w:spacing w:line="560" w:lineRule="exact"/>
        <w:ind w:left="420" w:leftChars="200" w:firstLine="0" w:firstLineChars="0"/>
        <w:textAlignment w:val="auto"/>
        <w:outlineLvl w:val="1"/>
        <w:rPr>
          <w:rFonts w:hint="eastAsia" w:ascii="楷体" w:eastAsia="楷体" w:hAnsiTheme="minorHAnsi" w:cstheme="minorBidi"/>
          <w:kern w:val="2"/>
          <w:sz w:val="32"/>
          <w:szCs w:val="22"/>
          <w:lang w:val="en-US" w:eastAsia="zh-CN" w:bidi="ar-SA"/>
        </w:rPr>
      </w:pPr>
      <w:bookmarkStart w:id="10" w:name="_Toc1056"/>
      <w:r>
        <w:rPr>
          <w:rFonts w:hint="eastAsia" w:ascii="楷体" w:eastAsia="楷体" w:hAnsiTheme="minorHAnsi" w:cstheme="minorBidi"/>
          <w:kern w:val="2"/>
          <w:sz w:val="32"/>
          <w:szCs w:val="22"/>
          <w:lang w:val="en-US" w:eastAsia="zh-CN" w:bidi="ar-SA"/>
        </w:rPr>
        <w:t>（一）存在问题</w:t>
      </w:r>
      <w:bookmarkEnd w:id="10"/>
    </w:p>
    <w:p>
      <w:pPr>
        <w:pStyle w:val="20"/>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2"/>
        <w:rPr>
          <w:rFonts w:ascii="仿宋" w:hAnsi="仿宋" w:eastAsia="仿宋" w:cs="仿宋"/>
          <w:sz w:val="32"/>
          <w:szCs w:val="32"/>
        </w:rPr>
      </w:pPr>
      <w:r>
        <w:rPr>
          <w:rFonts w:hint="eastAsia" w:ascii="仿宋" w:hAnsi="仿宋" w:eastAsia="仿宋" w:cs="仿宋"/>
          <w:sz w:val="32"/>
          <w:szCs w:val="32"/>
        </w:rPr>
        <w:t>1.预算编制有待进一步细化</w:t>
      </w:r>
    </w:p>
    <w:p>
      <w:pPr>
        <w:pStyle w:val="20"/>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 w:hAnsi="仿宋" w:eastAsia="仿宋" w:cs="仿宋"/>
          <w:sz w:val="32"/>
          <w:szCs w:val="32"/>
        </w:rPr>
      </w:pPr>
      <w:r>
        <w:rPr>
          <w:rFonts w:hint="eastAsia" w:ascii="仿宋" w:hAnsi="仿宋" w:eastAsia="仿宋" w:cs="仿宋"/>
          <w:sz w:val="32"/>
          <w:szCs w:val="32"/>
        </w:rPr>
        <w:t>《乌兰木伦镇人民政府2022年部门预算报告》中有部分预算资金未明确具体的支出方向及</w:t>
      </w:r>
      <w:r>
        <w:rPr>
          <w:rFonts w:hint="eastAsia" w:ascii="仿宋" w:hAnsi="仿宋" w:eastAsia="仿宋" w:cs="仿宋"/>
          <w:sz w:val="32"/>
          <w:szCs w:val="32"/>
          <w:lang w:val="en-US" w:eastAsia="zh-CN"/>
        </w:rPr>
        <w:t>各</w:t>
      </w:r>
      <w:r>
        <w:rPr>
          <w:rFonts w:hint="eastAsia" w:ascii="仿宋" w:hAnsi="仿宋" w:eastAsia="仿宋" w:cs="仿宋"/>
          <w:sz w:val="32"/>
          <w:szCs w:val="32"/>
        </w:rPr>
        <w:t>分项支出金额，如“园林养护费（1190万元）”“民生实事保障经费（500万元）”等项目仅有预算资金总额，各分项支出金额不清晰，预算编制未体现资金测算过程，预算编制有待进一步细化。</w:t>
      </w:r>
    </w:p>
    <w:p>
      <w:pPr>
        <w:pStyle w:val="20"/>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2"/>
        <w:rPr>
          <w:rFonts w:ascii="仿宋" w:hAnsi="仿宋" w:eastAsia="仿宋" w:cs="仿宋"/>
          <w:sz w:val="32"/>
          <w:szCs w:val="32"/>
        </w:rPr>
      </w:pPr>
      <w:r>
        <w:rPr>
          <w:rFonts w:hint="eastAsia" w:ascii="仿宋" w:hAnsi="仿宋" w:eastAsia="仿宋" w:cs="仿宋"/>
          <w:sz w:val="32"/>
          <w:szCs w:val="32"/>
        </w:rPr>
        <w:t>2.会计基础工作以及资金使用合规性有待加强</w:t>
      </w:r>
    </w:p>
    <w:p>
      <w:pPr>
        <w:pStyle w:val="20"/>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 w:hAnsi="仿宋" w:eastAsia="仿宋" w:cs="仿宋"/>
          <w:sz w:val="32"/>
          <w:szCs w:val="32"/>
          <w:highlight w:val="none"/>
        </w:rPr>
      </w:pPr>
      <w:r>
        <w:rPr>
          <w:rFonts w:hint="eastAsia" w:ascii="仿宋" w:hAnsi="仿宋" w:eastAsia="仿宋" w:cs="仿宋"/>
          <w:sz w:val="32"/>
          <w:szCs w:val="32"/>
        </w:rPr>
        <w:t>评价发现，会计基础工作及资金使用管理方面还存在以下问题</w:t>
      </w:r>
      <w:r>
        <w:rPr>
          <w:rFonts w:hint="eastAsia" w:ascii="仿宋" w:hAnsi="仿宋" w:eastAsia="仿宋" w:cs="仿宋"/>
          <w:b w:val="0"/>
          <w:bCs w:val="0"/>
          <w:sz w:val="32"/>
          <w:szCs w:val="32"/>
        </w:rPr>
        <w:t>：一是原始凭证中未附收据；二是收</w:t>
      </w:r>
      <w:r>
        <w:rPr>
          <w:rFonts w:hint="eastAsia" w:ascii="仿宋" w:hAnsi="仿宋" w:eastAsia="仿宋" w:cs="仿宋"/>
          <w:sz w:val="32"/>
          <w:szCs w:val="32"/>
        </w:rPr>
        <w:t>据金额</w:t>
      </w:r>
      <w:r>
        <w:rPr>
          <w:rFonts w:hint="eastAsia" w:ascii="仿宋" w:hAnsi="仿宋" w:eastAsia="仿宋" w:cs="仿宋"/>
          <w:sz w:val="32"/>
          <w:szCs w:val="32"/>
          <w:lang w:val="en-US" w:eastAsia="zh-CN"/>
        </w:rPr>
        <w:t>大于</w:t>
      </w:r>
      <w:r>
        <w:rPr>
          <w:rFonts w:hint="eastAsia" w:ascii="仿宋" w:hAnsi="仿宋" w:eastAsia="仿宋" w:cs="仿宋"/>
          <w:sz w:val="32"/>
          <w:szCs w:val="32"/>
        </w:rPr>
        <w:t>发票金额；</w:t>
      </w:r>
      <w:r>
        <w:rPr>
          <w:rFonts w:hint="eastAsia" w:ascii="仿宋" w:hAnsi="仿宋" w:eastAsia="仿宋" w:cs="仿宋"/>
          <w:b w:val="0"/>
          <w:bCs w:val="0"/>
          <w:sz w:val="32"/>
          <w:szCs w:val="32"/>
        </w:rPr>
        <w:t>三是合同规定按工程进度给予付款，原始凭证未附工程进度表；四是部分报销审批单</w:t>
      </w:r>
      <w:r>
        <w:rPr>
          <w:rFonts w:hint="eastAsia" w:ascii="仿宋" w:hAnsi="仿宋" w:eastAsia="仿宋" w:cs="仿宋"/>
          <w:b w:val="0"/>
          <w:bCs w:val="0"/>
          <w:sz w:val="32"/>
          <w:szCs w:val="32"/>
          <w:lang w:eastAsia="zh-CN"/>
        </w:rPr>
        <w:t>在</w:t>
      </w:r>
      <w:r>
        <w:rPr>
          <w:rFonts w:hint="eastAsia" w:ascii="仿宋" w:hAnsi="仿宋" w:eastAsia="仿宋" w:cs="仿宋"/>
          <w:b w:val="0"/>
          <w:bCs w:val="0"/>
          <w:sz w:val="32"/>
          <w:szCs w:val="32"/>
        </w:rPr>
        <w:t>相关领导未签字</w:t>
      </w:r>
      <w:r>
        <w:rPr>
          <w:rFonts w:hint="eastAsia" w:ascii="仿宋" w:hAnsi="仿宋" w:eastAsia="仿宋" w:cs="仿宋"/>
          <w:b w:val="0"/>
          <w:bCs w:val="0"/>
          <w:sz w:val="32"/>
          <w:szCs w:val="32"/>
          <w:lang w:val="en-US" w:eastAsia="zh-CN"/>
        </w:rPr>
        <w:t>的情况下</w:t>
      </w:r>
      <w:r>
        <w:rPr>
          <w:rFonts w:hint="eastAsia" w:ascii="仿宋" w:hAnsi="仿宋" w:eastAsia="仿宋" w:cs="仿宋"/>
          <w:b w:val="0"/>
          <w:bCs w:val="0"/>
          <w:sz w:val="32"/>
          <w:szCs w:val="32"/>
        </w:rPr>
        <w:t>支出资金；五是资</w:t>
      </w:r>
      <w:r>
        <w:rPr>
          <w:rFonts w:hint="eastAsia" w:ascii="仿宋" w:hAnsi="仿宋" w:eastAsia="仿宋" w:cs="仿宋"/>
          <w:sz w:val="32"/>
          <w:szCs w:val="32"/>
        </w:rPr>
        <w:t>金支付未按照合同约定，比如施工协议规定预留5%质保金，质保期一年，但实际一次性</w:t>
      </w:r>
      <w:r>
        <w:rPr>
          <w:rFonts w:hint="eastAsia" w:ascii="仿宋" w:hAnsi="仿宋" w:eastAsia="仿宋" w:cs="仿宋"/>
          <w:sz w:val="32"/>
          <w:szCs w:val="32"/>
          <w:lang w:val="en-US" w:eastAsia="zh-CN"/>
        </w:rPr>
        <w:t>支</w:t>
      </w:r>
      <w:r>
        <w:rPr>
          <w:rFonts w:hint="eastAsia" w:ascii="仿宋" w:hAnsi="仿宋" w:eastAsia="仿宋" w:cs="仿宋"/>
          <w:sz w:val="32"/>
          <w:szCs w:val="32"/>
        </w:rPr>
        <w:t>付全款，会计基础工</w:t>
      </w:r>
      <w:r>
        <w:rPr>
          <w:rFonts w:hint="eastAsia" w:ascii="仿宋" w:hAnsi="仿宋" w:eastAsia="仿宋" w:cs="仿宋"/>
          <w:sz w:val="32"/>
          <w:szCs w:val="32"/>
          <w:highlight w:val="none"/>
        </w:rPr>
        <w:t>作以及资金使用合规性有待加强。</w:t>
      </w:r>
    </w:p>
    <w:p>
      <w:pPr>
        <w:pStyle w:val="20"/>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2"/>
        <w:rPr>
          <w:rFonts w:ascii="仿宋" w:hAnsi="仿宋" w:eastAsia="仿宋" w:cs="仿宋"/>
          <w:sz w:val="32"/>
          <w:szCs w:val="32"/>
          <w:highlight w:val="none"/>
        </w:rPr>
      </w:pPr>
      <w:r>
        <w:rPr>
          <w:rFonts w:hint="eastAsia" w:ascii="仿宋" w:hAnsi="仿宋" w:eastAsia="仿宋" w:cs="仿宋"/>
          <w:sz w:val="32"/>
          <w:szCs w:val="32"/>
          <w:highlight w:val="none"/>
        </w:rPr>
        <w:t>3.内控建设及预算绩效工作有待加强</w:t>
      </w:r>
      <w:bookmarkStart w:id="16" w:name="_GoBack"/>
      <w:bookmarkEnd w:id="16"/>
    </w:p>
    <w:p>
      <w:pPr>
        <w:pStyle w:val="20"/>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 w:hAnsi="仿宋" w:eastAsia="仿宋" w:cs="仿宋"/>
          <w:sz w:val="32"/>
          <w:szCs w:val="32"/>
        </w:rPr>
      </w:pPr>
      <w:r>
        <w:rPr>
          <w:rFonts w:hint="eastAsia" w:ascii="仿宋" w:hAnsi="仿宋" w:eastAsia="仿宋" w:cs="仿宋"/>
          <w:sz w:val="32"/>
          <w:szCs w:val="32"/>
          <w:highlight w:val="none"/>
        </w:rPr>
        <w:t>乌兰木伦镇政府2022年度未开展内</w:t>
      </w:r>
      <w:r>
        <w:rPr>
          <w:rFonts w:hint="eastAsia" w:ascii="仿宋" w:hAnsi="仿宋" w:eastAsia="仿宋" w:cs="仿宋"/>
          <w:sz w:val="32"/>
          <w:szCs w:val="32"/>
        </w:rPr>
        <w:t>控年度自评和编报工作以及项目绩效自评工作，单位内部运行控制管理以及项目预算绩效管理工作有待加强。</w:t>
      </w:r>
    </w:p>
    <w:p>
      <w:pPr>
        <w:pStyle w:val="20"/>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2"/>
        <w:rPr>
          <w:rFonts w:ascii="仿宋" w:hAnsi="仿宋" w:eastAsia="仿宋" w:cs="仿宋"/>
          <w:sz w:val="32"/>
          <w:szCs w:val="32"/>
        </w:rPr>
      </w:pPr>
      <w:r>
        <w:rPr>
          <w:rFonts w:hint="eastAsia" w:ascii="仿宋" w:hAnsi="仿宋" w:eastAsia="仿宋" w:cs="仿宋"/>
          <w:sz w:val="32"/>
          <w:szCs w:val="32"/>
        </w:rPr>
        <w:t>4.村级资金监管工作有待落实</w:t>
      </w:r>
    </w:p>
    <w:p>
      <w:pPr>
        <w:pStyle w:val="20"/>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 w:hAnsi="仿宋" w:eastAsia="仿宋" w:cs="仿宋"/>
          <w:b/>
          <w:bCs/>
          <w:sz w:val="32"/>
          <w:szCs w:val="32"/>
        </w:rPr>
      </w:pPr>
      <w:r>
        <w:rPr>
          <w:rFonts w:hint="eastAsia" w:ascii="仿宋" w:hAnsi="仿宋" w:eastAsia="仿宋" w:cs="仿宋"/>
          <w:sz w:val="32"/>
          <w:szCs w:val="32"/>
        </w:rPr>
        <w:t>乌兰木伦镇政府未建立对所属各村级的资金监管制度，同时也未开展对所属各村级的资金监管工作，对村级财政资金监管力度不足，镇级监管职责发挥不到位。</w:t>
      </w:r>
    </w:p>
    <w:p>
      <w:pPr>
        <w:pStyle w:val="20"/>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1"/>
        <w:rPr>
          <w:rFonts w:hint="eastAsia" w:ascii="楷体" w:eastAsia="楷体" w:hAnsiTheme="minorHAnsi" w:cstheme="minorBidi"/>
          <w:kern w:val="2"/>
          <w:sz w:val="32"/>
          <w:szCs w:val="22"/>
          <w:lang w:val="en-US" w:eastAsia="zh-CN" w:bidi="ar-SA"/>
        </w:rPr>
      </w:pPr>
      <w:bookmarkStart w:id="11" w:name="_Toc11835"/>
      <w:r>
        <w:rPr>
          <w:rFonts w:hint="eastAsia" w:ascii="楷体" w:eastAsia="楷体" w:hAnsiTheme="minorHAnsi" w:cstheme="minorBidi"/>
          <w:kern w:val="2"/>
          <w:sz w:val="32"/>
          <w:szCs w:val="22"/>
          <w:lang w:val="en-US" w:eastAsia="zh-CN" w:bidi="ar-SA"/>
        </w:rPr>
        <w:t>（二）有关建议</w:t>
      </w:r>
      <w:bookmarkEnd w:id="11"/>
    </w:p>
    <w:p>
      <w:pPr>
        <w:pStyle w:val="20"/>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2"/>
        <w:rPr>
          <w:rFonts w:ascii="仿宋" w:hAnsi="仿宋" w:eastAsia="仿宋" w:cs="仿宋"/>
          <w:sz w:val="32"/>
          <w:szCs w:val="32"/>
        </w:rPr>
      </w:pPr>
      <w:r>
        <w:rPr>
          <w:rFonts w:hint="eastAsia" w:ascii="仿宋" w:hAnsi="仿宋" w:eastAsia="仿宋" w:cs="仿宋"/>
          <w:sz w:val="32"/>
          <w:szCs w:val="32"/>
        </w:rPr>
        <w:t>1.细化预算编制，提升预算编报水平</w:t>
      </w:r>
    </w:p>
    <w:p>
      <w:pPr>
        <w:pStyle w:val="13"/>
        <w:keepNext w:val="0"/>
        <w:keepLines w:val="0"/>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ascii="仿宋" w:hAnsi="仿宋" w:eastAsia="仿宋" w:cs="仿宋"/>
          <w:b w:val="0"/>
          <w:bCs w:val="0"/>
          <w:kern w:val="0"/>
        </w:rPr>
      </w:pPr>
      <w:bookmarkStart w:id="12" w:name="_Toc12165"/>
      <w:bookmarkStart w:id="13" w:name="_Toc3770"/>
      <w:bookmarkStart w:id="14" w:name="_Toc16692"/>
      <w:bookmarkStart w:id="15" w:name="_Toc5489"/>
      <w:r>
        <w:rPr>
          <w:rFonts w:hint="eastAsia" w:ascii="仿宋" w:hAnsi="仿宋" w:eastAsia="仿宋" w:cs="仿宋"/>
          <w:b w:val="0"/>
          <w:bCs w:val="0"/>
          <w:kern w:val="0"/>
        </w:rPr>
        <w:t>科学、准确的预算编制可以避免财政资金使用无效、低效的问题。建议乌兰木伦镇政府在向旗财政局申请项目经费时，进一步细化预算额度测算过程，明确相应的测算依据，强化预算编制工作，使得申请资金额度有据可依。</w:t>
      </w:r>
      <w:bookmarkEnd w:id="12"/>
      <w:bookmarkEnd w:id="13"/>
      <w:bookmarkEnd w:id="14"/>
      <w:bookmarkEnd w:id="15"/>
    </w:p>
    <w:p>
      <w:pPr>
        <w:pStyle w:val="20"/>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2"/>
        <w:rPr>
          <w:rFonts w:ascii="仿宋" w:hAnsi="仿宋" w:eastAsia="仿宋" w:cs="仿宋"/>
          <w:sz w:val="32"/>
          <w:szCs w:val="32"/>
        </w:rPr>
      </w:pPr>
      <w:r>
        <w:rPr>
          <w:rFonts w:hint="eastAsia" w:ascii="仿宋" w:hAnsi="仿宋" w:eastAsia="仿宋" w:cs="仿宋"/>
          <w:sz w:val="32"/>
          <w:szCs w:val="32"/>
        </w:rPr>
        <w:t>2.强化会计基础工作，提升资金使用管理的规范性</w:t>
      </w:r>
    </w:p>
    <w:p>
      <w:pPr>
        <w:pStyle w:val="20"/>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 w:hAnsi="仿宋" w:eastAsia="仿宋" w:cs="仿宋"/>
          <w:sz w:val="32"/>
          <w:szCs w:val="32"/>
        </w:rPr>
      </w:pPr>
      <w:r>
        <w:rPr>
          <w:rFonts w:hint="eastAsia" w:ascii="仿宋" w:hAnsi="仿宋" w:eastAsia="仿宋" w:cs="仿宋"/>
          <w:sz w:val="32"/>
          <w:szCs w:val="32"/>
        </w:rPr>
        <w:t>原始凭证的填制和审核是会计核算的基础。建议乌兰木伦镇政府进一步加强会计基础信息及报销票据、凭证等的审核力度，切实做到只有具备金额准确、要素齐全、手续完备的原始凭证才能作为付款、入账的依据；同时</w:t>
      </w:r>
      <w:r>
        <w:rPr>
          <w:rFonts w:hint="eastAsia" w:ascii="仿宋" w:hAnsi="仿宋" w:eastAsia="仿宋" w:cs="仿宋"/>
          <w:sz w:val="32"/>
          <w:szCs w:val="32"/>
          <w:lang w:eastAsia="zh-CN"/>
        </w:rPr>
        <w:t>，</w:t>
      </w:r>
      <w:r>
        <w:rPr>
          <w:rFonts w:hint="eastAsia" w:ascii="仿宋" w:hAnsi="仿宋" w:eastAsia="仿宋" w:cs="仿宋"/>
          <w:sz w:val="32"/>
          <w:szCs w:val="32"/>
        </w:rPr>
        <w:t>严格按照合同约定付款进度支付资金，规范财政财务管理。</w:t>
      </w:r>
    </w:p>
    <w:p>
      <w:pPr>
        <w:pStyle w:val="20"/>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2"/>
        <w:rPr>
          <w:rFonts w:ascii="仿宋" w:hAnsi="仿宋" w:eastAsia="仿宋" w:cs="仿宋"/>
          <w:sz w:val="32"/>
          <w:szCs w:val="32"/>
        </w:rPr>
      </w:pPr>
      <w:r>
        <w:rPr>
          <w:rFonts w:hint="eastAsia" w:ascii="仿宋" w:hAnsi="仿宋" w:eastAsia="仿宋" w:cs="仿宋"/>
          <w:sz w:val="32"/>
          <w:szCs w:val="32"/>
        </w:rPr>
        <w:t>3.加强内控建设及预算绩效管理工作，提升</w:t>
      </w:r>
      <w:r>
        <w:rPr>
          <w:rFonts w:hint="eastAsia" w:ascii="仿宋" w:hAnsi="仿宋" w:eastAsia="仿宋" w:cs="仿宋"/>
          <w:sz w:val="32"/>
          <w:szCs w:val="32"/>
          <w:lang w:val="en-US" w:eastAsia="zh-CN"/>
        </w:rPr>
        <w:t>全</w:t>
      </w:r>
      <w:r>
        <w:rPr>
          <w:rFonts w:hint="eastAsia" w:ascii="仿宋" w:hAnsi="仿宋" w:eastAsia="仿宋" w:cs="仿宋"/>
          <w:sz w:val="32"/>
          <w:szCs w:val="32"/>
        </w:rPr>
        <w:t>过程管理水平</w:t>
      </w:r>
    </w:p>
    <w:p>
      <w:pPr>
        <w:pStyle w:val="20"/>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 w:hAnsi="仿宋" w:eastAsia="仿宋" w:cs="仿宋"/>
          <w:sz w:val="32"/>
          <w:szCs w:val="32"/>
        </w:rPr>
      </w:pPr>
      <w:r>
        <w:rPr>
          <w:rFonts w:hint="eastAsia" w:ascii="仿宋" w:hAnsi="仿宋" w:eastAsia="仿宋" w:cs="仿宋"/>
          <w:b w:val="0"/>
          <w:bCs w:val="0"/>
          <w:sz w:val="32"/>
          <w:szCs w:val="32"/>
        </w:rPr>
        <w:t>首先，根据《行政事业单位内部控制报告管理制度（试行）》，建议乌兰木伦镇政府定期开展真实、完整、规范的内控编报和年度自评工作，通过对内部控制报告中反映的信息进行分析，及时发现内部控制建设工作中存在的问题，进一步健全制度，提高执行力，完善监督措施，确保内部控制有效实施。其次，</w:t>
      </w:r>
      <w:r>
        <w:rPr>
          <w:rFonts w:hint="eastAsia" w:ascii="仿宋" w:hAnsi="仿宋" w:eastAsia="仿宋" w:cs="仿宋"/>
          <w:sz w:val="32"/>
          <w:szCs w:val="32"/>
        </w:rPr>
        <w:t>根据《中共中央 国务院关于全面实施预算绩效管理的意见》，建议乌兰木伦镇政府对年度预算执行情况、项目实施效果开展绩效自评或评价工作，以充分落实意见相关要求，同时以绩效自评或评价为抓手，全面梳理项目可能存在的问题，并针对问题进行整改，从而提升项目管理水平。</w:t>
      </w:r>
    </w:p>
    <w:p>
      <w:pPr>
        <w:pStyle w:val="20"/>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2"/>
        <w:rPr>
          <w:rFonts w:ascii="仿宋" w:hAnsi="仿宋" w:eastAsia="仿宋" w:cs="仿宋"/>
          <w:sz w:val="32"/>
          <w:szCs w:val="32"/>
        </w:rPr>
      </w:pPr>
      <w:r>
        <w:rPr>
          <w:rFonts w:hint="eastAsia" w:ascii="仿宋" w:hAnsi="仿宋" w:eastAsia="仿宋" w:cs="仿宋"/>
          <w:sz w:val="32"/>
          <w:szCs w:val="32"/>
        </w:rPr>
        <w:t>4.增强村级资金监管力度，落实监管主责</w:t>
      </w:r>
    </w:p>
    <w:p>
      <w:pPr>
        <w:keepNext w:val="0"/>
        <w:keepLines w:val="0"/>
        <w:pageBreakBefore w:val="0"/>
        <w:widowControl w:val="0"/>
        <w:tabs>
          <w:tab w:val="left" w:pos="5445"/>
        </w:tabs>
        <w:kinsoku/>
        <w:wordWrap/>
        <w:overflowPunct/>
        <w:topLinePunct w:val="0"/>
        <w:autoSpaceDE/>
        <w:autoSpaceDN/>
        <w:bidi w:val="0"/>
        <w:spacing w:line="560" w:lineRule="exact"/>
        <w:ind w:firstLine="640" w:firstLineChars="200"/>
        <w:jc w:val="left"/>
        <w:textAlignment w:val="auto"/>
        <w:rPr>
          <w:rFonts w:hint="eastAsia" w:eastAsiaTheme="minorEastAsia"/>
          <w:lang w:eastAsia="zh-CN"/>
        </w:rPr>
      </w:pPr>
      <w:r>
        <w:rPr>
          <w:rFonts w:hint="eastAsia" w:ascii="仿宋" w:hAnsi="仿宋" w:eastAsia="仿宋" w:cs="仿宋"/>
          <w:sz w:val="32"/>
          <w:szCs w:val="32"/>
        </w:rPr>
        <w:t>建议乌兰木伦镇政府首先要制定详尽、可行的对所属各村级的资金监管制度。其次要重视对村级资金监管的财务管理人员的队伍建设，做到有人对村级财政项目资金使用监管负责，持续加强村级资金的跟踪监督管理，做细做实日常监督检查。同时</w:t>
      </w:r>
      <w:r>
        <w:rPr>
          <w:rFonts w:hint="eastAsia" w:ascii="仿宋" w:hAnsi="仿宋" w:eastAsia="仿宋" w:cs="仿宋"/>
          <w:sz w:val="32"/>
          <w:szCs w:val="32"/>
          <w:lang w:eastAsia="zh-CN"/>
        </w:rPr>
        <w:t>，</w:t>
      </w:r>
      <w:r>
        <w:rPr>
          <w:rFonts w:hint="eastAsia" w:ascii="仿宋" w:hAnsi="仿宋" w:eastAsia="仿宋" w:cs="仿宋"/>
          <w:sz w:val="32"/>
          <w:szCs w:val="32"/>
        </w:rPr>
        <w:t>定期对村级财务人员开展专业知识培训，重点加强对村级财政项目资金审核、把关等方面的业务指导，增强履职尽责能力。</w:t>
      </w:r>
    </w:p>
    <w:sectPr>
      <w:headerReference r:id="rId3" w:type="default"/>
      <w:footerReference r:id="rId4" w:type="default"/>
      <w:pgSz w:w="11906" w:h="16838"/>
      <w:pgMar w:top="1440" w:right="1800" w:bottom="1440" w:left="1800" w:header="964"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right"/>
      <w:rPr>
        <w:rFonts w:ascii="宋体" w:hAnsi="宋体" w:eastAsia="宋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zZTdjZDgyMWJmMjRlNTU5OGMxYjdmNjdmZmRlMWMifQ=="/>
  </w:docVars>
  <w:rsids>
    <w:rsidRoot w:val="00060894"/>
    <w:rsid w:val="00044EF2"/>
    <w:rsid w:val="00060894"/>
    <w:rsid w:val="00134011"/>
    <w:rsid w:val="00164C26"/>
    <w:rsid w:val="001700B0"/>
    <w:rsid w:val="0028371C"/>
    <w:rsid w:val="002D1EE9"/>
    <w:rsid w:val="003501A8"/>
    <w:rsid w:val="0038307D"/>
    <w:rsid w:val="00450492"/>
    <w:rsid w:val="004A3B16"/>
    <w:rsid w:val="004E0F9F"/>
    <w:rsid w:val="00565378"/>
    <w:rsid w:val="005F72BD"/>
    <w:rsid w:val="00810C2E"/>
    <w:rsid w:val="00853F7E"/>
    <w:rsid w:val="0086142B"/>
    <w:rsid w:val="008E08FD"/>
    <w:rsid w:val="008E1AE7"/>
    <w:rsid w:val="00943D3E"/>
    <w:rsid w:val="00947E6C"/>
    <w:rsid w:val="00983CB3"/>
    <w:rsid w:val="009E163F"/>
    <w:rsid w:val="00A83AD0"/>
    <w:rsid w:val="00AB420E"/>
    <w:rsid w:val="00BB7BB1"/>
    <w:rsid w:val="00BC58A0"/>
    <w:rsid w:val="00C047DA"/>
    <w:rsid w:val="00C171A9"/>
    <w:rsid w:val="00C50B26"/>
    <w:rsid w:val="00C821AF"/>
    <w:rsid w:val="00CA52D3"/>
    <w:rsid w:val="00CC3DB3"/>
    <w:rsid w:val="00CF30A0"/>
    <w:rsid w:val="00D8405D"/>
    <w:rsid w:val="00D874B3"/>
    <w:rsid w:val="00DD4666"/>
    <w:rsid w:val="00DE4507"/>
    <w:rsid w:val="00DF4B9D"/>
    <w:rsid w:val="00E62C98"/>
    <w:rsid w:val="00EF1CB2"/>
    <w:rsid w:val="00F23FA9"/>
    <w:rsid w:val="01040F41"/>
    <w:rsid w:val="010C7CBB"/>
    <w:rsid w:val="01600BA9"/>
    <w:rsid w:val="01892DAF"/>
    <w:rsid w:val="01E054EB"/>
    <w:rsid w:val="02D84414"/>
    <w:rsid w:val="034B4BE6"/>
    <w:rsid w:val="03A96769"/>
    <w:rsid w:val="03D83E3E"/>
    <w:rsid w:val="040F5703"/>
    <w:rsid w:val="042E0790"/>
    <w:rsid w:val="044C330C"/>
    <w:rsid w:val="05760640"/>
    <w:rsid w:val="05C568CE"/>
    <w:rsid w:val="05CF0965"/>
    <w:rsid w:val="06B807E5"/>
    <w:rsid w:val="072A7934"/>
    <w:rsid w:val="07C1191B"/>
    <w:rsid w:val="0A026946"/>
    <w:rsid w:val="0B1E1DFF"/>
    <w:rsid w:val="0BA80E28"/>
    <w:rsid w:val="0C9965E9"/>
    <w:rsid w:val="0D49488C"/>
    <w:rsid w:val="0DD8176C"/>
    <w:rsid w:val="0EFB55C0"/>
    <w:rsid w:val="1010343F"/>
    <w:rsid w:val="101A606C"/>
    <w:rsid w:val="10473660"/>
    <w:rsid w:val="108537EC"/>
    <w:rsid w:val="11CC50BA"/>
    <w:rsid w:val="11F12DFD"/>
    <w:rsid w:val="11FC3C7B"/>
    <w:rsid w:val="12B2581B"/>
    <w:rsid w:val="12EE4572"/>
    <w:rsid w:val="137F44CD"/>
    <w:rsid w:val="15496F89"/>
    <w:rsid w:val="154D5CEF"/>
    <w:rsid w:val="15E55C96"/>
    <w:rsid w:val="161A6DC6"/>
    <w:rsid w:val="164E5AF5"/>
    <w:rsid w:val="16734728"/>
    <w:rsid w:val="168E50BE"/>
    <w:rsid w:val="17C66613"/>
    <w:rsid w:val="18F13B81"/>
    <w:rsid w:val="1C2A5889"/>
    <w:rsid w:val="1C4024B1"/>
    <w:rsid w:val="1CBF4223"/>
    <w:rsid w:val="1DD93A8F"/>
    <w:rsid w:val="1E5D3CF4"/>
    <w:rsid w:val="1E8670B5"/>
    <w:rsid w:val="1EAA1412"/>
    <w:rsid w:val="1FD66E93"/>
    <w:rsid w:val="21C345F0"/>
    <w:rsid w:val="23AF5943"/>
    <w:rsid w:val="25783B09"/>
    <w:rsid w:val="26132E03"/>
    <w:rsid w:val="261E020C"/>
    <w:rsid w:val="264F6618"/>
    <w:rsid w:val="26976211"/>
    <w:rsid w:val="278C389C"/>
    <w:rsid w:val="27E70AD2"/>
    <w:rsid w:val="28447DFE"/>
    <w:rsid w:val="2A9C7849"/>
    <w:rsid w:val="2C4E2ECE"/>
    <w:rsid w:val="2C893FE1"/>
    <w:rsid w:val="2CB85598"/>
    <w:rsid w:val="2CD533F4"/>
    <w:rsid w:val="2DE75388"/>
    <w:rsid w:val="2E0E0FCB"/>
    <w:rsid w:val="2F480F43"/>
    <w:rsid w:val="2FB7522E"/>
    <w:rsid w:val="300C2C77"/>
    <w:rsid w:val="30E87D95"/>
    <w:rsid w:val="32C207D3"/>
    <w:rsid w:val="33241CD2"/>
    <w:rsid w:val="36272A2D"/>
    <w:rsid w:val="36A209E6"/>
    <w:rsid w:val="36A63211"/>
    <w:rsid w:val="374E5F84"/>
    <w:rsid w:val="376901F5"/>
    <w:rsid w:val="38480FA6"/>
    <w:rsid w:val="38B73E49"/>
    <w:rsid w:val="38CC1D4A"/>
    <w:rsid w:val="39EB7DF7"/>
    <w:rsid w:val="3A296D28"/>
    <w:rsid w:val="3A9B5B91"/>
    <w:rsid w:val="3B0D66F5"/>
    <w:rsid w:val="3C1D1C82"/>
    <w:rsid w:val="3C386BE1"/>
    <w:rsid w:val="3D711112"/>
    <w:rsid w:val="3DE9412F"/>
    <w:rsid w:val="3F695642"/>
    <w:rsid w:val="3F83079A"/>
    <w:rsid w:val="3FDE06C9"/>
    <w:rsid w:val="430345BA"/>
    <w:rsid w:val="431940CC"/>
    <w:rsid w:val="46704C18"/>
    <w:rsid w:val="47B01DA9"/>
    <w:rsid w:val="483376F0"/>
    <w:rsid w:val="48B16866"/>
    <w:rsid w:val="48CA30B9"/>
    <w:rsid w:val="4AB964C5"/>
    <w:rsid w:val="4B6B1D13"/>
    <w:rsid w:val="4B6B71A0"/>
    <w:rsid w:val="4BD44D46"/>
    <w:rsid w:val="4C07336D"/>
    <w:rsid w:val="4C09454B"/>
    <w:rsid w:val="4DDF79D2"/>
    <w:rsid w:val="4F195165"/>
    <w:rsid w:val="51FE2BD5"/>
    <w:rsid w:val="53F1220D"/>
    <w:rsid w:val="55277E64"/>
    <w:rsid w:val="55CB4D5F"/>
    <w:rsid w:val="562543F0"/>
    <w:rsid w:val="567C04B4"/>
    <w:rsid w:val="56890E23"/>
    <w:rsid w:val="579B3A95"/>
    <w:rsid w:val="57EC5E28"/>
    <w:rsid w:val="580C3AB9"/>
    <w:rsid w:val="582A4316"/>
    <w:rsid w:val="58AB1524"/>
    <w:rsid w:val="58EF340B"/>
    <w:rsid w:val="591E5852"/>
    <w:rsid w:val="59A400EA"/>
    <w:rsid w:val="59A84D7E"/>
    <w:rsid w:val="5BAF6C35"/>
    <w:rsid w:val="5D236322"/>
    <w:rsid w:val="5DE364EB"/>
    <w:rsid w:val="5FBC14C5"/>
    <w:rsid w:val="60924FF0"/>
    <w:rsid w:val="615105C1"/>
    <w:rsid w:val="61C16CCB"/>
    <w:rsid w:val="621E2D8C"/>
    <w:rsid w:val="63325F47"/>
    <w:rsid w:val="636B3A7A"/>
    <w:rsid w:val="63823D89"/>
    <w:rsid w:val="63B1421C"/>
    <w:rsid w:val="650D2C1F"/>
    <w:rsid w:val="659155FE"/>
    <w:rsid w:val="66213CB4"/>
    <w:rsid w:val="663743F7"/>
    <w:rsid w:val="66596C69"/>
    <w:rsid w:val="671A71BF"/>
    <w:rsid w:val="68732C4E"/>
    <w:rsid w:val="689738CD"/>
    <w:rsid w:val="69CB1130"/>
    <w:rsid w:val="69CE75F4"/>
    <w:rsid w:val="6AB87733"/>
    <w:rsid w:val="6B561F62"/>
    <w:rsid w:val="6CE64481"/>
    <w:rsid w:val="6D04397B"/>
    <w:rsid w:val="6D0639BE"/>
    <w:rsid w:val="6D906F57"/>
    <w:rsid w:val="6DA56B78"/>
    <w:rsid w:val="6EAB0655"/>
    <w:rsid w:val="6F4D4C8B"/>
    <w:rsid w:val="6FD24922"/>
    <w:rsid w:val="6FE4739E"/>
    <w:rsid w:val="707E1687"/>
    <w:rsid w:val="708F6BDE"/>
    <w:rsid w:val="70B6738E"/>
    <w:rsid w:val="71764AFD"/>
    <w:rsid w:val="71CD5283"/>
    <w:rsid w:val="71D7083C"/>
    <w:rsid w:val="71FC2A49"/>
    <w:rsid w:val="72530D00"/>
    <w:rsid w:val="7308330F"/>
    <w:rsid w:val="73554DE5"/>
    <w:rsid w:val="74275AAB"/>
    <w:rsid w:val="745A5E80"/>
    <w:rsid w:val="75713DE8"/>
    <w:rsid w:val="76DD68F5"/>
    <w:rsid w:val="78321AE3"/>
    <w:rsid w:val="79360BC6"/>
    <w:rsid w:val="79550BDA"/>
    <w:rsid w:val="79856DD0"/>
    <w:rsid w:val="79EF4E67"/>
    <w:rsid w:val="7A5C5D83"/>
    <w:rsid w:val="7A6267C8"/>
    <w:rsid w:val="7B9337C9"/>
    <w:rsid w:val="7B963516"/>
    <w:rsid w:val="7BB4658C"/>
    <w:rsid w:val="7BC003C8"/>
    <w:rsid w:val="7BF00E78"/>
    <w:rsid w:val="7CC55E61"/>
    <w:rsid w:val="7E246B2B"/>
    <w:rsid w:val="7ED47206"/>
    <w:rsid w:val="7FD64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6"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5">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6"/>
    <w:pPr>
      <w:ind w:firstLine="420"/>
    </w:pPr>
    <w:rPr>
      <w:rFonts w:cs="Times New Roman"/>
    </w:rPr>
  </w:style>
  <w:style w:type="paragraph" w:styleId="3">
    <w:name w:val="Body Text Indent"/>
    <w:basedOn w:val="1"/>
    <w:unhideWhenUsed/>
    <w:qFormat/>
    <w:uiPriority w:val="99"/>
    <w:pPr>
      <w:spacing w:after="120"/>
      <w:ind w:left="420" w:leftChars="200"/>
    </w:pPr>
    <w:rPr>
      <w:rFonts w:ascii="Times New Roman" w:hAnsi="Times New Roman"/>
    </w:rPr>
  </w:style>
  <w:style w:type="paragraph" w:styleId="6">
    <w:name w:val="annotation text"/>
    <w:basedOn w:val="1"/>
    <w:link w:val="26"/>
    <w:qFormat/>
    <w:uiPriority w:val="0"/>
    <w:pPr>
      <w:jc w:val="left"/>
    </w:pPr>
  </w:style>
  <w:style w:type="paragraph" w:styleId="7">
    <w:name w:val="Body Text"/>
    <w:basedOn w:val="1"/>
    <w:next w:val="1"/>
    <w:qFormat/>
    <w:uiPriority w:val="0"/>
    <w:pPr>
      <w:spacing w:after="120"/>
    </w:pPr>
    <w:rPr>
      <w:rFonts w:ascii="Calibri" w:hAnsi="Calibri" w:eastAsia="宋体" w:cs="Times New Roman"/>
    </w:rPr>
  </w:style>
  <w:style w:type="paragraph" w:styleId="8">
    <w:name w:val="footer"/>
    <w:basedOn w:val="1"/>
    <w:semiHidden/>
    <w:unhideWhenUsed/>
    <w:qFormat/>
    <w:uiPriority w:val="99"/>
    <w:pPr>
      <w:tabs>
        <w:tab w:val="center" w:pos="4153"/>
        <w:tab w:val="right" w:pos="8306"/>
      </w:tabs>
      <w:snapToGrid w:val="0"/>
      <w:jc w:val="left"/>
    </w:pPr>
    <w:rPr>
      <w:sz w:val="18"/>
    </w:rPr>
  </w:style>
  <w:style w:type="paragraph" w:styleId="9">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semiHidden/>
    <w:unhideWhenUsed/>
    <w:qFormat/>
    <w:uiPriority w:val="39"/>
  </w:style>
  <w:style w:type="paragraph" w:styleId="11">
    <w:name w:val="toc 2"/>
    <w:basedOn w:val="1"/>
    <w:next w:val="1"/>
    <w:unhideWhenUsed/>
    <w:qFormat/>
    <w:uiPriority w:val="39"/>
    <w:pPr>
      <w:ind w:left="420" w:leftChars="200"/>
    </w:pPr>
  </w:style>
  <w:style w:type="paragraph" w:styleId="12">
    <w:name w:val="Normal (Web)"/>
    <w:basedOn w:val="1"/>
    <w:semiHidden/>
    <w:unhideWhenUsed/>
    <w:qFormat/>
    <w:uiPriority w:val="99"/>
    <w:pPr>
      <w:spacing w:beforeAutospacing="1" w:afterAutospacing="1"/>
      <w:jc w:val="left"/>
    </w:pPr>
    <w:rPr>
      <w:rFonts w:cs="Times New Roman"/>
      <w:kern w:val="0"/>
      <w:sz w:val="24"/>
    </w:rPr>
  </w:style>
  <w:style w:type="paragraph" w:styleId="13">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14">
    <w:name w:val="annotation subject"/>
    <w:basedOn w:val="6"/>
    <w:next w:val="6"/>
    <w:link w:val="27"/>
    <w:semiHidden/>
    <w:unhideWhenUsed/>
    <w:qFormat/>
    <w:uiPriority w:val="99"/>
    <w:rPr>
      <w:b/>
      <w:bCs/>
    </w:rPr>
  </w:style>
  <w:style w:type="character" w:styleId="17">
    <w:name w:val="FollowedHyperlink"/>
    <w:basedOn w:val="16"/>
    <w:semiHidden/>
    <w:unhideWhenUsed/>
    <w:qFormat/>
    <w:uiPriority w:val="99"/>
    <w:rPr>
      <w:color w:val="800080"/>
      <w:u w:val="single"/>
    </w:rPr>
  </w:style>
  <w:style w:type="character" w:styleId="18">
    <w:name w:val="Hyperlink"/>
    <w:basedOn w:val="16"/>
    <w:semiHidden/>
    <w:unhideWhenUsed/>
    <w:qFormat/>
    <w:uiPriority w:val="99"/>
    <w:rPr>
      <w:color w:val="0000FF"/>
      <w:u w:val="single"/>
    </w:rPr>
  </w:style>
  <w:style w:type="character" w:styleId="19">
    <w:name w:val="annotation reference"/>
    <w:basedOn w:val="16"/>
    <w:semiHidden/>
    <w:unhideWhenUsed/>
    <w:qFormat/>
    <w:uiPriority w:val="99"/>
    <w:rPr>
      <w:sz w:val="21"/>
      <w:szCs w:val="21"/>
    </w:rPr>
  </w:style>
  <w:style w:type="paragraph" w:styleId="20">
    <w:name w:val="List Paragraph"/>
    <w:basedOn w:val="1"/>
    <w:qFormat/>
    <w:uiPriority w:val="34"/>
    <w:pPr>
      <w:ind w:firstLine="420" w:firstLineChars="200"/>
    </w:pPr>
  </w:style>
  <w:style w:type="character" w:customStyle="1" w:styleId="21">
    <w:name w:val="font11"/>
    <w:basedOn w:val="16"/>
    <w:qFormat/>
    <w:uiPriority w:val="0"/>
    <w:rPr>
      <w:rFonts w:hint="eastAsia" w:ascii="宋体" w:hAnsi="宋体" w:eastAsia="宋体" w:cs="宋体"/>
      <w:b/>
      <w:bCs/>
      <w:color w:val="000000"/>
      <w:sz w:val="21"/>
      <w:szCs w:val="21"/>
      <w:u w:val="none"/>
    </w:rPr>
  </w:style>
  <w:style w:type="character" w:customStyle="1" w:styleId="22">
    <w:name w:val="font31"/>
    <w:basedOn w:val="16"/>
    <w:qFormat/>
    <w:uiPriority w:val="0"/>
    <w:rPr>
      <w:rFonts w:hint="eastAsia" w:ascii="宋体" w:hAnsi="宋体" w:eastAsia="宋体" w:cs="宋体"/>
      <w:color w:val="000000"/>
      <w:sz w:val="21"/>
      <w:szCs w:val="21"/>
      <w:u w:val="none"/>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5">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6">
    <w:name w:val="批注文字 字符"/>
    <w:basedOn w:val="16"/>
    <w:link w:val="6"/>
    <w:qFormat/>
    <w:uiPriority w:val="0"/>
    <w:rPr>
      <w:rFonts w:asciiTheme="minorHAnsi" w:hAnsiTheme="minorHAnsi" w:eastAsiaTheme="minorEastAsia" w:cstheme="minorBidi"/>
      <w:kern w:val="2"/>
      <w:sz w:val="21"/>
      <w:szCs w:val="22"/>
    </w:rPr>
  </w:style>
  <w:style w:type="character" w:customStyle="1" w:styleId="27">
    <w:name w:val="批注主题 字符"/>
    <w:basedOn w:val="26"/>
    <w:link w:val="14"/>
    <w:semiHidden/>
    <w:qFormat/>
    <w:uiPriority w:val="99"/>
    <w:rPr>
      <w:rFonts w:asciiTheme="minorHAnsi" w:hAnsiTheme="minorHAnsi" w:eastAsiaTheme="minorEastAsia" w:cstheme="minorBidi"/>
      <w:b/>
      <w:bCs/>
      <w:kern w:val="2"/>
      <w:sz w:val="21"/>
      <w:szCs w:val="22"/>
    </w:rPr>
  </w:style>
  <w:style w:type="character" w:customStyle="1" w:styleId="28">
    <w:name w:val="font21"/>
    <w:basedOn w:val="16"/>
    <w:qFormat/>
    <w:uiPriority w:val="0"/>
    <w:rPr>
      <w:rFonts w:hint="default" w:ascii="Times New Roman" w:hAnsi="Times New Roman" w:cs="Times New Roman"/>
      <w:color w:val="000000"/>
      <w:sz w:val="24"/>
      <w:szCs w:val="24"/>
      <w:u w:val="none"/>
    </w:rPr>
  </w:style>
  <w:style w:type="paragraph" w:customStyle="1" w:styleId="29">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0">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35</Pages>
  <Words>14745</Words>
  <Characters>16985</Characters>
  <Lines>141</Lines>
  <Paragraphs>39</Paragraphs>
  <TotalTime>6</TotalTime>
  <ScaleCrop>false</ScaleCrop>
  <LinksUpToDate>false</LinksUpToDate>
  <CharactersWithSpaces>17093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2023-09-06T00:59:00Z</dcterms:created>
  <dc:creator>jingliming@rccpa.com.cn</dc:creator>
  <cp:lastModifiedBy>杨勇</cp:lastModifiedBy>
  <cp:lastPrinted>2023-09-15T03:44:00Z</cp:lastPrinted>
  <dcterms:modified xsi:type="dcterms:W3CDTF">2023-10-16T07:23:32Z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199940BA3A4F418A90F4DC36AB0C7FDC_13</vt:lpwstr>
  </property>
</Properties>
</file>