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line="360" w:lineRule="auto"/>
        <w:jc w:val="center"/>
        <w:rPr>
          <w:rFonts w:hint="eastAsia" w:ascii="楷体" w:hAnsi="楷体" w:eastAsia="楷体"/>
          <w:b/>
          <w:sz w:val="44"/>
          <w:szCs w:val="44"/>
          <w:lang w:bidi="ar"/>
        </w:rPr>
      </w:pPr>
    </w:p>
    <w:p>
      <w:pPr>
        <w:widowControl/>
        <w:spacing w:before="156" w:beforeLines="50" w:line="360" w:lineRule="auto"/>
        <w:rPr>
          <w:rFonts w:hint="eastAsia" w:ascii="楷体" w:hAnsi="楷体" w:eastAsia="楷体"/>
          <w:b/>
          <w:szCs w:val="21"/>
          <w:lang w:bidi="ar"/>
        </w:rPr>
      </w:pPr>
    </w:p>
    <w:p>
      <w:pPr>
        <w:widowControl/>
        <w:spacing w:before="156" w:beforeLines="50" w:line="360" w:lineRule="auto"/>
        <w:jc w:val="center"/>
        <w:rPr>
          <w:rFonts w:hint="eastAsia" w:ascii="楷体" w:hAnsi="楷体" w:eastAsia="楷体"/>
          <w:b/>
          <w:szCs w:val="21"/>
          <w:lang w:bidi="ar"/>
        </w:rPr>
      </w:pPr>
    </w:p>
    <w:p>
      <w:pPr>
        <w:widowControl/>
        <w:spacing w:before="156" w:beforeLines="50" w:line="360" w:lineRule="auto"/>
        <w:jc w:val="center"/>
        <w:rPr>
          <w:rFonts w:hint="eastAsia" w:ascii="楷体" w:hAnsi="楷体" w:eastAsia="楷体"/>
          <w:b/>
          <w:sz w:val="36"/>
          <w:szCs w:val="36"/>
          <w:lang w:bidi="ar"/>
        </w:rPr>
      </w:pPr>
      <w:r>
        <w:rPr>
          <w:rFonts w:hint="eastAsia" w:ascii="楷体" w:hAnsi="楷体" w:eastAsia="楷体"/>
          <w:b/>
          <w:sz w:val="36"/>
          <w:szCs w:val="36"/>
          <w:lang w:bidi="ar"/>
        </w:rPr>
        <w:t>伊金霍洛旗城市投资建设集团有限责任公司</w:t>
      </w:r>
    </w:p>
    <w:p>
      <w:pPr>
        <w:widowControl/>
        <w:spacing w:before="156" w:beforeLines="50" w:line="360" w:lineRule="auto"/>
        <w:jc w:val="center"/>
        <w:rPr>
          <w:rFonts w:hint="eastAsia" w:ascii="楷体" w:hAnsi="楷体" w:eastAsia="楷体"/>
          <w:b/>
          <w:sz w:val="44"/>
          <w:szCs w:val="44"/>
          <w:lang w:val="zh-CN" w:bidi="ar"/>
        </w:rPr>
      </w:pPr>
      <w:r>
        <w:rPr>
          <w:rFonts w:hint="eastAsia" w:ascii="楷体" w:hAnsi="楷体" w:eastAsia="楷体"/>
          <w:b/>
          <w:sz w:val="36"/>
          <w:szCs w:val="36"/>
          <w:lang w:val="en-US" w:eastAsia="zh-CN" w:bidi="ar"/>
        </w:rPr>
        <w:t>财政</w:t>
      </w:r>
      <w:r>
        <w:rPr>
          <w:rFonts w:hint="eastAsia" w:ascii="楷体" w:hAnsi="楷体" w:eastAsia="楷体"/>
          <w:b/>
          <w:sz w:val="36"/>
          <w:szCs w:val="36"/>
          <w:lang w:bidi="ar"/>
        </w:rPr>
        <w:t>预算</w:t>
      </w:r>
      <w:r>
        <w:rPr>
          <w:rFonts w:hint="eastAsia" w:ascii="楷体" w:hAnsi="楷体" w:eastAsia="楷体"/>
          <w:b/>
          <w:sz w:val="36"/>
          <w:szCs w:val="36"/>
          <w:lang w:val="en-US" w:eastAsia="zh-CN" w:bidi="ar"/>
        </w:rPr>
        <w:t>资金</w:t>
      </w:r>
      <w:r>
        <w:rPr>
          <w:rFonts w:hint="eastAsia" w:ascii="楷体" w:hAnsi="楷体" w:eastAsia="楷体"/>
          <w:b/>
          <w:sz w:val="36"/>
          <w:szCs w:val="36"/>
          <w:lang w:val="zh-CN" w:bidi="ar"/>
        </w:rPr>
        <w:t>绩效评价报告</w:t>
      </w:r>
    </w:p>
    <w:p>
      <w:pPr>
        <w:pStyle w:val="7"/>
        <w:ind w:firstLine="0" w:firstLineChars="0"/>
        <w:jc w:val="center"/>
        <w:rPr>
          <w:rFonts w:hint="eastAsia" w:ascii="黑体" w:hAnsi="宋体" w:eastAsia="黑体"/>
          <w:bCs/>
          <w:sz w:val="36"/>
          <w:szCs w:val="36"/>
          <w:lang w:val="zh-CN" w:bidi="ar"/>
        </w:rPr>
      </w:pPr>
    </w:p>
    <w:p>
      <w:pPr>
        <w:pStyle w:val="45"/>
        <w:rPr>
          <w:rFonts w:hint="eastAsia" w:ascii="黑体" w:hAnsi="宋体" w:eastAsia="黑体"/>
          <w:b/>
          <w:sz w:val="72"/>
          <w:szCs w:val="72"/>
          <w:lang w:val="zh-CN" w:bidi="ar"/>
        </w:rPr>
      </w:pPr>
    </w:p>
    <w:p>
      <w:pPr>
        <w:rPr>
          <w:rFonts w:hint="eastAsia" w:ascii="黑体" w:hAnsi="宋体" w:eastAsia="黑体"/>
          <w:b/>
          <w:sz w:val="72"/>
          <w:szCs w:val="72"/>
          <w:lang w:val="zh-CN" w:bidi="ar"/>
        </w:rPr>
      </w:pPr>
    </w:p>
    <w:p>
      <w:pPr>
        <w:pStyle w:val="7"/>
        <w:ind w:firstLine="1446"/>
        <w:rPr>
          <w:rFonts w:hint="eastAsia" w:ascii="黑体" w:hAnsi="宋体" w:eastAsia="黑体"/>
          <w:b/>
          <w:sz w:val="72"/>
          <w:szCs w:val="72"/>
          <w:lang w:val="zh-CN" w:bidi="ar"/>
        </w:rPr>
      </w:pPr>
    </w:p>
    <w:p>
      <w:pPr>
        <w:pStyle w:val="45"/>
        <w:rPr>
          <w:rFonts w:hint="eastAsia" w:ascii="黑体" w:hAnsi="宋体" w:eastAsia="黑体"/>
          <w:b/>
          <w:sz w:val="72"/>
          <w:szCs w:val="72"/>
          <w:lang w:val="zh-CN" w:bidi="ar"/>
        </w:rPr>
      </w:pPr>
    </w:p>
    <w:p>
      <w:pPr>
        <w:rPr>
          <w:rFonts w:hint="eastAsia" w:ascii="黑体" w:hAnsi="宋体" w:eastAsia="黑体"/>
          <w:b/>
          <w:sz w:val="72"/>
          <w:szCs w:val="72"/>
          <w:lang w:val="zh-CN" w:bidi="ar"/>
        </w:rPr>
      </w:pPr>
    </w:p>
    <w:p>
      <w:pPr>
        <w:pStyle w:val="2"/>
        <w:rPr>
          <w:rFonts w:hint="eastAsia"/>
          <w:lang w:val="zh-CN"/>
        </w:rPr>
      </w:pPr>
    </w:p>
    <w:p>
      <w:pPr>
        <w:spacing w:line="600" w:lineRule="exact"/>
        <w:jc w:val="center"/>
        <w:rPr>
          <w:rFonts w:ascii="楷体" w:hAnsi="楷体" w:eastAsia="楷体"/>
          <w:b/>
          <w:sz w:val="44"/>
          <w:szCs w:val="44"/>
        </w:rPr>
      </w:pPr>
      <w:r>
        <w:rPr>
          <w:rFonts w:hint="eastAsia" w:ascii="楷体" w:hAnsi="楷体" w:eastAsia="楷体"/>
          <w:b/>
          <w:sz w:val="44"/>
          <w:szCs w:val="44"/>
          <w:lang w:bidi="ar"/>
        </w:rPr>
        <w:t>内蒙古东衡政同咨询管理有限公司</w:t>
      </w:r>
    </w:p>
    <w:p>
      <w:pPr>
        <w:widowControl/>
        <w:spacing w:before="156" w:beforeLines="50" w:after="156" w:afterLines="50" w:line="360" w:lineRule="auto"/>
        <w:rPr>
          <w:rFonts w:ascii="黑体" w:hAnsi="宋体" w:eastAsia="黑体" w:cs="仿宋"/>
          <w:b/>
          <w:sz w:val="32"/>
          <w:szCs w:val="32"/>
        </w:rPr>
      </w:pPr>
    </w:p>
    <w:p>
      <w:pPr>
        <w:spacing w:line="600" w:lineRule="exact"/>
        <w:jc w:val="center"/>
        <w:rPr>
          <w:rFonts w:hint="eastAsia" w:ascii="仿宋" w:hAnsi="仿宋" w:eastAsia="仿宋" w:cs="仿宋"/>
          <w:bCs/>
          <w:caps/>
          <w:sz w:val="30"/>
          <w:szCs w:val="30"/>
        </w:rPr>
        <w:sectPr>
          <w:headerReference r:id="rId3" w:type="default"/>
          <w:pgSz w:w="11906" w:h="16838"/>
          <w:pgMar w:top="1440" w:right="1800" w:bottom="1440" w:left="1800" w:header="851" w:footer="992" w:gutter="0"/>
          <w:pgNumType w:start="1"/>
          <w:cols w:space="720" w:num="1"/>
          <w:docGrid w:type="lines" w:linePitch="312" w:charSpace="0"/>
        </w:sectPr>
      </w:pPr>
      <w:bookmarkStart w:id="0" w:name="_Toc42518858"/>
    </w:p>
    <w:p>
      <w:pPr>
        <w:adjustRightInd w:val="0"/>
        <w:snapToGrid w:val="0"/>
        <w:spacing w:line="360" w:lineRule="auto"/>
        <w:jc w:val="center"/>
        <w:rPr>
          <w:rFonts w:hint="eastAsia" w:ascii="仿宋_GB2312" w:hAnsi="仿宋_GB2312" w:eastAsia="仿宋_GB2312" w:cs="仿宋_GB2312"/>
          <w:bCs/>
          <w:caps/>
          <w:sz w:val="30"/>
          <w:szCs w:val="30"/>
        </w:rPr>
      </w:pPr>
      <w:r>
        <w:rPr>
          <w:rFonts w:hint="eastAsia" w:ascii="仿宋_GB2312" w:hAnsi="仿宋_GB2312" w:eastAsia="仿宋_GB2312" w:cs="仿宋_GB2312"/>
          <w:b/>
          <w:sz w:val="36"/>
          <w:szCs w:val="36"/>
          <w:lang w:val="en-US" w:eastAsia="zh-CN" w:bidi="ar"/>
        </w:rPr>
        <w:t>财政</w:t>
      </w:r>
      <w:r>
        <w:rPr>
          <w:rFonts w:hint="eastAsia" w:ascii="仿宋_GB2312" w:hAnsi="仿宋_GB2312" w:eastAsia="仿宋_GB2312" w:cs="仿宋_GB2312"/>
          <w:b/>
          <w:sz w:val="36"/>
          <w:szCs w:val="36"/>
          <w:lang w:bidi="ar"/>
        </w:rPr>
        <w:t>预算</w:t>
      </w:r>
      <w:r>
        <w:rPr>
          <w:rFonts w:hint="eastAsia" w:ascii="仿宋_GB2312" w:hAnsi="仿宋_GB2312" w:eastAsia="仿宋_GB2312" w:cs="仿宋_GB2312"/>
          <w:b/>
          <w:sz w:val="36"/>
          <w:szCs w:val="36"/>
          <w:lang w:val="en-US" w:eastAsia="zh-CN" w:bidi="ar"/>
        </w:rPr>
        <w:t>资金</w:t>
      </w:r>
      <w:r>
        <w:rPr>
          <w:rFonts w:hint="eastAsia" w:ascii="仿宋_GB2312" w:hAnsi="仿宋_GB2312" w:eastAsia="仿宋_GB2312" w:cs="仿宋_GB2312"/>
          <w:b/>
          <w:sz w:val="36"/>
          <w:szCs w:val="36"/>
          <w:lang w:val="zh-CN" w:bidi="ar"/>
        </w:rPr>
        <w:t>绩效评价报告</w:t>
      </w:r>
    </w:p>
    <w:p>
      <w:pPr>
        <w:adjustRightInd w:val="0"/>
        <w:snapToGrid w:val="0"/>
        <w:spacing w:line="360" w:lineRule="auto"/>
        <w:ind w:firstLine="600" w:firstLineChars="200"/>
        <w:rPr>
          <w:rFonts w:hint="eastAsia" w:ascii="仿宋" w:hAnsi="仿宋" w:eastAsia="仿宋" w:cs="仿宋"/>
          <w:bCs/>
          <w:caps/>
          <w:sz w:val="30"/>
          <w:szCs w:val="30"/>
        </w:rPr>
      </w:pPr>
      <w:r>
        <w:rPr>
          <w:rFonts w:hint="eastAsia" w:ascii="仿宋" w:hAnsi="仿宋" w:eastAsia="仿宋" w:cs="仿宋"/>
          <w:bCs/>
          <w:caps/>
          <w:sz w:val="30"/>
          <w:szCs w:val="30"/>
        </w:rPr>
        <w:t>为</w:t>
      </w:r>
      <w:r>
        <w:rPr>
          <w:rFonts w:hint="eastAsia" w:ascii="仿宋" w:hAnsi="仿宋" w:eastAsia="仿宋" w:cs="仿宋"/>
          <w:bCs/>
          <w:caps/>
          <w:sz w:val="30"/>
          <w:szCs w:val="30"/>
          <w:lang w:val="en-US" w:eastAsia="zh-CN"/>
        </w:rPr>
        <w:t>提高</w:t>
      </w:r>
      <w:r>
        <w:rPr>
          <w:rFonts w:hint="eastAsia" w:ascii="仿宋" w:hAnsi="仿宋" w:eastAsia="仿宋" w:cs="仿宋"/>
          <w:bCs/>
          <w:caps/>
          <w:sz w:val="30"/>
          <w:szCs w:val="30"/>
        </w:rPr>
        <w:t>国有企业经营管理水平，发挥绩效评价工作的全面评判、管理诊断和行为引导作用，根据《中央企业综合绩效评价管理暂行办法》《内蒙古自治区本级国有资本经营预算支出管理办法》《鄂尔多斯市本级国有资本经营预算支出管理暂行办法》《伊金霍洛旗人民政府办公室关于印发全面实施预算绩效管理意见的通知》《伊金霍洛旗国有企业领</w:t>
      </w:r>
      <w:bookmarkStart w:id="60" w:name="_GoBack"/>
      <w:bookmarkEnd w:id="60"/>
      <w:r>
        <w:rPr>
          <w:rFonts w:hint="eastAsia" w:ascii="仿宋" w:hAnsi="仿宋" w:eastAsia="仿宋" w:cs="仿宋"/>
          <w:bCs/>
          <w:caps/>
          <w:sz w:val="30"/>
          <w:szCs w:val="30"/>
        </w:rPr>
        <w:t>导人员经营业绩考核办法》《伊金霍洛旗绩效评价税收服务中心关于开展财政预算资金绩效评价工作的通知》等相关规定，内蒙古东衡政同咨询管理有限公司接受委托，成立绩效评价工作组，于2023年2月1日至2023年</w:t>
      </w:r>
      <w:r>
        <w:rPr>
          <w:rFonts w:hint="eastAsia" w:ascii="仿宋" w:hAnsi="仿宋" w:eastAsia="仿宋" w:cs="仿宋"/>
          <w:bCs/>
          <w:caps/>
          <w:sz w:val="30"/>
          <w:szCs w:val="30"/>
          <w:lang w:val="en-US" w:eastAsia="zh-CN"/>
        </w:rPr>
        <w:t>8</w:t>
      </w:r>
      <w:r>
        <w:rPr>
          <w:rFonts w:hint="eastAsia" w:ascii="仿宋" w:hAnsi="仿宋" w:eastAsia="仿宋" w:cs="仿宋"/>
          <w:bCs/>
          <w:caps/>
          <w:sz w:val="30"/>
          <w:szCs w:val="30"/>
        </w:rPr>
        <w:t>月31日，对伊金霍洛旗城市投资建设集团有限责任公司(以下简称“城投集团”)2021年-2022年</w:t>
      </w:r>
      <w:r>
        <w:rPr>
          <w:rFonts w:hint="eastAsia" w:ascii="仿宋" w:hAnsi="仿宋" w:eastAsia="仿宋" w:cs="仿宋"/>
          <w:bCs/>
          <w:caps/>
          <w:sz w:val="30"/>
          <w:szCs w:val="30"/>
          <w:lang w:val="en-US" w:eastAsia="zh-CN"/>
        </w:rPr>
        <w:t>国有企业</w:t>
      </w:r>
      <w:r>
        <w:rPr>
          <w:rFonts w:hint="eastAsia" w:ascii="仿宋" w:hAnsi="仿宋" w:eastAsia="仿宋" w:cs="仿宋"/>
          <w:bCs/>
          <w:caps/>
          <w:sz w:val="30"/>
          <w:szCs w:val="30"/>
        </w:rPr>
        <w:t>财政预算资金，包括财政结算凭证到期结算、远景现代能源装备制造项目进行了绩效评价。</w:t>
      </w:r>
    </w:p>
    <w:p>
      <w:pPr>
        <w:pStyle w:val="3"/>
        <w:adjustRightInd w:val="0"/>
        <w:snapToGrid w:val="0"/>
        <w:spacing w:before="0" w:after="0" w:line="360" w:lineRule="auto"/>
        <w:ind w:firstLine="600" w:firstLineChars="200"/>
        <w:rPr>
          <w:rFonts w:eastAsia="黑体"/>
          <w:b w:val="0"/>
          <w:sz w:val="30"/>
          <w:szCs w:val="30"/>
        </w:rPr>
      </w:pPr>
      <w:bookmarkStart w:id="1" w:name="_Toc13957"/>
      <w:bookmarkStart w:id="2" w:name="_Toc17476"/>
      <w:r>
        <w:rPr>
          <w:rFonts w:eastAsia="黑体"/>
          <w:b w:val="0"/>
          <w:sz w:val="30"/>
          <w:szCs w:val="30"/>
        </w:rPr>
        <w:t>一、基本情况</w:t>
      </w:r>
      <w:bookmarkEnd w:id="0"/>
      <w:bookmarkEnd w:id="1"/>
      <w:bookmarkEnd w:id="2"/>
    </w:p>
    <w:p>
      <w:pPr>
        <w:adjustRightInd w:val="0"/>
        <w:snapToGrid w:val="0"/>
        <w:spacing w:line="360" w:lineRule="auto"/>
        <w:ind w:firstLine="602" w:firstLineChars="200"/>
        <w:outlineLvl w:val="1"/>
        <w:rPr>
          <w:rFonts w:hint="eastAsia" w:ascii="楷体" w:hAnsi="楷体" w:eastAsia="楷体" w:cs="Arial"/>
          <w:b/>
          <w:kern w:val="0"/>
          <w:sz w:val="30"/>
          <w:szCs w:val="30"/>
        </w:rPr>
      </w:pPr>
      <w:bookmarkStart w:id="3" w:name="_Toc42518859"/>
      <w:bookmarkStart w:id="4" w:name="_Toc24445954"/>
      <w:bookmarkStart w:id="5" w:name="_Toc26994"/>
      <w:bookmarkStart w:id="6" w:name="_Toc7290"/>
      <w:r>
        <w:rPr>
          <w:rFonts w:hint="eastAsia" w:ascii="楷体" w:hAnsi="楷体" w:eastAsia="楷体" w:cs="Arial"/>
          <w:b/>
          <w:kern w:val="0"/>
          <w:sz w:val="30"/>
          <w:szCs w:val="30"/>
        </w:rPr>
        <w:t>（一）</w:t>
      </w:r>
      <w:bookmarkEnd w:id="3"/>
      <w:bookmarkEnd w:id="4"/>
      <w:bookmarkStart w:id="7" w:name="_Toc42518860"/>
      <w:bookmarkStart w:id="8" w:name="_Toc24445955"/>
      <w:bookmarkStart w:id="9" w:name="_Toc518984420"/>
      <w:r>
        <w:rPr>
          <w:rFonts w:hint="eastAsia" w:ascii="楷体" w:hAnsi="楷体" w:eastAsia="楷体" w:cs="Arial"/>
          <w:b/>
          <w:kern w:val="0"/>
          <w:sz w:val="30"/>
          <w:szCs w:val="30"/>
        </w:rPr>
        <w:t>企业基本情况</w:t>
      </w:r>
      <w:bookmarkEnd w:id="5"/>
      <w:bookmarkEnd w:id="6"/>
    </w:p>
    <w:p>
      <w:pPr>
        <w:adjustRightInd w:val="0"/>
        <w:snapToGrid w:val="0"/>
        <w:spacing w:line="360" w:lineRule="auto"/>
        <w:ind w:firstLine="602" w:firstLineChars="200"/>
        <w:outlineLvl w:val="2"/>
        <w:rPr>
          <w:rFonts w:hint="eastAsia" w:ascii="仿宋" w:hAnsi="仿宋" w:eastAsia="仿宋" w:cs="仿宋"/>
          <w:bCs/>
          <w:caps/>
          <w:sz w:val="30"/>
          <w:szCs w:val="30"/>
        </w:rPr>
      </w:pPr>
      <w:bookmarkStart w:id="10" w:name="_Toc22248"/>
      <w:r>
        <w:rPr>
          <w:rFonts w:ascii="仿宋" w:hAnsi="仿宋" w:eastAsia="仿宋" w:cs="仿宋"/>
          <w:b/>
          <w:caps/>
          <w:sz w:val="30"/>
          <w:szCs w:val="30"/>
        </w:rPr>
        <w:t>1.</w:t>
      </w:r>
      <w:r>
        <w:rPr>
          <w:rFonts w:hint="eastAsia" w:ascii="仿宋" w:hAnsi="仿宋" w:eastAsia="仿宋" w:cs="仿宋"/>
          <w:b/>
          <w:caps/>
          <w:sz w:val="30"/>
          <w:szCs w:val="30"/>
        </w:rPr>
        <w:t>企业概况</w:t>
      </w:r>
      <w:bookmarkEnd w:id="10"/>
    </w:p>
    <w:p>
      <w:pPr>
        <w:adjustRightInd w:val="0"/>
        <w:snapToGrid w:val="0"/>
        <w:spacing w:line="360" w:lineRule="auto"/>
        <w:ind w:firstLine="600" w:firstLineChars="200"/>
        <w:rPr>
          <w:rFonts w:hint="eastAsia" w:ascii="仿宋" w:hAnsi="仿宋" w:eastAsia="仿宋" w:cs="仿宋"/>
          <w:bCs/>
          <w:caps/>
          <w:sz w:val="30"/>
          <w:szCs w:val="30"/>
        </w:rPr>
      </w:pPr>
      <w:r>
        <w:rPr>
          <w:rFonts w:hint="eastAsia" w:ascii="仿宋" w:hAnsi="仿宋" w:eastAsia="仿宋" w:cs="仿宋"/>
          <w:bCs/>
          <w:caps/>
          <w:sz w:val="30"/>
          <w:szCs w:val="30"/>
        </w:rPr>
        <w:t>城投集团始建于2006年3月，前身为伊金霍洛旗宏泰城市建设投资有限责任公司，注册资本5000万元，截至目前，集团公司资产规模已达259.65亿元。集团经营范围主要包括：房地产开发运营、市政基础设施建设、建筑材料生产销售、机械租赁、商品经营销售、测绘服务、项目规划设计、工程检测等多个领域。目前集团公司逐步形成了集城市综合开发、基础设施建设、公共服务、实体产业的大型综合企业。</w:t>
      </w:r>
    </w:p>
    <w:p>
      <w:pPr>
        <w:adjustRightInd w:val="0"/>
        <w:snapToGrid w:val="0"/>
        <w:spacing w:line="360" w:lineRule="auto"/>
        <w:ind w:firstLine="602" w:firstLineChars="200"/>
        <w:outlineLvl w:val="2"/>
        <w:rPr>
          <w:rFonts w:hint="eastAsia" w:ascii="仿宋" w:hAnsi="仿宋" w:eastAsia="仿宋" w:cs="仿宋"/>
          <w:bCs/>
          <w:caps/>
          <w:sz w:val="30"/>
          <w:szCs w:val="30"/>
        </w:rPr>
      </w:pPr>
      <w:bookmarkStart w:id="11" w:name="_Toc17907"/>
      <w:r>
        <w:rPr>
          <w:rFonts w:ascii="仿宋" w:hAnsi="仿宋" w:eastAsia="仿宋" w:cs="仿宋"/>
          <w:b/>
          <w:caps/>
          <w:sz w:val="30"/>
          <w:szCs w:val="30"/>
        </w:rPr>
        <w:t>2.</w:t>
      </w:r>
      <w:r>
        <w:rPr>
          <w:rFonts w:hint="eastAsia" w:ascii="仿宋" w:hAnsi="仿宋" w:eastAsia="仿宋" w:cs="仿宋"/>
          <w:b/>
          <w:caps/>
          <w:sz w:val="30"/>
          <w:szCs w:val="30"/>
        </w:rPr>
        <w:t>企业机构设置</w:t>
      </w:r>
      <w:bookmarkEnd w:id="11"/>
    </w:p>
    <w:p>
      <w:pPr>
        <w:adjustRightInd w:val="0"/>
        <w:snapToGrid w:val="0"/>
        <w:spacing w:line="360" w:lineRule="auto"/>
        <w:ind w:firstLine="602" w:firstLineChars="200"/>
        <w:rPr>
          <w:rFonts w:hint="eastAsia" w:ascii="仿宋" w:hAnsi="仿宋" w:eastAsia="仿宋" w:cs="仿宋"/>
          <w:bCs/>
          <w:caps/>
          <w:sz w:val="30"/>
          <w:szCs w:val="30"/>
        </w:rPr>
      </w:pPr>
      <w:r>
        <w:rPr>
          <w:rFonts w:hint="eastAsia" w:ascii="仿宋" w:hAnsi="仿宋" w:eastAsia="仿宋" w:cs="仿宋"/>
          <w:b/>
          <w:caps/>
          <w:sz w:val="30"/>
          <w:szCs w:val="30"/>
        </w:rPr>
        <w:t>一是内设机构。</w:t>
      </w:r>
      <w:r>
        <w:rPr>
          <w:rFonts w:hint="eastAsia" w:ascii="仿宋" w:hAnsi="仿宋" w:eastAsia="仿宋" w:cs="仿宋"/>
          <w:bCs/>
          <w:caps/>
          <w:sz w:val="30"/>
          <w:szCs w:val="30"/>
        </w:rPr>
        <w:t>城投集团内设党群工作部、行政综合部、人力资源部、财务资产部、战略投资部、集中采购部、法律事务部、质量安全环保监察部及纪检审计监察部共9个部门。</w:t>
      </w:r>
      <w:r>
        <w:rPr>
          <w:rFonts w:hint="eastAsia" w:ascii="仿宋" w:hAnsi="仿宋" w:eastAsia="仿宋" w:cs="仿宋"/>
          <w:b/>
          <w:caps/>
          <w:sz w:val="30"/>
          <w:szCs w:val="30"/>
        </w:rPr>
        <w:t>二是下属子公司设立情况。</w:t>
      </w:r>
      <w:r>
        <w:rPr>
          <w:rFonts w:hint="eastAsia" w:ascii="仿宋" w:hAnsi="仿宋" w:eastAsia="仿宋" w:cs="仿宋"/>
          <w:bCs/>
          <w:caps/>
          <w:sz w:val="30"/>
          <w:szCs w:val="30"/>
        </w:rPr>
        <w:t>城投集团现有二级子公司10家，分别为：伊金霍洛旗宏泰城市建设投资有限责任公司（以下简称“宏泰城市建设投资公司”）、伊金霍洛旗宏泰房地产开发有限责任公司（以下简称“宏泰房地产开发公司”）、伊金霍洛旗汇众聚业房屋运营服务有限责任公司（以下简称“汇众聚业房屋运营公司”）、伊金霍洛旗宏泰建筑安装公司（以下简称“宏泰建筑安装公司”）、伊金霍洛旗宏泰实业有限责任公司（以下简称“宏泰实业公司”）、伊金霍洛旗宏泰商贸有限责任公司（以下简称“宏泰商贸公司”）、伊金霍洛旗宏泰城投工程检测技术有限责任公司（以下简称“宏泰城投工程检测技术公司”）、鄂尔多斯市圣地园生态园林绿化有限公司（以下简称“圣地园生态园林绿化公司”）、水岸欣城建设投资有限责任公司（以下简称“水岸欣城建设投资公司”）、内蒙古腾伟科技有限责任公司（以下简称“腾伟科技公司”）。子公司情况见表1。</w:t>
      </w:r>
      <w:r>
        <w:rPr>
          <w:rFonts w:hint="eastAsia" w:ascii="仿宋" w:hAnsi="仿宋" w:eastAsia="仿宋" w:cs="仿宋"/>
          <w:b/>
          <w:caps/>
          <w:sz w:val="30"/>
          <w:szCs w:val="30"/>
        </w:rPr>
        <w:t>三是人员构成。</w:t>
      </w:r>
      <w:r>
        <w:rPr>
          <w:rFonts w:hint="eastAsia" w:ascii="仿宋" w:hAnsi="仿宋" w:eastAsia="仿宋" w:cs="仿宋"/>
          <w:bCs/>
          <w:caps/>
          <w:sz w:val="30"/>
          <w:szCs w:val="30"/>
        </w:rPr>
        <w:t>城投集团现有各类从业人员400余人。</w:t>
      </w:r>
    </w:p>
    <w:p>
      <w:pPr>
        <w:widowControl/>
        <w:adjustRightInd w:val="0"/>
        <w:snapToGrid w:val="0"/>
        <w:spacing w:line="360" w:lineRule="auto"/>
        <w:jc w:val="center"/>
        <w:rPr>
          <w:rFonts w:eastAsia="黑体"/>
          <w:sz w:val="24"/>
        </w:rPr>
      </w:pPr>
      <w:r>
        <w:rPr>
          <w:rFonts w:hint="eastAsia" w:ascii="黑体" w:hAnsi="黑体" w:eastAsia="黑体" w:cs="黑体"/>
          <w:sz w:val="24"/>
        </w:rPr>
        <w:t>表1 城投集团二级子公司情况表</w:t>
      </w:r>
    </w:p>
    <w:tbl>
      <w:tblPr>
        <w:tblStyle w:val="19"/>
        <w:tblW w:w="552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1871"/>
        <w:gridCol w:w="1369"/>
        <w:gridCol w:w="1186"/>
        <w:gridCol w:w="894"/>
        <w:gridCol w:w="951"/>
        <w:gridCol w:w="2003"/>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259" w:type="pct"/>
            <w:noWrap w:val="0"/>
            <w:vAlign w:val="center"/>
          </w:tcPr>
          <w:p>
            <w:pPr>
              <w:widowControl/>
              <w:snapToGrid w:val="0"/>
              <w:jc w:val="center"/>
              <w:rPr>
                <w:rFonts w:hint="eastAsia" w:ascii="宋体" w:hAnsi="宋体" w:cs="宋体"/>
                <w:b/>
                <w:bCs/>
                <w:kern w:val="0"/>
                <w:szCs w:val="21"/>
              </w:rPr>
            </w:pPr>
            <w:r>
              <w:rPr>
                <w:rFonts w:hint="eastAsia" w:ascii="宋体" w:hAnsi="宋体" w:cs="宋体"/>
                <w:b/>
                <w:bCs/>
                <w:kern w:val="0"/>
                <w:szCs w:val="21"/>
              </w:rPr>
              <w:t>序号</w:t>
            </w:r>
          </w:p>
        </w:tc>
        <w:tc>
          <w:tcPr>
            <w:tcW w:w="993" w:type="pct"/>
            <w:noWrap w:val="0"/>
            <w:vAlign w:val="center"/>
          </w:tcPr>
          <w:p>
            <w:pPr>
              <w:widowControl/>
              <w:snapToGrid w:val="0"/>
              <w:jc w:val="center"/>
              <w:rPr>
                <w:rFonts w:hint="eastAsia" w:ascii="宋体" w:hAnsi="宋体" w:cs="宋体"/>
                <w:b/>
                <w:bCs/>
                <w:kern w:val="0"/>
                <w:szCs w:val="21"/>
              </w:rPr>
            </w:pPr>
            <w:r>
              <w:rPr>
                <w:rFonts w:hint="eastAsia" w:ascii="宋体" w:hAnsi="宋体" w:cs="宋体"/>
                <w:b/>
                <w:bCs/>
                <w:kern w:val="0"/>
                <w:szCs w:val="21"/>
              </w:rPr>
              <w:t>企业名称</w:t>
            </w:r>
          </w:p>
        </w:tc>
        <w:tc>
          <w:tcPr>
            <w:tcW w:w="726" w:type="pct"/>
            <w:noWrap w:val="0"/>
            <w:vAlign w:val="center"/>
          </w:tcPr>
          <w:p>
            <w:pPr>
              <w:widowControl/>
              <w:snapToGrid w:val="0"/>
              <w:jc w:val="center"/>
              <w:rPr>
                <w:rFonts w:hint="eastAsia" w:ascii="宋体" w:hAnsi="宋体" w:cs="宋体"/>
                <w:b/>
                <w:bCs/>
                <w:kern w:val="0"/>
                <w:szCs w:val="21"/>
              </w:rPr>
            </w:pPr>
            <w:r>
              <w:rPr>
                <w:rFonts w:hint="eastAsia" w:ascii="宋体" w:hAnsi="宋体" w:cs="宋体"/>
                <w:b/>
                <w:bCs/>
                <w:kern w:val="0"/>
                <w:szCs w:val="21"/>
              </w:rPr>
              <w:t>注册时间</w:t>
            </w:r>
          </w:p>
        </w:tc>
        <w:tc>
          <w:tcPr>
            <w:tcW w:w="629" w:type="pct"/>
            <w:noWrap w:val="0"/>
            <w:vAlign w:val="center"/>
          </w:tcPr>
          <w:p>
            <w:pPr>
              <w:widowControl/>
              <w:snapToGrid w:val="0"/>
              <w:jc w:val="center"/>
              <w:rPr>
                <w:rFonts w:hint="eastAsia" w:ascii="宋体" w:hAnsi="宋体" w:cs="宋体"/>
                <w:b/>
                <w:bCs/>
                <w:kern w:val="0"/>
                <w:szCs w:val="21"/>
              </w:rPr>
            </w:pPr>
            <w:r>
              <w:rPr>
                <w:rFonts w:hint="eastAsia" w:ascii="宋体" w:hAnsi="宋体" w:cs="宋体"/>
                <w:b/>
                <w:bCs/>
                <w:kern w:val="0"/>
                <w:szCs w:val="21"/>
              </w:rPr>
              <w:t>注册资本</w:t>
            </w:r>
          </w:p>
          <w:p>
            <w:pPr>
              <w:widowControl/>
              <w:snapToGrid w:val="0"/>
              <w:jc w:val="center"/>
              <w:rPr>
                <w:rFonts w:hint="eastAsia" w:ascii="宋体" w:hAnsi="宋体" w:cs="宋体"/>
                <w:b/>
                <w:szCs w:val="21"/>
              </w:rPr>
            </w:pPr>
            <w:r>
              <w:rPr>
                <w:rFonts w:hint="eastAsia" w:ascii="宋体" w:hAnsi="宋体" w:cs="宋体"/>
                <w:b/>
                <w:szCs w:val="21"/>
              </w:rPr>
              <w:t>（</w:t>
            </w:r>
            <w:r>
              <w:rPr>
                <w:rFonts w:hint="eastAsia" w:ascii="宋体" w:hAnsi="宋体" w:cs="宋体"/>
                <w:b/>
                <w:bCs/>
                <w:kern w:val="0"/>
                <w:szCs w:val="21"/>
              </w:rPr>
              <w:t>万元</w:t>
            </w:r>
            <w:r>
              <w:rPr>
                <w:rFonts w:hint="eastAsia" w:ascii="宋体" w:hAnsi="宋体" w:cs="宋体"/>
                <w:b/>
                <w:kern w:val="0"/>
                <w:szCs w:val="21"/>
              </w:rPr>
              <w:t>）</w:t>
            </w:r>
          </w:p>
        </w:tc>
        <w:tc>
          <w:tcPr>
            <w:tcW w:w="475" w:type="pct"/>
            <w:noWrap w:val="0"/>
            <w:vAlign w:val="center"/>
          </w:tcPr>
          <w:p>
            <w:pPr>
              <w:widowControl/>
              <w:snapToGrid w:val="0"/>
              <w:jc w:val="center"/>
              <w:rPr>
                <w:rFonts w:hint="eastAsia" w:ascii="宋体" w:hAnsi="宋体" w:cs="宋体"/>
                <w:b/>
                <w:bCs/>
                <w:kern w:val="0"/>
                <w:szCs w:val="21"/>
              </w:rPr>
            </w:pPr>
            <w:r>
              <w:rPr>
                <w:rFonts w:hint="eastAsia" w:ascii="宋体" w:hAnsi="宋体" w:cs="宋体"/>
                <w:b/>
                <w:bCs/>
                <w:kern w:val="0"/>
                <w:szCs w:val="21"/>
              </w:rPr>
              <w:t>股权</w:t>
            </w:r>
          </w:p>
          <w:p>
            <w:pPr>
              <w:widowControl/>
              <w:snapToGrid w:val="0"/>
              <w:jc w:val="center"/>
              <w:rPr>
                <w:rFonts w:hint="eastAsia" w:ascii="宋体" w:hAnsi="宋体" w:cs="宋体"/>
                <w:b/>
                <w:bCs/>
                <w:kern w:val="0"/>
                <w:szCs w:val="21"/>
              </w:rPr>
            </w:pPr>
            <w:r>
              <w:rPr>
                <w:rFonts w:hint="eastAsia" w:ascii="宋体" w:hAnsi="宋体" w:cs="宋体"/>
                <w:b/>
                <w:bCs/>
                <w:kern w:val="0"/>
                <w:szCs w:val="21"/>
              </w:rPr>
              <w:t>占比</w:t>
            </w:r>
          </w:p>
        </w:tc>
        <w:tc>
          <w:tcPr>
            <w:tcW w:w="504" w:type="pct"/>
            <w:noWrap/>
            <w:vAlign w:val="center"/>
          </w:tcPr>
          <w:p>
            <w:pPr>
              <w:widowControl/>
              <w:snapToGrid w:val="0"/>
              <w:jc w:val="center"/>
              <w:rPr>
                <w:rFonts w:hint="eastAsia" w:ascii="宋体" w:hAnsi="宋体" w:cs="宋体"/>
                <w:b/>
                <w:bCs/>
                <w:kern w:val="0"/>
                <w:szCs w:val="21"/>
              </w:rPr>
            </w:pPr>
            <w:r>
              <w:rPr>
                <w:rFonts w:hint="eastAsia" w:ascii="宋体" w:hAnsi="宋体" w:cs="宋体"/>
                <w:b/>
                <w:bCs/>
                <w:kern w:val="0"/>
                <w:szCs w:val="21"/>
              </w:rPr>
              <w:t>法定</w:t>
            </w:r>
          </w:p>
          <w:p>
            <w:pPr>
              <w:widowControl/>
              <w:snapToGrid w:val="0"/>
              <w:jc w:val="center"/>
              <w:rPr>
                <w:rFonts w:hint="eastAsia" w:ascii="宋体" w:hAnsi="宋体" w:cs="宋体"/>
                <w:b/>
                <w:bCs/>
                <w:kern w:val="0"/>
                <w:szCs w:val="21"/>
              </w:rPr>
            </w:pPr>
            <w:r>
              <w:rPr>
                <w:rFonts w:hint="eastAsia" w:ascii="宋体" w:hAnsi="宋体" w:cs="宋体"/>
                <w:b/>
                <w:bCs/>
                <w:kern w:val="0"/>
                <w:szCs w:val="21"/>
              </w:rPr>
              <w:t>代表人</w:t>
            </w:r>
          </w:p>
        </w:tc>
        <w:tc>
          <w:tcPr>
            <w:tcW w:w="1063" w:type="pct"/>
            <w:noWrap/>
            <w:vAlign w:val="center"/>
          </w:tcPr>
          <w:p>
            <w:pPr>
              <w:widowControl/>
              <w:snapToGrid w:val="0"/>
              <w:jc w:val="center"/>
              <w:rPr>
                <w:rFonts w:hint="eastAsia" w:ascii="宋体" w:hAnsi="宋体" w:cs="宋体"/>
                <w:b/>
                <w:bCs/>
                <w:kern w:val="0"/>
                <w:szCs w:val="21"/>
              </w:rPr>
            </w:pPr>
            <w:r>
              <w:rPr>
                <w:rFonts w:hint="eastAsia" w:ascii="宋体" w:hAnsi="宋体" w:cs="宋体"/>
                <w:b/>
                <w:bCs/>
                <w:kern w:val="0"/>
                <w:szCs w:val="21"/>
              </w:rPr>
              <w:t>业务定位</w:t>
            </w:r>
          </w:p>
        </w:tc>
        <w:tc>
          <w:tcPr>
            <w:tcW w:w="346" w:type="pct"/>
            <w:noWrap w:val="0"/>
            <w:vAlign w:val="center"/>
          </w:tcPr>
          <w:p>
            <w:pPr>
              <w:widowControl/>
              <w:snapToGrid w:val="0"/>
              <w:jc w:val="center"/>
              <w:rPr>
                <w:rFonts w:hint="eastAsia" w:ascii="宋体" w:hAnsi="宋体" w:cs="宋体"/>
                <w:b/>
                <w:bCs/>
                <w:kern w:val="0"/>
                <w:szCs w:val="21"/>
              </w:rPr>
            </w:pPr>
            <w:r>
              <w:rPr>
                <w:rFonts w:hint="eastAsia" w:ascii="宋体" w:hAnsi="宋体" w:cs="宋体"/>
                <w:b/>
                <w:bCs/>
                <w:kern w:val="0"/>
                <w:szCs w:val="21"/>
              </w:rPr>
              <w:t>运营状态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59"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1</w:t>
            </w:r>
          </w:p>
        </w:tc>
        <w:tc>
          <w:tcPr>
            <w:tcW w:w="993" w:type="pct"/>
            <w:noWrap w:val="0"/>
            <w:vAlign w:val="center"/>
          </w:tcPr>
          <w:p>
            <w:pPr>
              <w:widowControl/>
              <w:snapToGrid w:val="0"/>
              <w:jc w:val="center"/>
              <w:rPr>
                <w:rFonts w:hint="eastAsia" w:ascii="宋体" w:hAnsi="宋体" w:cs="宋体"/>
                <w:color w:val="000000"/>
                <w:szCs w:val="21"/>
              </w:rPr>
            </w:pPr>
            <w:r>
              <w:rPr>
                <w:rFonts w:hint="eastAsia" w:ascii="宋体" w:hAnsi="宋体" w:cs="宋体"/>
                <w:color w:val="000000"/>
                <w:szCs w:val="21"/>
              </w:rPr>
              <w:t>宏泰城市建设</w:t>
            </w:r>
          </w:p>
          <w:p>
            <w:pPr>
              <w:widowControl/>
              <w:snapToGrid w:val="0"/>
              <w:jc w:val="center"/>
              <w:rPr>
                <w:rFonts w:hint="eastAsia" w:ascii="宋体" w:hAnsi="宋体" w:cs="宋体"/>
                <w:kern w:val="0"/>
                <w:szCs w:val="21"/>
              </w:rPr>
            </w:pPr>
            <w:r>
              <w:rPr>
                <w:rFonts w:hint="eastAsia" w:ascii="宋体" w:hAnsi="宋体" w:cs="宋体"/>
                <w:color w:val="000000"/>
                <w:szCs w:val="21"/>
              </w:rPr>
              <w:t>投资公司</w:t>
            </w:r>
          </w:p>
        </w:tc>
        <w:tc>
          <w:tcPr>
            <w:tcW w:w="726" w:type="pct"/>
            <w:noWrap w:val="0"/>
            <w:vAlign w:val="center"/>
          </w:tcPr>
          <w:p>
            <w:pPr>
              <w:widowControl/>
              <w:snapToGrid w:val="0"/>
              <w:jc w:val="center"/>
              <w:rPr>
                <w:rFonts w:hint="eastAsia" w:ascii="宋体" w:hAnsi="宋体" w:cs="宋体"/>
                <w:kern w:val="0"/>
                <w:szCs w:val="21"/>
              </w:rPr>
            </w:pPr>
            <w:r>
              <w:rPr>
                <w:rFonts w:hint="eastAsia" w:ascii="宋体" w:hAnsi="宋体" w:cs="宋体"/>
                <w:color w:val="000000"/>
                <w:szCs w:val="21"/>
              </w:rPr>
              <w:t>2006.3.16</w:t>
            </w:r>
          </w:p>
        </w:tc>
        <w:tc>
          <w:tcPr>
            <w:tcW w:w="629" w:type="pct"/>
            <w:noWrap w:val="0"/>
            <w:vAlign w:val="center"/>
          </w:tcPr>
          <w:p>
            <w:pPr>
              <w:widowControl/>
              <w:snapToGrid w:val="0"/>
              <w:jc w:val="center"/>
              <w:rPr>
                <w:rFonts w:hint="eastAsia" w:ascii="宋体" w:hAnsi="宋体" w:cs="宋体"/>
                <w:kern w:val="0"/>
                <w:szCs w:val="21"/>
              </w:rPr>
            </w:pPr>
            <w:r>
              <w:rPr>
                <w:rFonts w:hint="eastAsia" w:ascii="宋体" w:hAnsi="宋体" w:cs="宋体"/>
                <w:color w:val="000000"/>
                <w:szCs w:val="21"/>
              </w:rPr>
              <w:t>291200</w:t>
            </w:r>
          </w:p>
        </w:tc>
        <w:tc>
          <w:tcPr>
            <w:tcW w:w="475" w:type="pct"/>
            <w:noWrap w:val="0"/>
            <w:vAlign w:val="center"/>
          </w:tcPr>
          <w:p>
            <w:pPr>
              <w:widowControl/>
              <w:snapToGrid w:val="0"/>
              <w:jc w:val="center"/>
              <w:rPr>
                <w:rFonts w:hint="eastAsia" w:ascii="宋体" w:hAnsi="宋体" w:cs="宋体"/>
                <w:kern w:val="0"/>
                <w:szCs w:val="21"/>
              </w:rPr>
            </w:pPr>
            <w:r>
              <w:rPr>
                <w:rFonts w:hint="eastAsia" w:ascii="宋体" w:hAnsi="宋体" w:cs="宋体"/>
                <w:color w:val="000000"/>
                <w:kern w:val="0"/>
                <w:szCs w:val="21"/>
              </w:rPr>
              <w:t>92.72%</w:t>
            </w:r>
          </w:p>
        </w:tc>
        <w:tc>
          <w:tcPr>
            <w:tcW w:w="504" w:type="pct"/>
            <w:noWrap/>
            <w:vAlign w:val="center"/>
          </w:tcPr>
          <w:p>
            <w:pPr>
              <w:widowControl/>
              <w:snapToGrid w:val="0"/>
              <w:jc w:val="center"/>
              <w:rPr>
                <w:rFonts w:hint="eastAsia" w:ascii="宋体" w:hAnsi="宋体" w:cs="宋体"/>
                <w:kern w:val="0"/>
                <w:szCs w:val="21"/>
              </w:rPr>
            </w:pPr>
            <w:r>
              <w:rPr>
                <w:rFonts w:hint="eastAsia" w:ascii="宋体" w:hAnsi="宋体" w:cs="宋体"/>
                <w:color w:val="000000"/>
                <w:kern w:val="0"/>
                <w:szCs w:val="21"/>
              </w:rPr>
              <w:t>章思源</w:t>
            </w:r>
          </w:p>
        </w:tc>
        <w:tc>
          <w:tcPr>
            <w:tcW w:w="1063" w:type="pct"/>
            <w:noWrap w:val="0"/>
            <w:vAlign w:val="center"/>
          </w:tcPr>
          <w:p>
            <w:pPr>
              <w:widowControl/>
              <w:snapToGrid w:val="0"/>
              <w:jc w:val="center"/>
              <w:rPr>
                <w:rFonts w:hint="eastAsia" w:ascii="宋体" w:hAnsi="宋体" w:cs="宋体"/>
                <w:kern w:val="0"/>
                <w:szCs w:val="21"/>
              </w:rPr>
            </w:pPr>
            <w:r>
              <w:rPr>
                <w:rFonts w:hint="eastAsia" w:ascii="宋体" w:hAnsi="宋体" w:cs="宋体"/>
                <w:color w:val="000000"/>
                <w:kern w:val="0"/>
                <w:szCs w:val="21"/>
              </w:rPr>
              <w:t>基础设施建设</w:t>
            </w:r>
          </w:p>
        </w:tc>
        <w:tc>
          <w:tcPr>
            <w:tcW w:w="346" w:type="pct"/>
            <w:noWrap w:val="0"/>
            <w:vAlign w:val="center"/>
          </w:tcPr>
          <w:p>
            <w:pPr>
              <w:widowControl/>
              <w:snapToGrid w:val="0"/>
              <w:jc w:val="center"/>
              <w:rPr>
                <w:rFonts w:hint="eastAsia" w:ascii="宋体" w:hAnsi="宋体" w:cs="宋体"/>
                <w:kern w:val="0"/>
                <w:szCs w:val="21"/>
              </w:rPr>
            </w:pPr>
            <w:r>
              <w:rPr>
                <w:rFonts w:hint="eastAsia" w:ascii="宋体" w:hAnsi="宋体" w:cs="宋体"/>
                <w:color w:val="000000"/>
                <w:kern w:val="0"/>
                <w:szCs w:val="21"/>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59"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2</w:t>
            </w:r>
          </w:p>
        </w:tc>
        <w:tc>
          <w:tcPr>
            <w:tcW w:w="993" w:type="pct"/>
            <w:noWrap w:val="0"/>
            <w:vAlign w:val="center"/>
          </w:tcPr>
          <w:p>
            <w:pPr>
              <w:widowControl/>
              <w:snapToGrid w:val="0"/>
              <w:jc w:val="center"/>
              <w:rPr>
                <w:rFonts w:hint="eastAsia" w:ascii="宋体" w:hAnsi="宋体" w:cs="宋体"/>
                <w:kern w:val="0"/>
                <w:szCs w:val="21"/>
              </w:rPr>
            </w:pPr>
            <w:r>
              <w:rPr>
                <w:rFonts w:hint="eastAsia" w:ascii="宋体" w:hAnsi="宋体" w:cs="宋体"/>
                <w:szCs w:val="21"/>
              </w:rPr>
              <w:t>宏泰房地产开发公司</w:t>
            </w:r>
          </w:p>
        </w:tc>
        <w:tc>
          <w:tcPr>
            <w:tcW w:w="726" w:type="pct"/>
            <w:noWrap w:val="0"/>
            <w:vAlign w:val="center"/>
          </w:tcPr>
          <w:p>
            <w:pPr>
              <w:widowControl/>
              <w:snapToGrid w:val="0"/>
              <w:jc w:val="center"/>
              <w:rPr>
                <w:rFonts w:hint="eastAsia" w:ascii="宋体" w:hAnsi="宋体" w:cs="宋体"/>
                <w:kern w:val="0"/>
                <w:szCs w:val="21"/>
              </w:rPr>
            </w:pPr>
            <w:r>
              <w:rPr>
                <w:rFonts w:hint="eastAsia" w:ascii="宋体" w:hAnsi="宋体" w:cs="宋体"/>
                <w:szCs w:val="21"/>
              </w:rPr>
              <w:t>2006</w:t>
            </w:r>
            <w:r>
              <w:rPr>
                <w:rFonts w:hint="eastAsia" w:ascii="宋体" w:hAnsi="宋体" w:cs="宋体"/>
                <w:color w:val="000000"/>
                <w:szCs w:val="21"/>
              </w:rPr>
              <w:t>.</w:t>
            </w:r>
            <w:r>
              <w:rPr>
                <w:rFonts w:hint="eastAsia" w:ascii="宋体" w:hAnsi="宋体" w:cs="宋体"/>
                <w:szCs w:val="21"/>
              </w:rPr>
              <w:t>7</w:t>
            </w:r>
            <w:r>
              <w:rPr>
                <w:rFonts w:hint="eastAsia" w:ascii="宋体" w:hAnsi="宋体" w:cs="宋体"/>
                <w:color w:val="000000"/>
                <w:szCs w:val="21"/>
              </w:rPr>
              <w:t>.</w:t>
            </w:r>
            <w:r>
              <w:rPr>
                <w:rFonts w:hint="eastAsia" w:ascii="宋体" w:hAnsi="宋体" w:cs="宋体"/>
                <w:szCs w:val="21"/>
              </w:rPr>
              <w:t>6</w:t>
            </w:r>
          </w:p>
        </w:tc>
        <w:tc>
          <w:tcPr>
            <w:tcW w:w="629" w:type="pct"/>
            <w:noWrap w:val="0"/>
            <w:vAlign w:val="center"/>
          </w:tcPr>
          <w:p>
            <w:pPr>
              <w:widowControl/>
              <w:snapToGrid w:val="0"/>
              <w:jc w:val="center"/>
              <w:rPr>
                <w:rFonts w:hint="eastAsia" w:ascii="宋体" w:hAnsi="宋体" w:cs="宋体"/>
                <w:kern w:val="0"/>
                <w:szCs w:val="21"/>
              </w:rPr>
            </w:pPr>
            <w:r>
              <w:rPr>
                <w:rFonts w:hint="eastAsia" w:ascii="宋体" w:hAnsi="宋体" w:cs="宋体"/>
                <w:szCs w:val="21"/>
              </w:rPr>
              <w:t>5000</w:t>
            </w:r>
          </w:p>
        </w:tc>
        <w:tc>
          <w:tcPr>
            <w:tcW w:w="475"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100%</w:t>
            </w:r>
          </w:p>
        </w:tc>
        <w:tc>
          <w:tcPr>
            <w:tcW w:w="504" w:type="pct"/>
            <w:noWrap/>
            <w:vAlign w:val="center"/>
          </w:tcPr>
          <w:p>
            <w:pPr>
              <w:widowControl/>
              <w:snapToGrid w:val="0"/>
              <w:jc w:val="center"/>
              <w:rPr>
                <w:rFonts w:hint="eastAsia" w:ascii="宋体" w:hAnsi="宋体" w:cs="宋体"/>
                <w:kern w:val="0"/>
                <w:szCs w:val="21"/>
              </w:rPr>
            </w:pPr>
            <w:r>
              <w:rPr>
                <w:rFonts w:hint="eastAsia" w:ascii="宋体" w:hAnsi="宋体" w:cs="宋体"/>
                <w:kern w:val="0"/>
                <w:szCs w:val="21"/>
              </w:rPr>
              <w:t>刘利贤</w:t>
            </w:r>
          </w:p>
        </w:tc>
        <w:tc>
          <w:tcPr>
            <w:tcW w:w="1063"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房地产开发</w:t>
            </w:r>
          </w:p>
        </w:tc>
        <w:tc>
          <w:tcPr>
            <w:tcW w:w="346"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59"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3</w:t>
            </w:r>
          </w:p>
        </w:tc>
        <w:tc>
          <w:tcPr>
            <w:tcW w:w="993" w:type="pct"/>
            <w:noWrap w:val="0"/>
            <w:vAlign w:val="center"/>
          </w:tcPr>
          <w:p>
            <w:pPr>
              <w:widowControl/>
              <w:snapToGrid w:val="0"/>
              <w:jc w:val="center"/>
              <w:rPr>
                <w:rFonts w:hint="eastAsia" w:ascii="宋体" w:hAnsi="宋体" w:cs="宋体"/>
                <w:szCs w:val="21"/>
              </w:rPr>
            </w:pPr>
            <w:r>
              <w:rPr>
                <w:rFonts w:hint="eastAsia" w:ascii="宋体" w:hAnsi="宋体" w:cs="宋体"/>
                <w:szCs w:val="21"/>
              </w:rPr>
              <w:t>宏泰建筑</w:t>
            </w:r>
          </w:p>
          <w:p>
            <w:pPr>
              <w:widowControl/>
              <w:snapToGrid w:val="0"/>
              <w:jc w:val="center"/>
              <w:rPr>
                <w:rFonts w:hint="eastAsia" w:ascii="宋体" w:hAnsi="宋体" w:cs="宋体"/>
                <w:kern w:val="0"/>
                <w:szCs w:val="21"/>
              </w:rPr>
            </w:pPr>
            <w:r>
              <w:rPr>
                <w:rFonts w:hint="eastAsia" w:ascii="宋体" w:hAnsi="宋体" w:cs="宋体"/>
                <w:szCs w:val="21"/>
              </w:rPr>
              <w:t>安装公司</w:t>
            </w:r>
          </w:p>
        </w:tc>
        <w:tc>
          <w:tcPr>
            <w:tcW w:w="726" w:type="pct"/>
            <w:noWrap w:val="0"/>
            <w:vAlign w:val="center"/>
          </w:tcPr>
          <w:p>
            <w:pPr>
              <w:widowControl/>
              <w:snapToGrid w:val="0"/>
              <w:jc w:val="center"/>
              <w:rPr>
                <w:rFonts w:hint="eastAsia" w:ascii="宋体" w:hAnsi="宋体" w:cs="宋体"/>
                <w:kern w:val="0"/>
                <w:szCs w:val="21"/>
              </w:rPr>
            </w:pPr>
            <w:r>
              <w:rPr>
                <w:rFonts w:hint="eastAsia" w:ascii="宋体" w:hAnsi="宋体" w:cs="宋体"/>
                <w:szCs w:val="21"/>
              </w:rPr>
              <w:t>2011</w:t>
            </w:r>
            <w:r>
              <w:rPr>
                <w:rFonts w:hint="eastAsia" w:ascii="宋体" w:hAnsi="宋体" w:cs="宋体"/>
                <w:color w:val="000000"/>
                <w:szCs w:val="21"/>
              </w:rPr>
              <w:t>.</w:t>
            </w:r>
            <w:r>
              <w:rPr>
                <w:rFonts w:hint="eastAsia" w:ascii="宋体" w:hAnsi="宋体" w:cs="宋体"/>
                <w:szCs w:val="21"/>
              </w:rPr>
              <w:t>12</w:t>
            </w:r>
            <w:r>
              <w:rPr>
                <w:rFonts w:hint="eastAsia" w:ascii="宋体" w:hAnsi="宋体" w:cs="宋体"/>
                <w:color w:val="000000"/>
                <w:szCs w:val="21"/>
              </w:rPr>
              <w:t>.</w:t>
            </w:r>
            <w:r>
              <w:rPr>
                <w:rFonts w:hint="eastAsia" w:ascii="宋体" w:hAnsi="宋体" w:cs="宋体"/>
                <w:szCs w:val="21"/>
              </w:rPr>
              <w:t>14</w:t>
            </w:r>
          </w:p>
        </w:tc>
        <w:tc>
          <w:tcPr>
            <w:tcW w:w="629" w:type="pct"/>
            <w:noWrap w:val="0"/>
            <w:vAlign w:val="center"/>
          </w:tcPr>
          <w:p>
            <w:pPr>
              <w:widowControl/>
              <w:snapToGrid w:val="0"/>
              <w:jc w:val="center"/>
              <w:rPr>
                <w:rFonts w:hint="eastAsia" w:ascii="宋体" w:hAnsi="宋体" w:cs="宋体"/>
                <w:kern w:val="0"/>
                <w:szCs w:val="21"/>
              </w:rPr>
            </w:pPr>
            <w:r>
              <w:rPr>
                <w:rFonts w:hint="eastAsia" w:ascii="宋体" w:hAnsi="宋体" w:cs="宋体"/>
                <w:szCs w:val="21"/>
              </w:rPr>
              <w:t>12000</w:t>
            </w:r>
          </w:p>
        </w:tc>
        <w:tc>
          <w:tcPr>
            <w:tcW w:w="475"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100%</w:t>
            </w:r>
          </w:p>
        </w:tc>
        <w:tc>
          <w:tcPr>
            <w:tcW w:w="504" w:type="pct"/>
            <w:noWrap/>
            <w:vAlign w:val="center"/>
          </w:tcPr>
          <w:p>
            <w:pPr>
              <w:widowControl/>
              <w:snapToGrid w:val="0"/>
              <w:jc w:val="center"/>
              <w:rPr>
                <w:rFonts w:hint="eastAsia" w:ascii="宋体" w:hAnsi="宋体" w:cs="宋体"/>
                <w:kern w:val="0"/>
                <w:szCs w:val="21"/>
              </w:rPr>
            </w:pPr>
            <w:r>
              <w:rPr>
                <w:rFonts w:hint="eastAsia" w:ascii="宋体" w:hAnsi="宋体" w:cs="宋体"/>
                <w:kern w:val="0"/>
                <w:szCs w:val="21"/>
              </w:rPr>
              <w:t>王光利</w:t>
            </w:r>
          </w:p>
        </w:tc>
        <w:tc>
          <w:tcPr>
            <w:tcW w:w="1063"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工程建设施工</w:t>
            </w:r>
          </w:p>
        </w:tc>
        <w:tc>
          <w:tcPr>
            <w:tcW w:w="346"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59"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4</w:t>
            </w:r>
          </w:p>
        </w:tc>
        <w:tc>
          <w:tcPr>
            <w:tcW w:w="993"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宏泰商贸公司</w:t>
            </w:r>
          </w:p>
        </w:tc>
        <w:tc>
          <w:tcPr>
            <w:tcW w:w="726"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2017</w:t>
            </w:r>
            <w:r>
              <w:rPr>
                <w:rFonts w:hint="eastAsia" w:ascii="宋体" w:hAnsi="宋体" w:cs="宋体"/>
                <w:color w:val="000000"/>
                <w:szCs w:val="21"/>
              </w:rPr>
              <w:t>.</w:t>
            </w:r>
            <w:r>
              <w:rPr>
                <w:rFonts w:hint="eastAsia" w:ascii="宋体" w:hAnsi="宋体" w:cs="宋体"/>
                <w:kern w:val="0"/>
                <w:szCs w:val="21"/>
              </w:rPr>
              <w:t>2</w:t>
            </w:r>
            <w:r>
              <w:rPr>
                <w:rFonts w:hint="eastAsia" w:ascii="宋体" w:hAnsi="宋体" w:cs="宋体"/>
                <w:color w:val="000000"/>
                <w:szCs w:val="21"/>
              </w:rPr>
              <w:t>.</w:t>
            </w:r>
            <w:r>
              <w:rPr>
                <w:rFonts w:hint="eastAsia" w:ascii="宋体" w:hAnsi="宋体" w:cs="宋体"/>
                <w:kern w:val="0"/>
                <w:szCs w:val="21"/>
              </w:rPr>
              <w:t>9</w:t>
            </w:r>
          </w:p>
        </w:tc>
        <w:tc>
          <w:tcPr>
            <w:tcW w:w="629"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2500</w:t>
            </w:r>
          </w:p>
        </w:tc>
        <w:tc>
          <w:tcPr>
            <w:tcW w:w="475"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100%</w:t>
            </w:r>
          </w:p>
        </w:tc>
        <w:tc>
          <w:tcPr>
            <w:tcW w:w="504" w:type="pct"/>
            <w:noWrap/>
            <w:vAlign w:val="center"/>
          </w:tcPr>
          <w:p>
            <w:pPr>
              <w:widowControl/>
              <w:snapToGrid w:val="0"/>
              <w:jc w:val="center"/>
              <w:rPr>
                <w:rFonts w:hint="eastAsia" w:ascii="宋体" w:hAnsi="宋体" w:cs="宋体"/>
                <w:kern w:val="0"/>
                <w:szCs w:val="21"/>
              </w:rPr>
            </w:pPr>
            <w:r>
              <w:rPr>
                <w:rFonts w:hint="eastAsia" w:ascii="宋体" w:hAnsi="宋体" w:cs="宋体"/>
                <w:kern w:val="0"/>
                <w:szCs w:val="21"/>
              </w:rPr>
              <w:t>章思源</w:t>
            </w:r>
          </w:p>
        </w:tc>
        <w:tc>
          <w:tcPr>
            <w:tcW w:w="1063"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建筑材料生产销售</w:t>
            </w:r>
          </w:p>
        </w:tc>
        <w:tc>
          <w:tcPr>
            <w:tcW w:w="346"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59"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5</w:t>
            </w:r>
          </w:p>
        </w:tc>
        <w:tc>
          <w:tcPr>
            <w:tcW w:w="993"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汇众聚业房屋</w:t>
            </w:r>
          </w:p>
          <w:p>
            <w:pPr>
              <w:widowControl/>
              <w:snapToGrid w:val="0"/>
              <w:jc w:val="center"/>
              <w:rPr>
                <w:rFonts w:hint="eastAsia" w:ascii="宋体" w:hAnsi="宋体" w:cs="宋体"/>
                <w:kern w:val="0"/>
                <w:szCs w:val="21"/>
              </w:rPr>
            </w:pPr>
            <w:r>
              <w:rPr>
                <w:rFonts w:hint="eastAsia" w:ascii="宋体" w:hAnsi="宋体" w:cs="宋体"/>
                <w:kern w:val="0"/>
                <w:szCs w:val="21"/>
              </w:rPr>
              <w:t>运营公司</w:t>
            </w:r>
          </w:p>
        </w:tc>
        <w:tc>
          <w:tcPr>
            <w:tcW w:w="726"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2016</w:t>
            </w:r>
            <w:r>
              <w:rPr>
                <w:rFonts w:hint="eastAsia" w:ascii="宋体" w:hAnsi="宋体" w:cs="宋体"/>
                <w:color w:val="000000"/>
                <w:szCs w:val="21"/>
              </w:rPr>
              <w:t>.</w:t>
            </w:r>
            <w:r>
              <w:rPr>
                <w:rFonts w:hint="eastAsia" w:ascii="宋体" w:hAnsi="宋体" w:cs="宋体"/>
                <w:kern w:val="0"/>
                <w:szCs w:val="21"/>
              </w:rPr>
              <w:t>2</w:t>
            </w:r>
            <w:r>
              <w:rPr>
                <w:rFonts w:hint="eastAsia" w:ascii="宋体" w:hAnsi="宋体" w:cs="宋体"/>
                <w:color w:val="000000"/>
                <w:szCs w:val="21"/>
              </w:rPr>
              <w:t>.</w:t>
            </w:r>
            <w:r>
              <w:rPr>
                <w:rFonts w:hint="eastAsia" w:ascii="宋体" w:hAnsi="宋体" w:cs="宋体"/>
                <w:kern w:val="0"/>
                <w:szCs w:val="21"/>
              </w:rPr>
              <w:t>19</w:t>
            </w:r>
          </w:p>
        </w:tc>
        <w:tc>
          <w:tcPr>
            <w:tcW w:w="629"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32397.095</w:t>
            </w:r>
          </w:p>
        </w:tc>
        <w:tc>
          <w:tcPr>
            <w:tcW w:w="475"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100%</w:t>
            </w:r>
          </w:p>
        </w:tc>
        <w:tc>
          <w:tcPr>
            <w:tcW w:w="504" w:type="pct"/>
            <w:noWrap/>
            <w:vAlign w:val="center"/>
          </w:tcPr>
          <w:p>
            <w:pPr>
              <w:widowControl/>
              <w:snapToGrid w:val="0"/>
              <w:jc w:val="center"/>
              <w:rPr>
                <w:rFonts w:hint="eastAsia" w:ascii="宋体" w:hAnsi="宋体" w:cs="宋体"/>
                <w:kern w:val="0"/>
                <w:szCs w:val="21"/>
              </w:rPr>
            </w:pPr>
            <w:r>
              <w:rPr>
                <w:rFonts w:hint="eastAsia" w:ascii="宋体" w:hAnsi="宋体" w:cs="宋体"/>
                <w:kern w:val="0"/>
                <w:szCs w:val="21"/>
              </w:rPr>
              <w:t>梁宏</w:t>
            </w:r>
          </w:p>
        </w:tc>
        <w:tc>
          <w:tcPr>
            <w:tcW w:w="1063"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资产运营服务</w:t>
            </w:r>
          </w:p>
        </w:tc>
        <w:tc>
          <w:tcPr>
            <w:tcW w:w="346"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59"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6</w:t>
            </w:r>
          </w:p>
        </w:tc>
        <w:tc>
          <w:tcPr>
            <w:tcW w:w="993"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宏泰实业公司</w:t>
            </w:r>
          </w:p>
        </w:tc>
        <w:tc>
          <w:tcPr>
            <w:tcW w:w="726"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2016</w:t>
            </w:r>
            <w:r>
              <w:rPr>
                <w:rFonts w:hint="eastAsia" w:ascii="宋体" w:hAnsi="宋体" w:cs="宋体"/>
                <w:color w:val="000000"/>
                <w:szCs w:val="21"/>
              </w:rPr>
              <w:t>.</w:t>
            </w:r>
            <w:r>
              <w:rPr>
                <w:rFonts w:hint="eastAsia" w:ascii="宋体" w:hAnsi="宋体" w:cs="宋体"/>
                <w:kern w:val="0"/>
                <w:szCs w:val="21"/>
              </w:rPr>
              <w:t>4</w:t>
            </w:r>
            <w:r>
              <w:rPr>
                <w:rFonts w:hint="eastAsia" w:ascii="宋体" w:hAnsi="宋体" w:cs="宋体"/>
                <w:color w:val="000000"/>
                <w:szCs w:val="21"/>
              </w:rPr>
              <w:t>.</w:t>
            </w:r>
            <w:r>
              <w:rPr>
                <w:rFonts w:hint="eastAsia" w:ascii="宋体" w:hAnsi="宋体" w:cs="宋体"/>
                <w:kern w:val="0"/>
                <w:szCs w:val="21"/>
              </w:rPr>
              <w:t>12</w:t>
            </w:r>
          </w:p>
        </w:tc>
        <w:tc>
          <w:tcPr>
            <w:tcW w:w="629"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1000</w:t>
            </w:r>
          </w:p>
        </w:tc>
        <w:tc>
          <w:tcPr>
            <w:tcW w:w="475"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100%</w:t>
            </w:r>
          </w:p>
        </w:tc>
        <w:tc>
          <w:tcPr>
            <w:tcW w:w="504" w:type="pct"/>
            <w:noWrap/>
            <w:vAlign w:val="center"/>
          </w:tcPr>
          <w:p>
            <w:pPr>
              <w:widowControl/>
              <w:snapToGrid w:val="0"/>
              <w:jc w:val="center"/>
              <w:rPr>
                <w:rFonts w:hint="eastAsia" w:ascii="宋体" w:hAnsi="宋体" w:cs="宋体"/>
                <w:kern w:val="0"/>
                <w:szCs w:val="21"/>
              </w:rPr>
            </w:pPr>
            <w:r>
              <w:rPr>
                <w:rFonts w:hint="eastAsia" w:ascii="宋体" w:hAnsi="宋体" w:cs="宋体"/>
                <w:kern w:val="0"/>
                <w:szCs w:val="21"/>
              </w:rPr>
              <w:t>高红艳</w:t>
            </w:r>
          </w:p>
        </w:tc>
        <w:tc>
          <w:tcPr>
            <w:tcW w:w="1063"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房屋租赁</w:t>
            </w:r>
          </w:p>
        </w:tc>
        <w:tc>
          <w:tcPr>
            <w:tcW w:w="346"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59"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7</w:t>
            </w:r>
          </w:p>
        </w:tc>
        <w:tc>
          <w:tcPr>
            <w:tcW w:w="993"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宏泰城投工程</w:t>
            </w:r>
          </w:p>
          <w:p>
            <w:pPr>
              <w:widowControl/>
              <w:snapToGrid w:val="0"/>
              <w:jc w:val="center"/>
              <w:rPr>
                <w:rFonts w:hint="eastAsia" w:ascii="宋体" w:hAnsi="宋体" w:cs="宋体"/>
                <w:kern w:val="0"/>
                <w:szCs w:val="21"/>
              </w:rPr>
            </w:pPr>
            <w:r>
              <w:rPr>
                <w:rFonts w:hint="eastAsia" w:ascii="宋体" w:hAnsi="宋体" w:cs="宋体"/>
                <w:kern w:val="0"/>
                <w:szCs w:val="21"/>
              </w:rPr>
              <w:t>检测公司</w:t>
            </w:r>
          </w:p>
        </w:tc>
        <w:tc>
          <w:tcPr>
            <w:tcW w:w="726"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2020</w:t>
            </w:r>
            <w:r>
              <w:rPr>
                <w:rFonts w:hint="eastAsia" w:ascii="宋体" w:hAnsi="宋体" w:cs="宋体"/>
                <w:color w:val="000000"/>
                <w:szCs w:val="21"/>
              </w:rPr>
              <w:t>.</w:t>
            </w:r>
            <w:r>
              <w:rPr>
                <w:rFonts w:hint="eastAsia" w:ascii="宋体" w:hAnsi="宋体" w:cs="宋体"/>
                <w:kern w:val="0"/>
                <w:szCs w:val="21"/>
              </w:rPr>
              <w:t>12</w:t>
            </w:r>
            <w:r>
              <w:rPr>
                <w:rFonts w:hint="eastAsia" w:ascii="宋体" w:hAnsi="宋体" w:cs="宋体"/>
                <w:color w:val="000000"/>
                <w:szCs w:val="21"/>
              </w:rPr>
              <w:t>.</w:t>
            </w:r>
            <w:r>
              <w:rPr>
                <w:rFonts w:hint="eastAsia" w:ascii="宋体" w:hAnsi="宋体" w:cs="宋体"/>
                <w:kern w:val="0"/>
                <w:szCs w:val="21"/>
              </w:rPr>
              <w:t>14</w:t>
            </w:r>
          </w:p>
        </w:tc>
        <w:tc>
          <w:tcPr>
            <w:tcW w:w="629"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1000</w:t>
            </w:r>
          </w:p>
        </w:tc>
        <w:tc>
          <w:tcPr>
            <w:tcW w:w="475"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100%</w:t>
            </w:r>
          </w:p>
        </w:tc>
        <w:tc>
          <w:tcPr>
            <w:tcW w:w="504" w:type="pct"/>
            <w:noWrap/>
            <w:vAlign w:val="center"/>
          </w:tcPr>
          <w:p>
            <w:pPr>
              <w:widowControl/>
              <w:snapToGrid w:val="0"/>
              <w:jc w:val="center"/>
              <w:rPr>
                <w:rFonts w:hint="eastAsia" w:ascii="宋体" w:hAnsi="宋体" w:cs="宋体"/>
                <w:kern w:val="0"/>
                <w:szCs w:val="21"/>
              </w:rPr>
            </w:pPr>
            <w:r>
              <w:rPr>
                <w:rFonts w:hint="eastAsia" w:ascii="宋体" w:hAnsi="宋体" w:cs="宋体"/>
                <w:kern w:val="0"/>
                <w:szCs w:val="21"/>
              </w:rPr>
              <w:t>王钧枚</w:t>
            </w:r>
          </w:p>
        </w:tc>
        <w:tc>
          <w:tcPr>
            <w:tcW w:w="1063"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工程材料检测</w:t>
            </w:r>
          </w:p>
        </w:tc>
        <w:tc>
          <w:tcPr>
            <w:tcW w:w="346"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59"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8</w:t>
            </w:r>
          </w:p>
        </w:tc>
        <w:tc>
          <w:tcPr>
            <w:tcW w:w="993"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水岸欣城建设</w:t>
            </w:r>
          </w:p>
          <w:p>
            <w:pPr>
              <w:widowControl/>
              <w:snapToGrid w:val="0"/>
              <w:jc w:val="center"/>
              <w:rPr>
                <w:rFonts w:hint="eastAsia" w:ascii="宋体" w:hAnsi="宋体" w:cs="宋体"/>
                <w:kern w:val="0"/>
                <w:szCs w:val="21"/>
              </w:rPr>
            </w:pPr>
            <w:r>
              <w:rPr>
                <w:rFonts w:hint="eastAsia" w:ascii="宋体" w:hAnsi="宋体" w:cs="宋体"/>
                <w:kern w:val="0"/>
                <w:szCs w:val="21"/>
              </w:rPr>
              <w:t>投资公司</w:t>
            </w:r>
          </w:p>
        </w:tc>
        <w:tc>
          <w:tcPr>
            <w:tcW w:w="726"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2018</w:t>
            </w:r>
            <w:r>
              <w:rPr>
                <w:rFonts w:hint="eastAsia" w:ascii="宋体" w:hAnsi="宋体" w:cs="宋体"/>
                <w:color w:val="000000"/>
                <w:szCs w:val="21"/>
              </w:rPr>
              <w:t>.</w:t>
            </w:r>
            <w:r>
              <w:rPr>
                <w:rFonts w:hint="eastAsia" w:ascii="宋体" w:hAnsi="宋体" w:cs="宋体"/>
                <w:kern w:val="0"/>
                <w:szCs w:val="21"/>
              </w:rPr>
              <w:t>8</w:t>
            </w:r>
            <w:r>
              <w:rPr>
                <w:rFonts w:hint="eastAsia" w:ascii="宋体" w:hAnsi="宋体" w:cs="宋体"/>
                <w:color w:val="000000"/>
                <w:szCs w:val="21"/>
              </w:rPr>
              <w:t>.</w:t>
            </w:r>
            <w:r>
              <w:rPr>
                <w:rFonts w:hint="eastAsia" w:ascii="宋体" w:hAnsi="宋体" w:cs="宋体"/>
                <w:kern w:val="0"/>
                <w:szCs w:val="21"/>
              </w:rPr>
              <w:t>16</w:t>
            </w:r>
          </w:p>
        </w:tc>
        <w:tc>
          <w:tcPr>
            <w:tcW w:w="629"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19200</w:t>
            </w:r>
          </w:p>
        </w:tc>
        <w:tc>
          <w:tcPr>
            <w:tcW w:w="475"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100%</w:t>
            </w:r>
          </w:p>
        </w:tc>
        <w:tc>
          <w:tcPr>
            <w:tcW w:w="504" w:type="pct"/>
            <w:noWrap/>
            <w:vAlign w:val="center"/>
          </w:tcPr>
          <w:p>
            <w:pPr>
              <w:widowControl/>
              <w:snapToGrid w:val="0"/>
              <w:jc w:val="center"/>
              <w:rPr>
                <w:rFonts w:hint="eastAsia" w:ascii="宋体" w:hAnsi="宋体" w:cs="宋体"/>
                <w:kern w:val="0"/>
                <w:szCs w:val="21"/>
              </w:rPr>
            </w:pPr>
            <w:r>
              <w:rPr>
                <w:rFonts w:hint="eastAsia" w:ascii="宋体" w:hAnsi="宋体" w:cs="宋体"/>
                <w:kern w:val="0"/>
                <w:szCs w:val="21"/>
              </w:rPr>
              <w:t>贾强</w:t>
            </w:r>
          </w:p>
        </w:tc>
        <w:tc>
          <w:tcPr>
            <w:tcW w:w="1063"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城市建设</w:t>
            </w:r>
          </w:p>
        </w:tc>
        <w:tc>
          <w:tcPr>
            <w:tcW w:w="346"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59"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9</w:t>
            </w:r>
          </w:p>
        </w:tc>
        <w:tc>
          <w:tcPr>
            <w:tcW w:w="993"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圣地园生态</w:t>
            </w:r>
          </w:p>
          <w:p>
            <w:pPr>
              <w:widowControl/>
              <w:snapToGrid w:val="0"/>
              <w:jc w:val="center"/>
              <w:rPr>
                <w:rFonts w:hint="eastAsia" w:ascii="宋体" w:hAnsi="宋体" w:cs="宋体"/>
                <w:kern w:val="0"/>
                <w:szCs w:val="21"/>
              </w:rPr>
            </w:pPr>
            <w:r>
              <w:rPr>
                <w:rFonts w:hint="eastAsia" w:ascii="宋体" w:hAnsi="宋体" w:cs="宋体"/>
                <w:kern w:val="0"/>
                <w:szCs w:val="21"/>
              </w:rPr>
              <w:t>园林绿化公司</w:t>
            </w:r>
          </w:p>
        </w:tc>
        <w:tc>
          <w:tcPr>
            <w:tcW w:w="726"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2016</w:t>
            </w:r>
            <w:r>
              <w:rPr>
                <w:rFonts w:hint="eastAsia" w:ascii="宋体" w:hAnsi="宋体" w:cs="宋体"/>
                <w:color w:val="000000"/>
                <w:szCs w:val="21"/>
              </w:rPr>
              <w:t>.</w:t>
            </w:r>
            <w:r>
              <w:rPr>
                <w:rFonts w:hint="eastAsia" w:ascii="宋体" w:hAnsi="宋体" w:cs="宋体"/>
                <w:kern w:val="0"/>
                <w:szCs w:val="21"/>
              </w:rPr>
              <w:t>8</w:t>
            </w:r>
            <w:r>
              <w:rPr>
                <w:rFonts w:hint="eastAsia" w:ascii="宋体" w:hAnsi="宋体" w:cs="宋体"/>
                <w:color w:val="000000"/>
                <w:szCs w:val="21"/>
              </w:rPr>
              <w:t>.</w:t>
            </w:r>
            <w:r>
              <w:rPr>
                <w:rFonts w:hint="eastAsia" w:ascii="宋体" w:hAnsi="宋体" w:cs="宋体"/>
                <w:kern w:val="0"/>
                <w:szCs w:val="21"/>
              </w:rPr>
              <w:t>30</w:t>
            </w:r>
          </w:p>
        </w:tc>
        <w:tc>
          <w:tcPr>
            <w:tcW w:w="629"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2000</w:t>
            </w:r>
          </w:p>
        </w:tc>
        <w:tc>
          <w:tcPr>
            <w:tcW w:w="475"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100%</w:t>
            </w:r>
          </w:p>
        </w:tc>
        <w:tc>
          <w:tcPr>
            <w:tcW w:w="504" w:type="pct"/>
            <w:noWrap/>
            <w:vAlign w:val="center"/>
          </w:tcPr>
          <w:p>
            <w:pPr>
              <w:widowControl/>
              <w:snapToGrid w:val="0"/>
              <w:jc w:val="center"/>
              <w:rPr>
                <w:rFonts w:hint="eastAsia" w:ascii="宋体" w:hAnsi="宋体" w:cs="宋体"/>
                <w:kern w:val="0"/>
                <w:szCs w:val="21"/>
              </w:rPr>
            </w:pPr>
            <w:r>
              <w:rPr>
                <w:rFonts w:hint="eastAsia" w:ascii="宋体" w:hAnsi="宋体" w:cs="宋体"/>
                <w:kern w:val="0"/>
                <w:szCs w:val="21"/>
              </w:rPr>
              <w:t>马晨富</w:t>
            </w:r>
          </w:p>
        </w:tc>
        <w:tc>
          <w:tcPr>
            <w:tcW w:w="1063"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园林绿化、生态保护</w:t>
            </w:r>
          </w:p>
        </w:tc>
        <w:tc>
          <w:tcPr>
            <w:tcW w:w="346"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59"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10</w:t>
            </w:r>
          </w:p>
        </w:tc>
        <w:tc>
          <w:tcPr>
            <w:tcW w:w="993"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腾伟科技公司</w:t>
            </w:r>
          </w:p>
        </w:tc>
        <w:tc>
          <w:tcPr>
            <w:tcW w:w="726"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2017</w:t>
            </w:r>
            <w:r>
              <w:rPr>
                <w:rFonts w:hint="eastAsia" w:ascii="宋体" w:hAnsi="宋体" w:cs="宋体"/>
                <w:color w:val="000000"/>
                <w:szCs w:val="21"/>
              </w:rPr>
              <w:t>.</w:t>
            </w:r>
            <w:r>
              <w:rPr>
                <w:rFonts w:hint="eastAsia" w:ascii="宋体" w:hAnsi="宋体" w:cs="宋体"/>
                <w:kern w:val="0"/>
                <w:szCs w:val="21"/>
              </w:rPr>
              <w:t>11</w:t>
            </w:r>
            <w:r>
              <w:rPr>
                <w:rFonts w:hint="eastAsia" w:ascii="宋体" w:hAnsi="宋体" w:cs="宋体"/>
                <w:color w:val="000000"/>
                <w:szCs w:val="21"/>
              </w:rPr>
              <w:t>.</w:t>
            </w:r>
            <w:r>
              <w:rPr>
                <w:rFonts w:hint="eastAsia" w:ascii="宋体" w:hAnsi="宋体" w:cs="宋体"/>
                <w:kern w:val="0"/>
                <w:szCs w:val="21"/>
              </w:rPr>
              <w:t>16</w:t>
            </w:r>
          </w:p>
        </w:tc>
        <w:tc>
          <w:tcPr>
            <w:tcW w:w="629"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500</w:t>
            </w:r>
          </w:p>
        </w:tc>
        <w:tc>
          <w:tcPr>
            <w:tcW w:w="475"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100%</w:t>
            </w:r>
          </w:p>
        </w:tc>
        <w:tc>
          <w:tcPr>
            <w:tcW w:w="504" w:type="pct"/>
            <w:noWrap/>
            <w:vAlign w:val="center"/>
          </w:tcPr>
          <w:p>
            <w:pPr>
              <w:widowControl/>
              <w:snapToGrid w:val="0"/>
              <w:jc w:val="center"/>
              <w:rPr>
                <w:rFonts w:hint="eastAsia" w:ascii="宋体" w:hAnsi="宋体" w:cs="宋体"/>
                <w:kern w:val="0"/>
                <w:szCs w:val="21"/>
              </w:rPr>
            </w:pPr>
            <w:r>
              <w:rPr>
                <w:rFonts w:hint="eastAsia" w:ascii="宋体" w:hAnsi="宋体" w:cs="宋体"/>
                <w:kern w:val="0"/>
                <w:szCs w:val="21"/>
              </w:rPr>
              <w:t>陈广明</w:t>
            </w:r>
          </w:p>
        </w:tc>
        <w:tc>
          <w:tcPr>
            <w:tcW w:w="1063"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工程测绘服务</w:t>
            </w:r>
          </w:p>
        </w:tc>
        <w:tc>
          <w:tcPr>
            <w:tcW w:w="346"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存续</w:t>
            </w:r>
          </w:p>
        </w:tc>
      </w:tr>
    </w:tbl>
    <w:p>
      <w:pPr>
        <w:adjustRightInd w:val="0"/>
        <w:snapToGrid w:val="0"/>
        <w:spacing w:before="156" w:beforeLines="50" w:line="360" w:lineRule="auto"/>
        <w:ind w:firstLine="602" w:firstLineChars="200"/>
        <w:outlineLvl w:val="2"/>
        <w:rPr>
          <w:rFonts w:hint="eastAsia" w:ascii="仿宋" w:hAnsi="仿宋" w:eastAsia="仿宋" w:cs="仿宋"/>
          <w:b/>
          <w:caps/>
          <w:sz w:val="30"/>
          <w:szCs w:val="30"/>
        </w:rPr>
      </w:pPr>
      <w:bookmarkStart w:id="12" w:name="_Toc10043"/>
      <w:r>
        <w:rPr>
          <w:rFonts w:hint="eastAsia" w:ascii="仿宋" w:hAnsi="仿宋" w:eastAsia="仿宋" w:cs="仿宋"/>
          <w:b/>
          <w:caps/>
          <w:sz w:val="30"/>
          <w:szCs w:val="30"/>
        </w:rPr>
        <w:t>3.企业财务状况</w:t>
      </w:r>
      <w:bookmarkEnd w:id="12"/>
    </w:p>
    <w:p>
      <w:pPr>
        <w:adjustRightInd w:val="0"/>
        <w:snapToGrid w:val="0"/>
        <w:spacing w:line="360" w:lineRule="auto"/>
        <w:ind w:firstLine="600" w:firstLineChars="200"/>
        <w:rPr>
          <w:rFonts w:hint="eastAsia" w:ascii="仿宋" w:hAnsi="仿宋" w:eastAsia="仿宋" w:cs="仿宋"/>
          <w:bCs/>
          <w:caps/>
          <w:sz w:val="30"/>
          <w:szCs w:val="30"/>
        </w:rPr>
      </w:pPr>
      <w:r>
        <w:rPr>
          <w:rFonts w:hint="eastAsia" w:ascii="仿宋" w:hAnsi="仿宋" w:eastAsia="仿宋" w:cs="仿宋"/>
          <w:bCs/>
          <w:caps/>
          <w:sz w:val="30"/>
          <w:szCs w:val="30"/>
        </w:rPr>
        <w:t>根据城投集团提供的2021年、2022年合并财务报表审计报告，2021年城投集团资产总额2,456,550.34万元，其中流动资产1,455,416.03万元，非流动性资产1,001,134.31万元；负债总额1,864,210.1</w:t>
      </w:r>
      <w:r>
        <w:rPr>
          <w:rFonts w:ascii="仿宋" w:hAnsi="仿宋" w:eastAsia="仿宋" w:cs="仿宋"/>
          <w:bCs/>
          <w:caps/>
          <w:sz w:val="30"/>
          <w:szCs w:val="30"/>
        </w:rPr>
        <w:t>44</w:t>
      </w:r>
      <w:r>
        <w:rPr>
          <w:rFonts w:hint="eastAsia" w:ascii="仿宋" w:hAnsi="仿宋" w:eastAsia="仿宋" w:cs="仿宋"/>
          <w:bCs/>
          <w:caps/>
          <w:sz w:val="30"/>
          <w:szCs w:val="30"/>
        </w:rPr>
        <w:t>万元，其中流动负债1,424,746.9</w:t>
      </w:r>
      <w:r>
        <w:rPr>
          <w:rFonts w:ascii="仿宋" w:hAnsi="仿宋" w:eastAsia="仿宋" w:cs="仿宋"/>
          <w:bCs/>
          <w:caps/>
          <w:sz w:val="30"/>
          <w:szCs w:val="30"/>
        </w:rPr>
        <w:t>45</w:t>
      </w:r>
      <w:r>
        <w:rPr>
          <w:rFonts w:hint="eastAsia" w:ascii="仿宋" w:hAnsi="仿宋" w:eastAsia="仿宋" w:cs="仿宋"/>
          <w:bCs/>
          <w:caps/>
          <w:sz w:val="30"/>
          <w:szCs w:val="30"/>
        </w:rPr>
        <w:t>万元，非流动负债439,463.</w:t>
      </w:r>
      <w:r>
        <w:rPr>
          <w:rFonts w:ascii="仿宋" w:hAnsi="仿宋" w:eastAsia="仿宋" w:cs="仿宋"/>
          <w:bCs/>
          <w:caps/>
          <w:sz w:val="30"/>
          <w:szCs w:val="30"/>
        </w:rPr>
        <w:t>199</w:t>
      </w:r>
      <w:r>
        <w:rPr>
          <w:rFonts w:hint="eastAsia" w:ascii="仿宋" w:hAnsi="仿宋" w:eastAsia="仿宋" w:cs="仿宋"/>
          <w:bCs/>
          <w:caps/>
          <w:sz w:val="30"/>
          <w:szCs w:val="30"/>
        </w:rPr>
        <w:t>万元；所有者权益592,340.20万元；营业收入28,529.82万元，营业成本20,949.68万元，净利润338.25万元。</w:t>
      </w:r>
    </w:p>
    <w:p>
      <w:pPr>
        <w:adjustRightInd w:val="0"/>
        <w:snapToGrid w:val="0"/>
        <w:spacing w:line="360" w:lineRule="auto"/>
        <w:ind w:firstLine="600" w:firstLineChars="200"/>
        <w:rPr>
          <w:rFonts w:hint="eastAsia" w:ascii="仿宋" w:hAnsi="仿宋" w:eastAsia="仿宋" w:cs="仿宋"/>
          <w:bCs/>
          <w:caps/>
          <w:sz w:val="30"/>
          <w:szCs w:val="30"/>
        </w:rPr>
      </w:pPr>
      <w:r>
        <w:rPr>
          <w:rFonts w:hint="eastAsia" w:ascii="仿宋" w:hAnsi="仿宋" w:eastAsia="仿宋" w:cs="仿宋"/>
          <w:bCs/>
          <w:caps/>
          <w:sz w:val="30"/>
          <w:szCs w:val="30"/>
        </w:rPr>
        <w:t>2022年城投集团资产总额2,679,138.82万元，其中流动资产1,683,991.14万元，非流动资产995,147.68万元；负债总额2,060,362.48</w:t>
      </w:r>
      <w:r>
        <w:rPr>
          <w:rFonts w:ascii="仿宋" w:hAnsi="仿宋" w:eastAsia="仿宋" w:cs="仿宋"/>
          <w:bCs/>
          <w:caps/>
          <w:sz w:val="30"/>
          <w:szCs w:val="30"/>
        </w:rPr>
        <w:t>1</w:t>
      </w:r>
      <w:r>
        <w:rPr>
          <w:rFonts w:hint="eastAsia" w:ascii="仿宋" w:hAnsi="仿宋" w:eastAsia="仿宋" w:cs="仿宋"/>
          <w:bCs/>
          <w:caps/>
          <w:sz w:val="30"/>
          <w:szCs w:val="30"/>
        </w:rPr>
        <w:t>万元，其中流动负债1,592,629.29</w:t>
      </w:r>
      <w:r>
        <w:rPr>
          <w:rFonts w:ascii="仿宋" w:hAnsi="仿宋" w:eastAsia="仿宋" w:cs="仿宋"/>
          <w:bCs/>
          <w:caps/>
          <w:sz w:val="30"/>
          <w:szCs w:val="30"/>
        </w:rPr>
        <w:t>0</w:t>
      </w:r>
      <w:r>
        <w:rPr>
          <w:rFonts w:hint="eastAsia" w:ascii="仿宋" w:hAnsi="仿宋" w:eastAsia="仿宋" w:cs="仿宋"/>
          <w:bCs/>
          <w:caps/>
          <w:sz w:val="30"/>
          <w:szCs w:val="30"/>
        </w:rPr>
        <w:t>万元，非流动负债467,733.</w:t>
      </w:r>
      <w:r>
        <w:rPr>
          <w:rFonts w:ascii="仿宋" w:hAnsi="仿宋" w:eastAsia="仿宋" w:cs="仿宋"/>
          <w:bCs/>
          <w:caps/>
          <w:sz w:val="30"/>
          <w:szCs w:val="30"/>
        </w:rPr>
        <w:t>191</w:t>
      </w:r>
      <w:r>
        <w:rPr>
          <w:rFonts w:hint="eastAsia" w:ascii="仿宋" w:hAnsi="仿宋" w:eastAsia="仿宋" w:cs="仿宋"/>
          <w:bCs/>
          <w:caps/>
          <w:sz w:val="30"/>
          <w:szCs w:val="30"/>
        </w:rPr>
        <w:t>万元；所有者权益618,776.34万元，营业收入52,645.60万元，营业成本40,900.74万元，净利润1452.64万元。</w:t>
      </w:r>
    </w:p>
    <w:p>
      <w:pPr>
        <w:adjustRightInd w:val="0"/>
        <w:snapToGrid w:val="0"/>
        <w:spacing w:line="360" w:lineRule="auto"/>
        <w:ind w:firstLine="600" w:firstLineChars="200"/>
        <w:rPr>
          <w:rFonts w:hint="eastAsia"/>
        </w:rPr>
      </w:pPr>
      <w:r>
        <w:rPr>
          <w:rFonts w:hint="eastAsia" w:ascii="仿宋" w:hAnsi="仿宋" w:eastAsia="仿宋" w:cs="仿宋"/>
          <w:bCs/>
          <w:caps/>
          <w:sz w:val="30"/>
          <w:szCs w:val="30"/>
        </w:rPr>
        <w:t>根据《伊金霍洛旗财政局关于旗属国有企业上缴2021年国有资本经营收益的通知》（伊财发</w:t>
      </w:r>
      <w:r>
        <w:rPr>
          <w:rFonts w:hint="eastAsia" w:ascii="仿宋" w:hAnsi="仿宋" w:eastAsia="仿宋" w:cs="仿宋"/>
          <w:bCs/>
          <w:caps/>
          <w:spacing w:val="-6"/>
          <w:sz w:val="30"/>
          <w:szCs w:val="30"/>
        </w:rPr>
        <w:t>〔2021〕</w:t>
      </w:r>
      <w:r>
        <w:rPr>
          <w:rFonts w:hint="eastAsia" w:ascii="仿宋" w:hAnsi="仿宋" w:eastAsia="仿宋" w:cs="仿宋"/>
          <w:bCs/>
          <w:caps/>
          <w:sz w:val="30"/>
          <w:szCs w:val="30"/>
        </w:rPr>
        <w:t>93号）中上缴利润比例10%的要求，2022年12月集团上缴</w:t>
      </w:r>
      <w:r>
        <w:rPr>
          <w:rFonts w:hint="eastAsia" w:ascii="仿宋" w:hAnsi="仿宋" w:eastAsia="仿宋" w:cs="仿宋"/>
          <w:bCs/>
          <w:caps/>
          <w:sz w:val="30"/>
          <w:szCs w:val="30"/>
          <w:lang w:val="en-US" w:eastAsia="zh-CN"/>
        </w:rPr>
        <w:t>2021年度</w:t>
      </w:r>
      <w:r>
        <w:rPr>
          <w:rFonts w:hint="eastAsia" w:ascii="仿宋" w:hAnsi="仿宋" w:eastAsia="仿宋" w:cs="仿宋"/>
          <w:bCs/>
          <w:caps/>
          <w:sz w:val="30"/>
          <w:szCs w:val="30"/>
        </w:rPr>
        <w:t>收益额34.84万元。2022年度收益额计划于2023年</w:t>
      </w:r>
      <w:r>
        <w:rPr>
          <w:rFonts w:hint="eastAsia" w:ascii="仿宋" w:hAnsi="仿宋" w:eastAsia="仿宋" w:cs="仿宋"/>
          <w:bCs/>
          <w:caps/>
          <w:sz w:val="30"/>
          <w:szCs w:val="30"/>
          <w:lang w:val="en-US" w:eastAsia="zh-CN"/>
        </w:rPr>
        <w:t>年</w:t>
      </w:r>
      <w:r>
        <w:rPr>
          <w:rFonts w:hint="eastAsia" w:ascii="仿宋" w:hAnsi="仿宋" w:eastAsia="仿宋" w:cs="仿宋"/>
          <w:bCs/>
          <w:caps/>
          <w:sz w:val="30"/>
          <w:szCs w:val="30"/>
        </w:rPr>
        <w:t>底上缴。</w:t>
      </w:r>
    </w:p>
    <w:bookmarkEnd w:id="7"/>
    <w:bookmarkEnd w:id="8"/>
    <w:bookmarkEnd w:id="9"/>
    <w:p>
      <w:pPr>
        <w:adjustRightInd w:val="0"/>
        <w:snapToGrid w:val="0"/>
        <w:spacing w:line="360" w:lineRule="auto"/>
        <w:ind w:firstLine="643" w:firstLineChars="200"/>
        <w:outlineLvl w:val="1"/>
        <w:rPr>
          <w:rFonts w:hint="eastAsia" w:ascii="楷体" w:hAnsi="楷体" w:eastAsia="楷体" w:cs="Arial"/>
          <w:b/>
          <w:kern w:val="0"/>
          <w:sz w:val="32"/>
          <w:szCs w:val="32"/>
        </w:rPr>
      </w:pPr>
      <w:bookmarkStart w:id="13" w:name="_Toc14876"/>
      <w:bookmarkStart w:id="14" w:name="_Toc1196"/>
      <w:r>
        <w:rPr>
          <w:rFonts w:hint="eastAsia" w:ascii="楷体" w:hAnsi="楷体" w:eastAsia="楷体" w:cs="Arial"/>
          <w:b/>
          <w:kern w:val="0"/>
          <w:sz w:val="32"/>
          <w:szCs w:val="32"/>
        </w:rPr>
        <w:t>（二）项目基本情况</w:t>
      </w:r>
      <w:bookmarkEnd w:id="13"/>
      <w:bookmarkEnd w:id="14"/>
    </w:p>
    <w:p>
      <w:pPr>
        <w:adjustRightInd w:val="0"/>
        <w:snapToGrid w:val="0"/>
        <w:spacing w:line="360" w:lineRule="auto"/>
        <w:ind w:firstLine="602" w:firstLineChars="200"/>
        <w:outlineLvl w:val="2"/>
        <w:rPr>
          <w:rFonts w:hint="eastAsia" w:ascii="仿宋" w:hAnsi="仿宋" w:eastAsia="仿宋" w:cs="仿宋"/>
          <w:b/>
          <w:caps/>
          <w:sz w:val="30"/>
          <w:szCs w:val="30"/>
        </w:rPr>
      </w:pPr>
      <w:bookmarkStart w:id="15" w:name="_Toc22398"/>
      <w:r>
        <w:rPr>
          <w:rFonts w:hint="eastAsia" w:ascii="仿宋" w:hAnsi="仿宋" w:eastAsia="仿宋" w:cs="仿宋"/>
          <w:b/>
          <w:caps/>
          <w:sz w:val="30"/>
          <w:szCs w:val="30"/>
        </w:rPr>
        <w:t>1.项目背景及内容</w:t>
      </w:r>
      <w:bookmarkEnd w:id="15"/>
    </w:p>
    <w:p>
      <w:pPr>
        <w:adjustRightInd w:val="0"/>
        <w:snapToGrid w:val="0"/>
        <w:spacing w:line="360" w:lineRule="auto"/>
        <w:ind w:firstLine="600" w:firstLineChars="200"/>
        <w:rPr>
          <w:rFonts w:ascii="仿宋" w:hAnsi="仿宋" w:eastAsia="仿宋" w:cs="仿宋"/>
          <w:bCs/>
          <w:caps/>
          <w:sz w:val="30"/>
          <w:szCs w:val="30"/>
        </w:rPr>
      </w:pPr>
      <w:r>
        <w:rPr>
          <w:rFonts w:hint="eastAsia" w:ascii="仿宋" w:hAnsi="仿宋" w:eastAsia="仿宋" w:cs="仿宋"/>
          <w:bCs/>
          <w:caps/>
          <w:sz w:val="30"/>
          <w:szCs w:val="30"/>
        </w:rPr>
        <w:t>2021年3月，新华社授权播发《中华人民共和国国民经济和社会发展第十四个五年规划和2035年远景目标纲要》，规划中提出：加快国有经济布局优化、结构调整和战略性重组，增强国有经济竞争力、创新力、控制力、影响力、抗风险能力，做强做优做大国有资本和国有企业。2021年12月，鄂尔多斯人民政府印发《鄂尔多斯市国民经济和社会发展第十四个五年规划和2035年远景目标纲要》，规划中提出：推动国有资产资源向资本运营、产业投资、城市运营、水务农牧、文化旅游等板块集聚，实现资源、资本向优势产业、优势企业聚集，降低企业同质化竞争程度，优化国有资本配置，进一步增强规模实力。</w:t>
      </w:r>
    </w:p>
    <w:p>
      <w:pPr>
        <w:adjustRightInd w:val="0"/>
        <w:snapToGrid w:val="0"/>
        <w:spacing w:line="360" w:lineRule="auto"/>
        <w:ind w:firstLine="600" w:firstLineChars="200"/>
        <w:rPr>
          <w:rFonts w:hint="eastAsia" w:ascii="仿宋" w:hAnsi="仿宋" w:eastAsia="仿宋" w:cs="仿宋"/>
          <w:bCs/>
          <w:caps/>
          <w:sz w:val="30"/>
          <w:szCs w:val="30"/>
        </w:rPr>
      </w:pPr>
      <w:r>
        <w:rPr>
          <w:rFonts w:hint="eastAsia" w:ascii="仿宋" w:hAnsi="仿宋" w:eastAsia="仿宋" w:cs="仿宋"/>
          <w:bCs/>
          <w:caps/>
          <w:sz w:val="30"/>
          <w:szCs w:val="30"/>
        </w:rPr>
        <w:t>为响应国有企业及国有资本相关规划和要求，落实旗委、旗政府及国资委确定的战略目标和要求，以建设城市、经营城市和服务城市为宗旨，以战略转型和管理提升为主线，充分发挥城市综合投资运营的功能，城投集团于2021年和2022年申请拨付注册资本金分别用于财政结算凭证到期结算及支付远景现代能源装备制造项目工程款。项目主要内容如下：</w:t>
      </w:r>
    </w:p>
    <w:p>
      <w:pPr>
        <w:adjustRightInd w:val="0"/>
        <w:snapToGrid w:val="0"/>
        <w:spacing w:line="360" w:lineRule="auto"/>
        <w:ind w:firstLine="602" w:firstLineChars="200"/>
        <w:rPr>
          <w:rFonts w:ascii="仿宋" w:hAnsi="仿宋" w:eastAsia="仿宋" w:cs="仿宋"/>
          <w:bCs/>
          <w:caps/>
          <w:sz w:val="30"/>
          <w:szCs w:val="30"/>
        </w:rPr>
      </w:pPr>
      <w:r>
        <w:rPr>
          <w:rFonts w:hint="eastAsia" w:ascii="仿宋" w:hAnsi="仿宋" w:eastAsia="仿宋" w:cs="仿宋"/>
          <w:b/>
          <w:caps/>
          <w:sz w:val="30"/>
          <w:szCs w:val="30"/>
        </w:rPr>
        <w:t>一是</w:t>
      </w:r>
      <w:r>
        <w:rPr>
          <w:rFonts w:hint="eastAsia" w:ascii="仿宋" w:hAnsi="仿宋" w:eastAsia="仿宋" w:cs="仿宋"/>
          <w:bCs/>
          <w:caps/>
          <w:sz w:val="30"/>
          <w:szCs w:val="30"/>
        </w:rPr>
        <w:t>财政结算凭证到期结算。2021年城投集团向国资委申请447万元，用于乌兰木伦铁东住宅小区工程、伊旗民族文化博览园工程、伊旗民族宗教文化展示中心工程、伊旗佛教珍品展览馆工程、伊旗阿镇北区二期市政道路及管网横六路工程财政结算凭证到期结算。</w:t>
      </w:r>
    </w:p>
    <w:p>
      <w:pPr>
        <w:pStyle w:val="7"/>
        <w:adjustRightInd w:val="0"/>
        <w:snapToGrid w:val="0"/>
        <w:spacing w:line="360" w:lineRule="auto"/>
        <w:ind w:firstLine="602"/>
        <w:rPr>
          <w:b/>
          <w:szCs w:val="30"/>
        </w:rPr>
      </w:pPr>
      <w:r>
        <w:rPr>
          <w:rFonts w:hint="eastAsia" w:ascii="仿宋" w:hAnsi="仿宋" w:eastAsia="仿宋" w:cs="仿宋"/>
          <w:b/>
          <w:caps/>
          <w:szCs w:val="30"/>
        </w:rPr>
        <w:t>二是</w:t>
      </w:r>
      <w:r>
        <w:rPr>
          <w:rFonts w:hint="eastAsia" w:ascii="仿宋" w:hAnsi="仿宋" w:eastAsia="仿宋" w:cs="仿宋"/>
          <w:bCs/>
          <w:caps/>
          <w:szCs w:val="30"/>
        </w:rPr>
        <w:t>远景现代能源装备制造项目。2021年伊金霍洛旗委十五届147次常委会会议纪要议定了远景能源装备产业园项目代建厂房有关事宜，主要内容为：同意由旗城投集团联合具备相应资质的第三方企业以垫资的方式负责厂房及附属设施建设，垫资金额不超过4.4亿元。同意由旗财政从2021年开始，三年内向旗城投集团以注资或支付其代建公共基础设施建设项目工程款的方式，帮助城投集团筹集项目资金，确保远景现代能源装备产业园项目相关配套设施建设按期完工。为加快远景项目顺利推进，城投集团于2022年向国资委申请拨付资金1.75亿元，用于支付远景现代能源装备制造项目工程款。</w:t>
      </w:r>
    </w:p>
    <w:p>
      <w:pPr>
        <w:adjustRightInd w:val="0"/>
        <w:snapToGrid w:val="0"/>
        <w:spacing w:line="360" w:lineRule="auto"/>
        <w:ind w:firstLine="602" w:firstLineChars="200"/>
        <w:outlineLvl w:val="2"/>
        <w:rPr>
          <w:rFonts w:hint="eastAsia" w:ascii="仿宋" w:hAnsi="仿宋" w:eastAsia="仿宋" w:cs="仿宋"/>
          <w:b/>
          <w:caps/>
          <w:sz w:val="30"/>
          <w:szCs w:val="30"/>
        </w:rPr>
      </w:pPr>
      <w:bookmarkStart w:id="16" w:name="_Toc20151"/>
      <w:r>
        <w:rPr>
          <w:rFonts w:ascii="仿宋" w:hAnsi="仿宋" w:eastAsia="仿宋" w:cs="仿宋"/>
          <w:b/>
          <w:caps/>
          <w:sz w:val="30"/>
          <w:szCs w:val="30"/>
        </w:rPr>
        <w:t>2.</w:t>
      </w:r>
      <w:r>
        <w:rPr>
          <w:rFonts w:hint="eastAsia" w:ascii="仿宋" w:hAnsi="仿宋" w:eastAsia="仿宋" w:cs="仿宋"/>
          <w:b/>
          <w:caps/>
          <w:sz w:val="30"/>
          <w:szCs w:val="30"/>
        </w:rPr>
        <w:t>项目实施情况</w:t>
      </w:r>
      <w:bookmarkEnd w:id="16"/>
    </w:p>
    <w:p>
      <w:pPr>
        <w:adjustRightInd w:val="0"/>
        <w:snapToGrid w:val="0"/>
        <w:spacing w:line="360" w:lineRule="auto"/>
        <w:ind w:firstLine="600" w:firstLineChars="200"/>
        <w:rPr>
          <w:bCs/>
          <w:sz w:val="30"/>
          <w:szCs w:val="30"/>
        </w:rPr>
      </w:pPr>
      <w:r>
        <w:rPr>
          <w:rFonts w:hint="eastAsia" w:ascii="仿宋" w:hAnsi="仿宋" w:eastAsia="仿宋" w:cs="仿宋"/>
          <w:bCs/>
          <w:caps/>
          <w:sz w:val="30"/>
          <w:szCs w:val="30"/>
        </w:rPr>
        <w:t>（1）财政结算凭证到期结算。资金下达后，城投集团将447万元下划至宏泰城市建设投资公司，用于支付伊旗民族文化博览园工程、伊旗民族宗教文化展示中心工程、伊旗佛教珍品展览馆工程、伊旗阿镇北区二期市政道路及管网横六路等以前年度项目工程款。</w:t>
      </w:r>
    </w:p>
    <w:p>
      <w:pPr>
        <w:pStyle w:val="7"/>
        <w:adjustRightInd w:val="0"/>
        <w:snapToGrid w:val="0"/>
        <w:spacing w:line="360" w:lineRule="auto"/>
        <w:ind w:firstLine="600"/>
        <w:rPr>
          <w:rFonts w:ascii="仿宋" w:hAnsi="仿宋" w:eastAsia="仿宋" w:cs="仿宋"/>
          <w:bCs/>
          <w:caps/>
          <w:szCs w:val="30"/>
        </w:rPr>
      </w:pPr>
      <w:r>
        <w:rPr>
          <w:rFonts w:hint="eastAsia" w:ascii="仿宋" w:hAnsi="仿宋" w:eastAsia="仿宋" w:cs="仿宋"/>
          <w:bCs/>
          <w:caps/>
          <w:szCs w:val="30"/>
        </w:rPr>
        <w:t>（2）远景现代能源装备制造项目。远景动力技术（鄂尔多斯）有限公司（以下简称“远景公司”）与城投集团签订了项目包联合作协议、借款合同及补充协议，约定了包联约定、项目管理、资金支付、出借种类、出借金额、出借方式及借款用途等内容，并作为发包人与包联方城投集团、承包人陕西建工第五建设集团有限公司（以下简称“陕西建工五建”）签订了三方合作协议书，约定了各方需履行的职责。项目于2021年4月10日开工，2022年6月份完成主厂房1、主厂房2、设施房、食堂等各单体施工，并分别于6月、7月移交远景公司。</w:t>
      </w:r>
    </w:p>
    <w:p>
      <w:pPr>
        <w:adjustRightInd w:val="0"/>
        <w:snapToGrid w:val="0"/>
        <w:spacing w:line="360" w:lineRule="auto"/>
        <w:ind w:firstLine="602" w:firstLineChars="200"/>
        <w:outlineLvl w:val="2"/>
        <w:rPr>
          <w:rFonts w:hint="eastAsia" w:ascii="仿宋" w:hAnsi="仿宋" w:eastAsia="仿宋" w:cs="仿宋"/>
          <w:b/>
          <w:caps/>
          <w:sz w:val="30"/>
          <w:szCs w:val="30"/>
        </w:rPr>
      </w:pPr>
      <w:bookmarkStart w:id="17" w:name="_Toc18079"/>
      <w:r>
        <w:rPr>
          <w:rFonts w:ascii="仿宋" w:hAnsi="仿宋" w:eastAsia="仿宋" w:cs="仿宋"/>
          <w:b/>
          <w:caps/>
          <w:sz w:val="30"/>
          <w:szCs w:val="30"/>
        </w:rPr>
        <w:t>3</w:t>
      </w:r>
      <w:r>
        <w:rPr>
          <w:rFonts w:hint="eastAsia" w:ascii="仿宋" w:hAnsi="仿宋" w:eastAsia="仿宋" w:cs="仿宋"/>
          <w:b/>
          <w:caps/>
          <w:sz w:val="30"/>
          <w:szCs w:val="30"/>
        </w:rPr>
        <w:t>.项目资金情况</w:t>
      </w:r>
      <w:bookmarkEnd w:id="17"/>
    </w:p>
    <w:p>
      <w:pPr>
        <w:adjustRightInd w:val="0"/>
        <w:snapToGrid w:val="0"/>
        <w:spacing w:line="360" w:lineRule="auto"/>
        <w:ind w:firstLine="602" w:firstLineChars="200"/>
        <w:outlineLvl w:val="3"/>
        <w:rPr>
          <w:rFonts w:hint="eastAsia" w:ascii="仿宋" w:hAnsi="仿宋" w:eastAsia="仿宋" w:cs="仿宋"/>
          <w:b/>
          <w:caps/>
          <w:sz w:val="30"/>
          <w:szCs w:val="30"/>
        </w:rPr>
      </w:pPr>
      <w:r>
        <w:rPr>
          <w:rFonts w:hint="eastAsia" w:ascii="仿宋" w:hAnsi="仿宋" w:eastAsia="仿宋" w:cs="仿宋"/>
          <w:b/>
          <w:caps/>
          <w:sz w:val="30"/>
          <w:szCs w:val="30"/>
        </w:rPr>
        <w:t>（1）财政结算凭证到期结算</w:t>
      </w:r>
    </w:p>
    <w:p>
      <w:pPr>
        <w:adjustRightInd w:val="0"/>
        <w:snapToGrid w:val="0"/>
        <w:spacing w:line="360" w:lineRule="auto"/>
        <w:ind w:firstLine="602" w:firstLineChars="200"/>
        <w:rPr>
          <w:rFonts w:ascii="仿宋" w:hAnsi="仿宋" w:eastAsia="仿宋" w:cs="仿宋"/>
          <w:bCs/>
          <w:caps/>
          <w:sz w:val="30"/>
          <w:szCs w:val="30"/>
        </w:rPr>
      </w:pPr>
      <w:r>
        <w:rPr>
          <w:rFonts w:hint="eastAsia" w:ascii="仿宋" w:hAnsi="仿宋" w:eastAsia="仿宋" w:cs="仿宋"/>
          <w:b/>
          <w:caps/>
          <w:sz w:val="30"/>
          <w:szCs w:val="30"/>
        </w:rPr>
        <w:t>一是</w:t>
      </w:r>
      <w:r>
        <w:rPr>
          <w:rFonts w:hint="eastAsia" w:ascii="仿宋" w:hAnsi="仿宋" w:eastAsia="仿宋" w:cs="仿宋"/>
          <w:bCs/>
          <w:caps/>
          <w:sz w:val="30"/>
          <w:szCs w:val="30"/>
        </w:rPr>
        <w:t>财政结算凭证到期结算。2021年5月，城投集团向国资委申请注册资本金447万元用于财政结算凭证到期结算。资金于2021年6月到位后，城投集团将447万资金与其他资金共2.28亿一起下划至宏泰城市建设投资公司，用于支付伊旗民族文化博览园工程、伊旗民族宗教文化展示中心工程、伊旗佛教珍品展览馆工程、北区二期市政道路及管网横六路工程等工程款,预算执行率100%。</w:t>
      </w:r>
    </w:p>
    <w:p>
      <w:pPr>
        <w:adjustRightInd w:val="0"/>
        <w:snapToGrid w:val="0"/>
        <w:spacing w:line="360" w:lineRule="auto"/>
        <w:ind w:firstLine="602" w:firstLineChars="200"/>
        <w:outlineLvl w:val="3"/>
        <w:rPr>
          <w:rFonts w:hint="eastAsia" w:ascii="仿宋" w:hAnsi="仿宋" w:eastAsia="仿宋" w:cs="仿宋"/>
          <w:b/>
          <w:caps/>
          <w:sz w:val="30"/>
          <w:szCs w:val="30"/>
        </w:rPr>
      </w:pPr>
      <w:r>
        <w:rPr>
          <w:rFonts w:hint="eastAsia" w:ascii="仿宋" w:hAnsi="仿宋" w:eastAsia="仿宋" w:cs="仿宋"/>
          <w:b/>
          <w:caps/>
          <w:sz w:val="30"/>
          <w:szCs w:val="30"/>
        </w:rPr>
        <w:t>（2）远景现代能源装备制造项目</w:t>
      </w:r>
    </w:p>
    <w:p>
      <w:pPr>
        <w:adjustRightInd w:val="0"/>
        <w:snapToGrid w:val="0"/>
        <w:spacing w:line="360" w:lineRule="auto"/>
        <w:ind w:firstLine="600" w:firstLineChars="200"/>
        <w:rPr>
          <w:rFonts w:ascii="仿宋" w:hAnsi="仿宋" w:eastAsia="仿宋" w:cs="仿宋"/>
          <w:bCs/>
          <w:caps/>
          <w:sz w:val="30"/>
          <w:szCs w:val="30"/>
        </w:rPr>
      </w:pPr>
      <w:r>
        <w:rPr>
          <w:rFonts w:hint="eastAsia" w:ascii="仿宋" w:hAnsi="仿宋" w:eastAsia="仿宋" w:cs="仿宋"/>
          <w:bCs/>
          <w:caps/>
          <w:sz w:val="30"/>
          <w:szCs w:val="30"/>
        </w:rPr>
        <w:t>2022年3月至7月，城投集团向国资委申请4笔注册资本金共计17500万元用于垫付远景现代能源装备制造项目工程款，资金于2022年已全部到位。截至评价日，注册资本金已全部用于支付远景现代能源装备制造项目厂房建设工程款，预算执行率100%。</w:t>
      </w:r>
    </w:p>
    <w:p>
      <w:pPr>
        <w:pStyle w:val="3"/>
        <w:adjustRightInd w:val="0"/>
        <w:snapToGrid w:val="0"/>
        <w:spacing w:before="0" w:after="0" w:line="360" w:lineRule="auto"/>
        <w:ind w:firstLine="600" w:firstLineChars="200"/>
        <w:rPr>
          <w:rFonts w:eastAsia="黑体"/>
          <w:b w:val="0"/>
          <w:bCs w:val="0"/>
          <w:sz w:val="30"/>
          <w:szCs w:val="30"/>
        </w:rPr>
      </w:pPr>
      <w:bookmarkStart w:id="18" w:name="_Toc15187"/>
      <w:bookmarkStart w:id="19" w:name="_Toc8992"/>
      <w:r>
        <w:rPr>
          <w:rFonts w:eastAsia="黑体"/>
          <w:b w:val="0"/>
          <w:bCs w:val="0"/>
          <w:sz w:val="30"/>
          <w:szCs w:val="30"/>
        </w:rPr>
        <w:t>二、</w:t>
      </w:r>
      <w:bookmarkEnd w:id="18"/>
      <w:bookmarkEnd w:id="19"/>
      <w:bookmarkStart w:id="20" w:name="_Toc20759"/>
      <w:bookmarkStart w:id="21" w:name="_Toc11288"/>
      <w:r>
        <w:rPr>
          <w:rFonts w:hint="eastAsia" w:eastAsia="黑体"/>
          <w:b w:val="0"/>
          <w:bCs w:val="0"/>
          <w:sz w:val="30"/>
          <w:szCs w:val="30"/>
        </w:rPr>
        <w:t>综合评价结论</w:t>
      </w:r>
      <w:bookmarkEnd w:id="20"/>
      <w:bookmarkEnd w:id="21"/>
    </w:p>
    <w:p>
      <w:pPr>
        <w:adjustRightInd w:val="0"/>
        <w:snapToGrid w:val="0"/>
        <w:spacing w:line="360" w:lineRule="auto"/>
        <w:ind w:firstLine="602" w:firstLineChars="200"/>
        <w:rPr>
          <w:rFonts w:hint="eastAsia" w:ascii="仿宋" w:hAnsi="仿宋" w:eastAsia="仿宋" w:cs="仿宋"/>
          <w:b/>
          <w:caps/>
          <w:sz w:val="30"/>
          <w:szCs w:val="30"/>
        </w:rPr>
      </w:pPr>
      <w:r>
        <w:rPr>
          <w:rFonts w:hint="eastAsia" w:ascii="仿宋" w:hAnsi="仿宋" w:eastAsia="仿宋" w:cs="仿宋"/>
          <w:b/>
          <w:caps/>
          <w:sz w:val="30"/>
          <w:szCs w:val="30"/>
        </w:rPr>
        <w:t>该项目绩效评价得分为8</w:t>
      </w:r>
      <w:r>
        <w:rPr>
          <w:rFonts w:hint="eastAsia" w:ascii="仿宋" w:hAnsi="仿宋" w:eastAsia="仿宋" w:cs="仿宋"/>
          <w:b/>
          <w:caps/>
          <w:sz w:val="30"/>
          <w:szCs w:val="30"/>
          <w:lang w:val="en-US" w:eastAsia="zh-CN"/>
        </w:rPr>
        <w:t>7</w:t>
      </w:r>
      <w:r>
        <w:rPr>
          <w:rFonts w:hint="eastAsia" w:ascii="仿宋" w:hAnsi="仿宋" w:eastAsia="仿宋" w:cs="仿宋"/>
          <w:b/>
          <w:caps/>
          <w:sz w:val="30"/>
          <w:szCs w:val="30"/>
        </w:rPr>
        <w:t>.</w:t>
      </w:r>
      <w:r>
        <w:rPr>
          <w:rFonts w:hint="eastAsia" w:ascii="仿宋" w:hAnsi="仿宋" w:eastAsia="仿宋" w:cs="仿宋"/>
          <w:b/>
          <w:caps/>
          <w:sz w:val="30"/>
          <w:szCs w:val="30"/>
          <w:lang w:val="en-US" w:eastAsia="zh-CN"/>
        </w:rPr>
        <w:t>4</w:t>
      </w:r>
      <w:r>
        <w:rPr>
          <w:rFonts w:hint="eastAsia" w:ascii="仿宋" w:hAnsi="仿宋" w:eastAsia="仿宋" w:cs="仿宋"/>
          <w:b/>
          <w:caps/>
          <w:sz w:val="30"/>
          <w:szCs w:val="30"/>
        </w:rPr>
        <w:t>0分，综合评价等级为“良”。</w:t>
      </w:r>
    </w:p>
    <w:p>
      <w:pPr>
        <w:adjustRightInd w:val="0"/>
        <w:snapToGrid w:val="0"/>
        <w:spacing w:line="360" w:lineRule="auto"/>
        <w:ind w:firstLine="600" w:firstLineChars="200"/>
        <w:rPr>
          <w:rFonts w:hint="eastAsia" w:ascii="仿宋" w:hAnsi="仿宋" w:eastAsia="仿宋" w:cs="仿宋"/>
          <w:bCs/>
          <w:caps/>
          <w:sz w:val="30"/>
          <w:szCs w:val="30"/>
        </w:rPr>
      </w:pPr>
      <w:r>
        <w:rPr>
          <w:rFonts w:hint="eastAsia" w:ascii="仿宋" w:hAnsi="仿宋" w:eastAsia="仿宋" w:cs="仿宋"/>
          <w:bCs/>
          <w:caps/>
          <w:sz w:val="30"/>
          <w:szCs w:val="30"/>
        </w:rPr>
        <w:t>评价认为，城投集团资金投向与政策相符，账务处理及时，资金使用合规。截至评价日，集团已完成乌兰活佛府邸工程与北区二期横六路工程的到期结算，促进了企业持续发展；远景现代能源装备制造项目厂房1、2已完成施工，出借流程合规、产值确认及时，项目实施推动了新能源产业的发展与绿色低碳转型。</w:t>
      </w:r>
    </w:p>
    <w:p>
      <w:pPr>
        <w:adjustRightInd w:val="0"/>
        <w:snapToGrid w:val="0"/>
        <w:spacing w:line="360" w:lineRule="auto"/>
        <w:ind w:firstLine="600" w:firstLineChars="200"/>
        <w:rPr>
          <w:rFonts w:ascii="仿宋" w:hAnsi="仿宋" w:eastAsia="仿宋" w:cs="仿宋"/>
          <w:bCs/>
          <w:caps/>
          <w:sz w:val="30"/>
          <w:szCs w:val="30"/>
        </w:rPr>
      </w:pPr>
      <w:r>
        <w:rPr>
          <w:rFonts w:hint="eastAsia" w:ascii="仿宋" w:hAnsi="仿宋" w:eastAsia="仿宋" w:cs="仿宋"/>
          <w:bCs/>
          <w:caps/>
          <w:sz w:val="30"/>
          <w:szCs w:val="30"/>
        </w:rPr>
        <w:t>但评价中存在经营目标覆盖不全面、资金使用未完全覆盖资本预算支出计划、部分工程缺少验收资料、营业利润率与资产负债率等经营业绩有待提高的情况。</w:t>
      </w:r>
    </w:p>
    <w:p>
      <w:pPr>
        <w:pStyle w:val="3"/>
        <w:adjustRightInd w:val="0"/>
        <w:snapToGrid w:val="0"/>
        <w:spacing w:before="0" w:after="0" w:line="360" w:lineRule="auto"/>
        <w:ind w:firstLine="600" w:firstLineChars="200"/>
        <w:rPr>
          <w:rFonts w:hint="eastAsia" w:eastAsia="黑体"/>
          <w:b w:val="0"/>
          <w:bCs w:val="0"/>
          <w:sz w:val="30"/>
          <w:szCs w:val="30"/>
          <w:lang w:eastAsia="zh-Hans"/>
        </w:rPr>
      </w:pPr>
      <w:bookmarkStart w:id="22" w:name="_Toc42596185"/>
      <w:bookmarkStart w:id="23" w:name="_Toc29514"/>
      <w:bookmarkStart w:id="24" w:name="_Toc5779"/>
      <w:r>
        <w:rPr>
          <w:rFonts w:hint="eastAsia" w:eastAsia="黑体"/>
          <w:b w:val="0"/>
          <w:bCs w:val="0"/>
          <w:sz w:val="30"/>
          <w:szCs w:val="30"/>
          <w:lang w:eastAsia="zh-CN"/>
        </w:rPr>
        <w:t>三</w:t>
      </w:r>
      <w:r>
        <w:rPr>
          <w:rFonts w:hint="eastAsia" w:eastAsia="黑体"/>
          <w:b w:val="0"/>
          <w:bCs w:val="0"/>
          <w:sz w:val="30"/>
          <w:szCs w:val="30"/>
        </w:rPr>
        <w:t>、主要问题</w:t>
      </w:r>
      <w:bookmarkEnd w:id="22"/>
      <w:bookmarkEnd w:id="23"/>
      <w:bookmarkEnd w:id="24"/>
    </w:p>
    <w:p>
      <w:pPr>
        <w:adjustRightInd w:val="0"/>
        <w:snapToGrid w:val="0"/>
        <w:spacing w:line="360" w:lineRule="auto"/>
        <w:ind w:firstLine="602" w:firstLineChars="200"/>
        <w:outlineLvl w:val="1"/>
        <w:rPr>
          <w:rFonts w:ascii="楷体" w:hAnsi="楷体" w:eastAsia="楷体" w:cs="Arial"/>
          <w:b/>
          <w:kern w:val="0"/>
          <w:sz w:val="30"/>
          <w:szCs w:val="30"/>
        </w:rPr>
      </w:pPr>
      <w:bookmarkStart w:id="25" w:name="_Toc42596188"/>
      <w:bookmarkStart w:id="26" w:name="_Toc32442"/>
      <w:bookmarkStart w:id="27" w:name="_Toc31363"/>
      <w:bookmarkStart w:id="28" w:name="_Toc27916"/>
      <w:bookmarkStart w:id="29" w:name="_Toc8472"/>
      <w:r>
        <w:rPr>
          <w:rFonts w:hint="eastAsia" w:ascii="楷体" w:hAnsi="楷体" w:eastAsia="楷体" w:cs="Arial"/>
          <w:b/>
          <w:kern w:val="0"/>
          <w:sz w:val="30"/>
          <w:szCs w:val="30"/>
          <w:lang w:eastAsia="zh-Hans"/>
        </w:rPr>
        <w:t>（一）</w:t>
      </w:r>
      <w:bookmarkEnd w:id="25"/>
      <w:r>
        <w:rPr>
          <w:rFonts w:hint="eastAsia" w:ascii="楷体" w:hAnsi="楷体" w:eastAsia="楷体" w:cs="Arial"/>
          <w:b/>
          <w:kern w:val="0"/>
          <w:sz w:val="30"/>
          <w:szCs w:val="30"/>
        </w:rPr>
        <w:t>经营目标覆盖不够全面</w:t>
      </w:r>
      <w:bookmarkEnd w:id="26"/>
      <w:bookmarkEnd w:id="27"/>
      <w:bookmarkEnd w:id="28"/>
      <w:bookmarkEnd w:id="29"/>
    </w:p>
    <w:p>
      <w:pPr>
        <w:adjustRightInd w:val="0"/>
        <w:snapToGrid w:val="0"/>
        <w:spacing w:line="360" w:lineRule="auto"/>
        <w:ind w:firstLine="600" w:firstLineChars="200"/>
        <w:rPr>
          <w:rFonts w:hint="eastAsia" w:ascii="楷体" w:hAnsi="楷体" w:eastAsia="楷体" w:cs="Arial"/>
          <w:b/>
          <w:kern w:val="0"/>
          <w:sz w:val="30"/>
          <w:szCs w:val="30"/>
          <w:lang w:eastAsia="zh-Hans"/>
        </w:rPr>
      </w:pPr>
      <w:bookmarkStart w:id="30" w:name="_Toc42596189"/>
      <w:r>
        <w:rPr>
          <w:rFonts w:hint="eastAsia" w:ascii="仿宋" w:hAnsi="仿宋" w:eastAsia="仿宋" w:cs="仿宋"/>
          <w:bCs/>
          <w:caps/>
          <w:sz w:val="30"/>
          <w:szCs w:val="30"/>
        </w:rPr>
        <w:t>城投集团设置了2021年度与2022年度经营业绩考核目标，但经营目标未包含国有资本预算注资目标中“为远景现代能源装备制造项目垫付资金”的相关内容，经营目标覆盖不全面。</w:t>
      </w:r>
      <w:bookmarkEnd w:id="30"/>
    </w:p>
    <w:p>
      <w:pPr>
        <w:adjustRightInd w:val="0"/>
        <w:snapToGrid w:val="0"/>
        <w:spacing w:line="360" w:lineRule="auto"/>
        <w:ind w:firstLine="602" w:firstLineChars="200"/>
        <w:outlineLvl w:val="1"/>
        <w:rPr>
          <w:rFonts w:ascii="楷体" w:hAnsi="楷体" w:eastAsia="楷体" w:cs="Arial"/>
          <w:b/>
          <w:kern w:val="0"/>
          <w:sz w:val="30"/>
          <w:szCs w:val="30"/>
        </w:rPr>
      </w:pPr>
      <w:bookmarkStart w:id="31" w:name="_Toc28314"/>
      <w:bookmarkStart w:id="32" w:name="_Toc30390"/>
      <w:bookmarkStart w:id="33" w:name="_Toc11587"/>
      <w:bookmarkStart w:id="34" w:name="_Toc30879"/>
      <w:r>
        <w:rPr>
          <w:rFonts w:hint="eastAsia" w:ascii="楷体" w:hAnsi="楷体" w:eastAsia="楷体" w:cs="Arial"/>
          <w:b/>
          <w:kern w:val="0"/>
          <w:sz w:val="30"/>
          <w:szCs w:val="30"/>
          <w:lang w:eastAsia="zh-Hans"/>
        </w:rPr>
        <w:t>（</w:t>
      </w:r>
      <w:r>
        <w:rPr>
          <w:rFonts w:hint="eastAsia" w:ascii="楷体" w:hAnsi="楷体" w:eastAsia="楷体" w:cs="Arial"/>
          <w:b/>
          <w:kern w:val="0"/>
          <w:sz w:val="30"/>
          <w:szCs w:val="30"/>
        </w:rPr>
        <w:t>二</w:t>
      </w:r>
      <w:r>
        <w:rPr>
          <w:rFonts w:hint="eastAsia" w:ascii="楷体" w:hAnsi="楷体" w:eastAsia="楷体" w:cs="Arial"/>
          <w:b/>
          <w:kern w:val="0"/>
          <w:sz w:val="30"/>
          <w:szCs w:val="30"/>
          <w:lang w:eastAsia="zh-Hans"/>
        </w:rPr>
        <w:t>）</w:t>
      </w:r>
      <w:bookmarkEnd w:id="31"/>
      <w:bookmarkEnd w:id="32"/>
      <w:r>
        <w:rPr>
          <w:rFonts w:hint="eastAsia" w:ascii="楷体" w:hAnsi="楷体" w:eastAsia="楷体" w:cs="Arial"/>
          <w:b/>
          <w:kern w:val="0"/>
          <w:sz w:val="30"/>
          <w:szCs w:val="30"/>
        </w:rPr>
        <w:t>部分工程未收到验收相关资料</w:t>
      </w:r>
      <w:bookmarkEnd w:id="33"/>
      <w:bookmarkEnd w:id="34"/>
    </w:p>
    <w:p>
      <w:pPr>
        <w:adjustRightInd w:val="0"/>
        <w:snapToGrid w:val="0"/>
        <w:spacing w:line="360" w:lineRule="auto"/>
        <w:ind w:firstLine="600" w:firstLineChars="200"/>
        <w:rPr>
          <w:rFonts w:hint="eastAsia" w:ascii="仿宋" w:hAnsi="仿宋" w:eastAsia="仿宋" w:cs="仿宋"/>
          <w:bCs/>
          <w:caps/>
          <w:sz w:val="30"/>
          <w:szCs w:val="30"/>
        </w:rPr>
      </w:pPr>
      <w:bookmarkStart w:id="35" w:name="_Toc13577"/>
      <w:bookmarkStart w:id="36" w:name="_Toc29112"/>
      <w:bookmarkStart w:id="37" w:name="_Toc23871"/>
      <w:r>
        <w:rPr>
          <w:rFonts w:hint="eastAsia" w:ascii="仿宋" w:hAnsi="仿宋" w:eastAsia="仿宋" w:cs="仿宋"/>
          <w:bCs/>
          <w:caps/>
          <w:sz w:val="30"/>
          <w:szCs w:val="30"/>
        </w:rPr>
        <w:t>通过查看各项工程相关资料，乌兰木伦铁东住宅小区工程与北区二期横六路工程均通过了可行性研究报告的批复且具备验收相关资料，但截至评价日，评价组只收到乌兰活佛府邸工程（即民族文化博览园、民族宗教文化展示中心与佛教珍品</w:t>
      </w:r>
      <w:r>
        <w:rPr>
          <w:rFonts w:hint="eastAsia" w:ascii="仿宋" w:hAnsi="仿宋" w:eastAsia="仿宋" w:cs="仿宋"/>
          <w:bCs/>
          <w:caps/>
          <w:sz w:val="30"/>
          <w:szCs w:val="30"/>
          <w:lang w:eastAsia="zh-CN"/>
        </w:rPr>
        <w:t>展览</w:t>
      </w:r>
      <w:r>
        <w:rPr>
          <w:rFonts w:hint="eastAsia" w:ascii="仿宋" w:hAnsi="仿宋" w:eastAsia="仿宋" w:cs="仿宋"/>
          <w:bCs/>
          <w:caps/>
          <w:sz w:val="30"/>
          <w:szCs w:val="30"/>
        </w:rPr>
        <w:t>馆工程）可行性研究报告的批复，未收到相关验收资料，项目资料完整性有待加强。</w:t>
      </w:r>
      <w:bookmarkEnd w:id="35"/>
    </w:p>
    <w:p>
      <w:pPr>
        <w:adjustRightInd w:val="0"/>
        <w:snapToGrid w:val="0"/>
        <w:spacing w:line="360" w:lineRule="auto"/>
        <w:ind w:firstLine="602" w:firstLineChars="200"/>
        <w:outlineLvl w:val="1"/>
        <w:rPr>
          <w:rFonts w:hint="eastAsia" w:ascii="楷体" w:hAnsi="楷体" w:eastAsia="楷体" w:cs="Arial"/>
          <w:b/>
          <w:kern w:val="0"/>
          <w:sz w:val="30"/>
          <w:szCs w:val="30"/>
        </w:rPr>
      </w:pPr>
      <w:bookmarkStart w:id="38" w:name="_Toc609"/>
      <w:bookmarkStart w:id="39" w:name="_Toc17065"/>
      <w:r>
        <w:rPr>
          <w:rFonts w:hint="eastAsia" w:ascii="楷体" w:hAnsi="楷体" w:eastAsia="楷体" w:cs="Arial"/>
          <w:b/>
          <w:kern w:val="0"/>
          <w:sz w:val="30"/>
          <w:szCs w:val="30"/>
          <w:lang w:eastAsia="zh-Hans"/>
        </w:rPr>
        <w:t>（</w:t>
      </w:r>
      <w:r>
        <w:rPr>
          <w:rFonts w:hint="eastAsia" w:ascii="楷体" w:hAnsi="楷体" w:eastAsia="楷体" w:cs="Arial"/>
          <w:b/>
          <w:kern w:val="0"/>
          <w:sz w:val="30"/>
          <w:szCs w:val="30"/>
        </w:rPr>
        <w:t>三</w:t>
      </w:r>
      <w:r>
        <w:rPr>
          <w:rFonts w:hint="eastAsia" w:ascii="楷体" w:hAnsi="楷体" w:eastAsia="楷体" w:cs="Arial"/>
          <w:b/>
          <w:kern w:val="0"/>
          <w:sz w:val="30"/>
          <w:szCs w:val="30"/>
          <w:lang w:eastAsia="zh-Hans"/>
        </w:rPr>
        <w:t>）</w:t>
      </w:r>
      <w:r>
        <w:rPr>
          <w:rFonts w:hint="eastAsia" w:ascii="楷体" w:hAnsi="楷体" w:eastAsia="楷体" w:cs="Arial"/>
          <w:b/>
          <w:kern w:val="0"/>
          <w:sz w:val="30"/>
          <w:szCs w:val="30"/>
        </w:rPr>
        <w:t>经营业绩有待提高</w:t>
      </w:r>
      <w:bookmarkEnd w:id="36"/>
      <w:bookmarkEnd w:id="37"/>
      <w:bookmarkEnd w:id="38"/>
      <w:bookmarkEnd w:id="39"/>
    </w:p>
    <w:p>
      <w:pPr>
        <w:adjustRightInd w:val="0"/>
        <w:snapToGrid w:val="0"/>
        <w:spacing w:line="360" w:lineRule="auto"/>
        <w:ind w:firstLine="600" w:firstLineChars="200"/>
        <w:rPr>
          <w:rFonts w:ascii="仿宋" w:hAnsi="仿宋" w:eastAsia="仿宋" w:cs="仿宋"/>
          <w:bCs/>
          <w:caps/>
          <w:sz w:val="30"/>
          <w:szCs w:val="30"/>
        </w:rPr>
      </w:pPr>
      <w:r>
        <w:rPr>
          <w:rFonts w:hint="eastAsia" w:ascii="仿宋" w:hAnsi="仿宋" w:eastAsia="仿宋" w:cs="仿宋"/>
          <w:bCs/>
          <w:caps/>
          <w:sz w:val="30"/>
          <w:szCs w:val="30"/>
        </w:rPr>
        <w:t>通过查阅城投集团2021年度、2022年度合并财务报表审计报告，并将集团经营业绩与《企业绩效评价标准值2021》《企业绩效评价标准值2022》对比，2021年度、2022年度集团营业利润率实际值分别为0.</w:t>
      </w:r>
      <w:r>
        <w:rPr>
          <w:rFonts w:hint="eastAsia" w:ascii="仿宋" w:hAnsi="仿宋" w:eastAsia="仿宋" w:cs="仿宋"/>
          <w:bCs/>
          <w:caps/>
          <w:sz w:val="30"/>
          <w:szCs w:val="30"/>
          <w:lang w:val="en-US" w:eastAsia="zh-CN"/>
        </w:rPr>
        <w:t>69</w:t>
      </w:r>
      <w:r>
        <w:rPr>
          <w:rFonts w:hint="eastAsia" w:ascii="仿宋" w:hAnsi="仿宋" w:eastAsia="仿宋" w:cs="仿宋"/>
          <w:bCs/>
          <w:caps/>
          <w:sz w:val="30"/>
          <w:szCs w:val="30"/>
        </w:rPr>
        <w:t>%、</w:t>
      </w:r>
      <w:r>
        <w:rPr>
          <w:rFonts w:hint="eastAsia" w:ascii="仿宋" w:hAnsi="仿宋" w:eastAsia="仿宋" w:cs="仿宋"/>
          <w:bCs/>
          <w:caps/>
          <w:sz w:val="30"/>
          <w:szCs w:val="30"/>
          <w:lang w:val="en-US" w:eastAsia="zh-CN"/>
        </w:rPr>
        <w:t>3</w:t>
      </w:r>
      <w:r>
        <w:rPr>
          <w:rFonts w:hint="eastAsia" w:ascii="仿宋" w:hAnsi="仿宋" w:eastAsia="仿宋" w:cs="仿宋"/>
          <w:bCs/>
          <w:caps/>
          <w:sz w:val="30"/>
          <w:szCs w:val="30"/>
        </w:rPr>
        <w:t>.</w:t>
      </w:r>
      <w:r>
        <w:rPr>
          <w:rFonts w:hint="eastAsia" w:ascii="仿宋" w:hAnsi="仿宋" w:eastAsia="仿宋" w:cs="仿宋"/>
          <w:bCs/>
          <w:caps/>
          <w:sz w:val="30"/>
          <w:szCs w:val="30"/>
          <w:lang w:val="en-US" w:eastAsia="zh-CN"/>
        </w:rPr>
        <w:t>56</w:t>
      </w:r>
      <w:r>
        <w:rPr>
          <w:rFonts w:hint="eastAsia" w:ascii="仿宋" w:hAnsi="仿宋" w:eastAsia="仿宋" w:cs="仿宋"/>
          <w:bCs/>
          <w:caps/>
          <w:sz w:val="30"/>
          <w:szCs w:val="30"/>
        </w:rPr>
        <w:t>%，分别低于行业平均值6.60%、6.20%，主要是</w:t>
      </w:r>
      <w:r>
        <w:rPr>
          <w:rFonts w:hint="eastAsia" w:ascii="仿宋" w:hAnsi="仿宋" w:eastAsia="仿宋" w:cs="仿宋"/>
          <w:bCs/>
          <w:caps/>
          <w:sz w:val="30"/>
          <w:szCs w:val="30"/>
          <w:lang w:val="en-US" w:eastAsia="zh-CN"/>
        </w:rPr>
        <w:t>由于工程施工服务等</w:t>
      </w:r>
      <w:r>
        <w:rPr>
          <w:rFonts w:hint="eastAsia" w:ascii="仿宋" w:hAnsi="仿宋" w:eastAsia="仿宋" w:cs="仿宋"/>
          <w:bCs/>
          <w:caps/>
          <w:sz w:val="30"/>
          <w:szCs w:val="30"/>
        </w:rPr>
        <w:t>成本费用</w:t>
      </w:r>
      <w:r>
        <w:rPr>
          <w:rFonts w:hint="eastAsia" w:ascii="仿宋" w:hAnsi="仿宋" w:eastAsia="仿宋" w:cs="仿宋"/>
          <w:bCs/>
          <w:caps/>
          <w:sz w:val="30"/>
          <w:szCs w:val="30"/>
          <w:lang w:val="en-US" w:eastAsia="zh-CN"/>
        </w:rPr>
        <w:t>较高</w:t>
      </w:r>
      <w:r>
        <w:rPr>
          <w:rFonts w:hint="eastAsia" w:ascii="仿宋" w:hAnsi="仿宋" w:eastAsia="仿宋" w:cs="仿宋"/>
          <w:bCs/>
          <w:caps/>
          <w:sz w:val="30"/>
          <w:szCs w:val="30"/>
        </w:rPr>
        <w:t>；资产负债率实际值分别为75.89%、76.90%，分别高于行业较低值73.60%、73.20%，存在一定债务风险，集团负债大部分为旗债务管理中心往来等其他应付款及房地产相关预收款项。综上，集团经营业绩有待提高。</w:t>
      </w:r>
    </w:p>
    <w:p>
      <w:pPr>
        <w:pStyle w:val="3"/>
        <w:adjustRightInd w:val="0"/>
        <w:snapToGrid w:val="0"/>
        <w:spacing w:before="0" w:after="0" w:line="360" w:lineRule="auto"/>
        <w:ind w:firstLine="600" w:firstLineChars="200"/>
        <w:rPr>
          <w:rFonts w:hint="eastAsia" w:eastAsia="黑体"/>
          <w:b w:val="0"/>
          <w:bCs w:val="0"/>
          <w:sz w:val="30"/>
          <w:szCs w:val="30"/>
        </w:rPr>
      </w:pPr>
      <w:bookmarkStart w:id="40" w:name="_Toc42596191"/>
      <w:bookmarkStart w:id="41" w:name="_Toc23175"/>
      <w:bookmarkStart w:id="42" w:name="_Toc27677"/>
      <w:r>
        <w:rPr>
          <w:rFonts w:hint="eastAsia" w:eastAsia="黑体"/>
          <w:b w:val="0"/>
          <w:bCs w:val="0"/>
          <w:sz w:val="30"/>
          <w:szCs w:val="30"/>
          <w:lang w:eastAsia="zh-CN"/>
        </w:rPr>
        <w:t>四</w:t>
      </w:r>
      <w:r>
        <w:rPr>
          <w:rFonts w:hint="eastAsia" w:eastAsia="黑体"/>
          <w:b w:val="0"/>
          <w:bCs w:val="0"/>
          <w:sz w:val="30"/>
          <w:szCs w:val="30"/>
        </w:rPr>
        <w:t>、有关建议</w:t>
      </w:r>
      <w:bookmarkEnd w:id="40"/>
      <w:bookmarkEnd w:id="41"/>
      <w:bookmarkEnd w:id="42"/>
    </w:p>
    <w:p>
      <w:pPr>
        <w:adjustRightInd w:val="0"/>
        <w:snapToGrid w:val="0"/>
        <w:spacing w:line="360" w:lineRule="auto"/>
        <w:ind w:firstLine="602" w:firstLineChars="200"/>
        <w:outlineLvl w:val="1"/>
        <w:rPr>
          <w:rFonts w:ascii="楷体" w:hAnsi="楷体" w:eastAsia="楷体" w:cs="Arial"/>
          <w:b/>
          <w:kern w:val="0"/>
          <w:sz w:val="30"/>
          <w:szCs w:val="30"/>
          <w:lang w:eastAsia="zh-Hans"/>
        </w:rPr>
      </w:pPr>
      <w:bookmarkStart w:id="43" w:name="_Toc21284"/>
      <w:bookmarkStart w:id="44" w:name="_Toc21859"/>
      <w:bookmarkStart w:id="45" w:name="_Toc25936"/>
      <w:bookmarkStart w:id="46" w:name="_Toc16002"/>
      <w:bookmarkStart w:id="47" w:name="_Toc29218"/>
      <w:bookmarkStart w:id="48" w:name="_Toc359523377"/>
      <w:r>
        <w:rPr>
          <w:rFonts w:hint="eastAsia" w:ascii="楷体" w:hAnsi="楷体" w:eastAsia="楷体" w:cs="Arial"/>
          <w:b/>
          <w:kern w:val="0"/>
          <w:sz w:val="30"/>
          <w:szCs w:val="30"/>
          <w:lang w:eastAsia="zh-Hans"/>
        </w:rPr>
        <w:t>（</w:t>
      </w:r>
      <w:r>
        <w:rPr>
          <w:rFonts w:hint="eastAsia" w:ascii="楷体" w:hAnsi="楷体" w:eastAsia="楷体" w:cs="Arial"/>
          <w:b/>
          <w:kern w:val="0"/>
          <w:sz w:val="30"/>
          <w:szCs w:val="30"/>
        </w:rPr>
        <w:t>一</w:t>
      </w:r>
      <w:r>
        <w:rPr>
          <w:rFonts w:hint="eastAsia" w:ascii="楷体" w:hAnsi="楷体" w:eastAsia="楷体" w:cs="Arial"/>
          <w:b/>
          <w:kern w:val="0"/>
          <w:sz w:val="30"/>
          <w:szCs w:val="30"/>
          <w:lang w:eastAsia="zh-Hans"/>
        </w:rPr>
        <w:t>）</w:t>
      </w:r>
      <w:r>
        <w:rPr>
          <w:rFonts w:hint="eastAsia" w:ascii="楷体" w:hAnsi="楷体" w:eastAsia="楷体" w:cs="Arial"/>
          <w:b/>
          <w:kern w:val="0"/>
          <w:sz w:val="30"/>
          <w:szCs w:val="30"/>
        </w:rPr>
        <w:t>提高经营目标完整性，</w:t>
      </w:r>
      <w:bookmarkEnd w:id="43"/>
      <w:bookmarkEnd w:id="44"/>
      <w:bookmarkEnd w:id="45"/>
      <w:r>
        <w:rPr>
          <w:rFonts w:hint="eastAsia" w:ascii="楷体" w:hAnsi="楷体" w:eastAsia="楷体" w:cs="Arial"/>
          <w:b/>
          <w:kern w:val="0"/>
          <w:sz w:val="30"/>
          <w:szCs w:val="30"/>
        </w:rPr>
        <w:t>完善项目绩效体系</w:t>
      </w:r>
      <w:bookmarkEnd w:id="46"/>
    </w:p>
    <w:p>
      <w:pPr>
        <w:adjustRightInd w:val="0"/>
        <w:snapToGrid w:val="0"/>
        <w:spacing w:line="360" w:lineRule="auto"/>
        <w:ind w:firstLine="600" w:firstLineChars="200"/>
        <w:rPr>
          <w:rFonts w:hint="eastAsia" w:ascii="仿宋" w:hAnsi="仿宋" w:eastAsia="仿宋" w:cs="仿宋"/>
          <w:bCs/>
          <w:caps/>
          <w:sz w:val="30"/>
          <w:szCs w:val="30"/>
        </w:rPr>
      </w:pPr>
      <w:bookmarkStart w:id="49" w:name="_Toc12545"/>
      <w:r>
        <w:rPr>
          <w:rFonts w:hint="eastAsia" w:ascii="仿宋" w:hAnsi="仿宋" w:eastAsia="仿宋" w:cs="仿宋"/>
          <w:b w:val="0"/>
          <w:bCs/>
          <w:caps/>
          <w:sz w:val="30"/>
          <w:szCs w:val="30"/>
        </w:rPr>
        <w:t>一是</w:t>
      </w:r>
      <w:r>
        <w:rPr>
          <w:rFonts w:hint="eastAsia" w:ascii="仿宋" w:hAnsi="仿宋" w:eastAsia="仿宋" w:cs="仿宋"/>
          <w:b w:val="0"/>
          <w:bCs/>
          <w:caps/>
          <w:sz w:val="30"/>
          <w:szCs w:val="30"/>
        </w:rPr>
        <w:t>编制经营目标时，将资金投入高、规模大的项目纳入到指标里，确保经营目标全面性，充分反映项目绩效。二是</w:t>
      </w:r>
      <w:bookmarkEnd w:id="49"/>
      <w:r>
        <w:rPr>
          <w:rFonts w:hint="eastAsia" w:ascii="仿宋" w:hAnsi="仿宋" w:eastAsia="仿宋" w:cs="仿宋"/>
          <w:b w:val="0"/>
          <w:bCs/>
          <w:caps/>
          <w:sz w:val="30"/>
          <w:szCs w:val="30"/>
        </w:rPr>
        <w:t>建</w:t>
      </w:r>
      <w:r>
        <w:rPr>
          <w:rFonts w:hint="eastAsia" w:ascii="仿宋" w:hAnsi="仿宋" w:eastAsia="仿宋" w:cs="仿宋"/>
          <w:bCs/>
          <w:caps/>
          <w:sz w:val="30"/>
          <w:szCs w:val="30"/>
        </w:rPr>
        <w:t>议集团开展预算绩效管理相关培训工作，科学设定项目管理绩效目标和指标，明确绩效指标的应用标准，完善项目绩效体系，强化绩效和预算约束，提高项目管理水平，节约财政资金，增强财政资金的使用效益。</w:t>
      </w:r>
    </w:p>
    <w:p>
      <w:pPr>
        <w:adjustRightInd w:val="0"/>
        <w:snapToGrid w:val="0"/>
        <w:spacing w:line="360" w:lineRule="auto"/>
        <w:ind w:firstLine="602" w:firstLineChars="200"/>
        <w:outlineLvl w:val="1"/>
        <w:rPr>
          <w:rFonts w:ascii="楷体" w:hAnsi="楷体" w:eastAsia="楷体" w:cs="Arial"/>
          <w:b/>
          <w:kern w:val="0"/>
          <w:sz w:val="30"/>
          <w:szCs w:val="30"/>
        </w:rPr>
      </w:pPr>
      <w:bookmarkStart w:id="50" w:name="_Toc5819"/>
      <w:bookmarkStart w:id="51" w:name="_Toc7478"/>
      <w:bookmarkStart w:id="52" w:name="_Toc22545"/>
      <w:bookmarkStart w:id="53" w:name="_Toc10041"/>
      <w:r>
        <w:rPr>
          <w:rFonts w:hint="eastAsia" w:ascii="楷体" w:hAnsi="楷体" w:eastAsia="楷体" w:cs="Arial"/>
          <w:b/>
          <w:kern w:val="0"/>
          <w:sz w:val="30"/>
          <w:szCs w:val="30"/>
          <w:lang w:eastAsia="zh-Hans"/>
        </w:rPr>
        <w:t>（二）</w:t>
      </w:r>
      <w:bookmarkEnd w:id="47"/>
      <w:bookmarkEnd w:id="48"/>
      <w:bookmarkEnd w:id="50"/>
      <w:bookmarkEnd w:id="51"/>
      <w:r>
        <w:rPr>
          <w:rFonts w:hint="eastAsia" w:ascii="楷体" w:hAnsi="楷体" w:eastAsia="楷体" w:cs="Arial"/>
          <w:b/>
          <w:kern w:val="0"/>
          <w:sz w:val="30"/>
          <w:szCs w:val="30"/>
        </w:rPr>
        <w:t>提高项目资料管理水平</w:t>
      </w:r>
      <w:bookmarkEnd w:id="52"/>
      <w:bookmarkEnd w:id="53"/>
    </w:p>
    <w:p>
      <w:pPr>
        <w:adjustRightInd w:val="0"/>
        <w:snapToGrid w:val="0"/>
        <w:spacing w:line="360" w:lineRule="auto"/>
        <w:ind w:firstLine="600" w:firstLineChars="200"/>
        <w:rPr>
          <w:rFonts w:hint="eastAsia" w:ascii="仿宋" w:hAnsi="仿宋" w:eastAsia="仿宋" w:cs="仿宋"/>
          <w:bCs/>
          <w:caps/>
          <w:sz w:val="30"/>
          <w:szCs w:val="30"/>
        </w:rPr>
      </w:pPr>
      <w:bookmarkStart w:id="54" w:name="_Toc9230"/>
      <w:bookmarkStart w:id="55" w:name="_Toc1637898228"/>
      <w:bookmarkStart w:id="56" w:name="_Toc10999"/>
      <w:bookmarkStart w:id="57" w:name="_Toc32538"/>
      <w:r>
        <w:rPr>
          <w:rFonts w:hint="eastAsia" w:ascii="仿宋" w:hAnsi="仿宋" w:eastAsia="仿宋" w:cs="仿宋"/>
          <w:bCs/>
          <w:caps/>
          <w:sz w:val="30"/>
          <w:szCs w:val="30"/>
        </w:rPr>
        <w:t>建议城投集团加强对项目资料的管理，注重项目过程及成果信息的收集与归档，强化工作人员的资料归档与留存意识，确保关键节点和衡量标准的准确提取，并收集相关资料、数据和信息，以充分反映和体现项目的效益效果。同时，建立规范的资料管理流程和标准，确保项目资料的及时整理、归档和保管，提高资料管理的水平和效率。</w:t>
      </w:r>
    </w:p>
    <w:p>
      <w:pPr>
        <w:adjustRightInd w:val="0"/>
        <w:snapToGrid w:val="0"/>
        <w:spacing w:line="360" w:lineRule="auto"/>
        <w:ind w:firstLine="602" w:firstLineChars="200"/>
        <w:outlineLvl w:val="1"/>
        <w:rPr>
          <w:rFonts w:ascii="楷体" w:hAnsi="楷体" w:eastAsia="楷体" w:cs="楷体"/>
          <w:b/>
          <w:caps/>
          <w:sz w:val="30"/>
          <w:szCs w:val="30"/>
        </w:rPr>
      </w:pPr>
      <w:bookmarkStart w:id="58" w:name="_Toc24911"/>
      <w:bookmarkStart w:id="59" w:name="_Toc11980"/>
      <w:r>
        <w:rPr>
          <w:rFonts w:hint="eastAsia" w:ascii="楷体" w:hAnsi="楷体" w:eastAsia="楷体" w:cs="Arial"/>
          <w:b/>
          <w:kern w:val="0"/>
          <w:sz w:val="30"/>
          <w:szCs w:val="30"/>
          <w:lang w:eastAsia="zh-Hans"/>
        </w:rPr>
        <w:t>（</w:t>
      </w:r>
      <w:r>
        <w:rPr>
          <w:rFonts w:hint="eastAsia" w:ascii="楷体" w:hAnsi="楷体" w:eastAsia="楷体" w:cs="Arial"/>
          <w:b/>
          <w:kern w:val="0"/>
          <w:sz w:val="30"/>
          <w:szCs w:val="30"/>
        </w:rPr>
        <w:t>三</w:t>
      </w:r>
      <w:r>
        <w:rPr>
          <w:rFonts w:hint="eastAsia" w:ascii="楷体" w:hAnsi="楷体" w:eastAsia="楷体" w:cs="Arial"/>
          <w:b/>
          <w:kern w:val="0"/>
          <w:sz w:val="30"/>
          <w:szCs w:val="30"/>
          <w:lang w:eastAsia="zh-Hans"/>
        </w:rPr>
        <w:t>）</w:t>
      </w:r>
      <w:bookmarkEnd w:id="54"/>
      <w:bookmarkEnd w:id="55"/>
      <w:r>
        <w:rPr>
          <w:rFonts w:hint="eastAsia" w:ascii="楷体" w:hAnsi="楷体" w:eastAsia="楷体" w:cs="Arial"/>
          <w:b/>
          <w:kern w:val="0"/>
          <w:sz w:val="30"/>
          <w:szCs w:val="30"/>
        </w:rPr>
        <w:t>提高营业利润率，</w:t>
      </w:r>
      <w:bookmarkEnd w:id="56"/>
      <w:bookmarkEnd w:id="57"/>
      <w:r>
        <w:rPr>
          <w:rFonts w:hint="eastAsia" w:ascii="楷体" w:hAnsi="楷体" w:eastAsia="楷体" w:cs="Arial"/>
          <w:b/>
          <w:kern w:val="0"/>
          <w:sz w:val="30"/>
          <w:szCs w:val="30"/>
        </w:rPr>
        <w:t>降低资产负债率</w:t>
      </w:r>
      <w:bookmarkEnd w:id="58"/>
      <w:bookmarkEnd w:id="59"/>
    </w:p>
    <w:p>
      <w:pPr>
        <w:pStyle w:val="7"/>
        <w:adjustRightInd w:val="0"/>
        <w:snapToGrid w:val="0"/>
        <w:spacing w:line="360" w:lineRule="auto"/>
        <w:ind w:firstLine="600"/>
      </w:pPr>
      <w:r>
        <w:rPr>
          <w:rFonts w:hint="eastAsia" w:ascii="仿宋" w:hAnsi="仿宋" w:eastAsia="仿宋" w:cs="仿宋"/>
          <w:bCs/>
          <w:caps/>
          <w:szCs w:val="30"/>
          <w:lang w:eastAsia="zh-Hans"/>
        </w:rPr>
        <w:t>建议城投集团</w:t>
      </w:r>
      <w:r>
        <w:rPr>
          <w:rFonts w:hint="eastAsia" w:ascii="仿宋" w:hAnsi="仿宋" w:eastAsia="仿宋" w:cs="仿宋"/>
          <w:bCs/>
          <w:caps/>
          <w:szCs w:val="30"/>
        </w:rPr>
        <w:t>做好</w:t>
      </w:r>
      <w:r>
        <w:rPr>
          <w:rFonts w:hint="eastAsia" w:ascii="仿宋" w:hAnsi="仿宋" w:eastAsia="仿宋" w:cs="仿宋"/>
          <w:bCs/>
          <w:caps/>
          <w:szCs w:val="30"/>
          <w:lang w:eastAsia="zh-Hans"/>
        </w:rPr>
        <w:t>全面预算管理</w:t>
      </w:r>
      <w:r>
        <w:rPr>
          <w:rFonts w:hint="eastAsia" w:ascii="仿宋" w:hAnsi="仿宋" w:eastAsia="仿宋" w:cs="仿宋"/>
          <w:bCs/>
          <w:caps/>
          <w:szCs w:val="30"/>
        </w:rPr>
        <w:t>工作，</w:t>
      </w:r>
      <w:r>
        <w:rPr>
          <w:rFonts w:hint="eastAsia" w:ascii="仿宋" w:hAnsi="仿宋" w:eastAsia="仿宋" w:cs="仿宋"/>
          <w:bCs/>
          <w:caps/>
          <w:szCs w:val="30"/>
          <w:lang w:eastAsia="zh-Hans"/>
        </w:rPr>
        <w:t>加强对成本</w:t>
      </w:r>
      <w:r>
        <w:rPr>
          <w:rFonts w:hint="eastAsia" w:ascii="仿宋" w:hAnsi="仿宋" w:eastAsia="仿宋" w:cs="仿宋"/>
          <w:bCs/>
          <w:caps/>
          <w:szCs w:val="30"/>
          <w:lang w:val="en-US" w:eastAsia="zh-CN"/>
        </w:rPr>
        <w:t>费用</w:t>
      </w:r>
      <w:r>
        <w:rPr>
          <w:rFonts w:hint="eastAsia" w:ascii="仿宋" w:hAnsi="仿宋" w:eastAsia="仿宋" w:cs="仿宋"/>
          <w:bCs/>
          <w:caps/>
          <w:szCs w:val="30"/>
          <w:lang w:eastAsia="zh-Hans"/>
        </w:rPr>
        <w:t>的管理和控制</w:t>
      </w:r>
      <w:r>
        <w:rPr>
          <w:rFonts w:hint="eastAsia" w:ascii="仿宋" w:hAnsi="仿宋" w:eastAsia="仿宋" w:cs="仿宋"/>
          <w:bCs/>
          <w:caps/>
          <w:szCs w:val="30"/>
        </w:rPr>
        <w:t>，</w:t>
      </w:r>
      <w:r>
        <w:rPr>
          <w:rFonts w:hint="eastAsia" w:ascii="仿宋" w:hAnsi="仿宋" w:eastAsia="仿宋" w:cs="仿宋"/>
          <w:bCs/>
          <w:caps/>
          <w:szCs w:val="30"/>
          <w:lang w:eastAsia="zh-Hans"/>
        </w:rPr>
        <w:t>优化资源</w:t>
      </w:r>
      <w:r>
        <w:rPr>
          <w:rFonts w:hint="eastAsia" w:ascii="仿宋" w:hAnsi="仿宋" w:eastAsia="仿宋" w:cs="仿宋"/>
          <w:bCs/>
          <w:caps/>
          <w:szCs w:val="30"/>
          <w:lang w:val="en-US" w:eastAsia="zh-CN"/>
        </w:rPr>
        <w:t>的分配与</w:t>
      </w:r>
      <w:r>
        <w:rPr>
          <w:rFonts w:hint="eastAsia" w:ascii="仿宋" w:hAnsi="仿宋" w:eastAsia="仿宋" w:cs="仿宋"/>
          <w:bCs/>
          <w:caps/>
          <w:szCs w:val="30"/>
          <w:lang w:eastAsia="zh-Hans"/>
        </w:rPr>
        <w:t>利用，合理调度资金，从而</w:t>
      </w:r>
      <w:r>
        <w:rPr>
          <w:rFonts w:hint="eastAsia" w:ascii="仿宋" w:hAnsi="仿宋" w:eastAsia="仿宋" w:cs="仿宋"/>
          <w:bCs/>
          <w:caps/>
          <w:szCs w:val="30"/>
          <w:lang w:val="en-US" w:eastAsia="zh-CN"/>
        </w:rPr>
        <w:t>尽可能</w:t>
      </w:r>
      <w:r>
        <w:rPr>
          <w:rFonts w:hint="eastAsia" w:ascii="仿宋" w:hAnsi="仿宋" w:eastAsia="仿宋" w:cs="仿宋"/>
          <w:bCs/>
          <w:caps/>
          <w:szCs w:val="30"/>
          <w:lang w:eastAsia="zh-Hans"/>
        </w:rPr>
        <w:t>减少额外的</w:t>
      </w:r>
      <w:r>
        <w:rPr>
          <w:rFonts w:hint="eastAsia" w:ascii="仿宋" w:hAnsi="仿宋" w:eastAsia="仿宋" w:cs="仿宋"/>
          <w:bCs/>
          <w:caps/>
          <w:szCs w:val="30"/>
          <w:lang w:val="en-US" w:eastAsia="zh-CN"/>
        </w:rPr>
        <w:t>营业</w:t>
      </w:r>
      <w:r>
        <w:rPr>
          <w:rFonts w:hint="eastAsia" w:ascii="仿宋" w:hAnsi="仿宋" w:eastAsia="仿宋" w:cs="仿宋"/>
          <w:bCs/>
          <w:caps/>
          <w:szCs w:val="30"/>
          <w:lang w:eastAsia="zh-Hans"/>
        </w:rPr>
        <w:t>成本</w:t>
      </w:r>
      <w:r>
        <w:rPr>
          <w:rFonts w:hint="eastAsia" w:ascii="仿宋" w:hAnsi="仿宋" w:eastAsia="仿宋" w:cs="仿宋"/>
          <w:bCs/>
          <w:caps/>
          <w:szCs w:val="30"/>
          <w:lang w:eastAsia="zh-CN"/>
        </w:rPr>
        <w:t>。</w:t>
      </w:r>
      <w:r>
        <w:rPr>
          <w:rFonts w:hint="eastAsia" w:ascii="仿宋" w:hAnsi="仿宋" w:eastAsia="仿宋" w:cs="仿宋"/>
          <w:bCs/>
          <w:caps/>
          <w:szCs w:val="30"/>
          <w:lang w:eastAsia="zh-Hans"/>
        </w:rPr>
        <w:t>同时，</w:t>
      </w:r>
      <w:r>
        <w:rPr>
          <w:rFonts w:hint="eastAsia" w:ascii="仿宋" w:hAnsi="仿宋" w:eastAsia="仿宋" w:cs="仿宋"/>
          <w:bCs/>
          <w:caps/>
          <w:szCs w:val="30"/>
          <w:lang w:val="en-US" w:eastAsia="zh-CN"/>
        </w:rPr>
        <w:t>可以</w:t>
      </w:r>
      <w:r>
        <w:rPr>
          <w:rFonts w:hint="eastAsia" w:ascii="仿宋" w:hAnsi="仿宋" w:eastAsia="仿宋" w:cs="仿宋"/>
          <w:bCs/>
          <w:caps/>
          <w:szCs w:val="30"/>
        </w:rPr>
        <w:t>通过</w:t>
      </w:r>
      <w:r>
        <w:rPr>
          <w:rFonts w:hint="eastAsia" w:ascii="仿宋" w:hAnsi="仿宋" w:eastAsia="仿宋" w:cs="仿宋"/>
          <w:bCs/>
          <w:caps/>
          <w:szCs w:val="30"/>
          <w:lang w:eastAsia="zh-Hans"/>
        </w:rPr>
        <w:t>延伸产业布局、</w:t>
      </w:r>
      <w:r>
        <w:rPr>
          <w:rFonts w:hint="eastAsia" w:ascii="仿宋" w:hAnsi="仿宋" w:eastAsia="仿宋" w:cs="仿宋"/>
          <w:bCs/>
          <w:caps/>
          <w:szCs w:val="30"/>
          <w:lang w:val="en-US" w:eastAsia="zh-CN"/>
        </w:rPr>
        <w:t>持续</w:t>
      </w:r>
      <w:r>
        <w:rPr>
          <w:rFonts w:hint="eastAsia" w:ascii="仿宋" w:hAnsi="仿宋" w:eastAsia="仿宋" w:cs="仿宋"/>
          <w:bCs/>
          <w:caps/>
          <w:szCs w:val="30"/>
          <w:lang w:eastAsia="zh-Hans"/>
        </w:rPr>
        <w:t>提升经营质量及加强人才培养等措施，</w:t>
      </w:r>
      <w:r>
        <w:rPr>
          <w:rFonts w:hint="eastAsia" w:ascii="仿宋" w:hAnsi="仿宋" w:eastAsia="仿宋" w:cs="仿宋"/>
          <w:bCs/>
          <w:caps/>
          <w:szCs w:val="30"/>
          <w:lang w:val="en-US" w:eastAsia="zh-CN"/>
        </w:rPr>
        <w:t>进一步</w:t>
      </w:r>
      <w:r>
        <w:rPr>
          <w:rFonts w:hint="eastAsia" w:ascii="仿宋" w:hAnsi="仿宋" w:eastAsia="仿宋" w:cs="仿宋"/>
          <w:bCs/>
          <w:caps/>
          <w:szCs w:val="30"/>
          <w:lang w:eastAsia="zh-Hans"/>
        </w:rPr>
        <w:t>提高</w:t>
      </w:r>
      <w:r>
        <w:rPr>
          <w:rFonts w:hint="eastAsia" w:ascii="仿宋" w:hAnsi="仿宋" w:eastAsia="仿宋" w:cs="仿宋"/>
          <w:bCs/>
          <w:caps/>
          <w:szCs w:val="30"/>
        </w:rPr>
        <w:t>集团</w:t>
      </w:r>
      <w:r>
        <w:rPr>
          <w:rFonts w:hint="eastAsia" w:ascii="仿宋" w:hAnsi="仿宋" w:eastAsia="仿宋" w:cs="仿宋"/>
          <w:bCs/>
          <w:caps/>
          <w:szCs w:val="30"/>
          <w:lang w:eastAsia="zh-Hans"/>
        </w:rPr>
        <w:t>营业利润率。另外，建议城投集团</w:t>
      </w:r>
      <w:r>
        <w:rPr>
          <w:rFonts w:hint="eastAsia" w:ascii="仿宋" w:hAnsi="仿宋" w:eastAsia="仿宋" w:cs="仿宋"/>
          <w:bCs/>
          <w:caps/>
          <w:szCs w:val="30"/>
        </w:rPr>
        <w:t>进一步</w:t>
      </w:r>
      <w:r>
        <w:rPr>
          <w:rFonts w:hint="eastAsia" w:ascii="仿宋" w:hAnsi="仿宋" w:eastAsia="仿宋" w:cs="仿宋"/>
          <w:bCs/>
          <w:caps/>
          <w:szCs w:val="30"/>
          <w:lang w:eastAsia="zh-Hans"/>
        </w:rPr>
        <w:t>优化债务结构，推进融资及存量债务置换工作</w:t>
      </w:r>
      <w:r>
        <w:rPr>
          <w:rFonts w:hint="eastAsia" w:ascii="仿宋" w:hAnsi="仿宋" w:eastAsia="仿宋" w:cs="仿宋"/>
          <w:bCs/>
          <w:caps/>
          <w:szCs w:val="30"/>
        </w:rPr>
        <w:t>，</w:t>
      </w:r>
      <w:r>
        <w:rPr>
          <w:rFonts w:hint="eastAsia" w:ascii="仿宋" w:hAnsi="仿宋" w:eastAsia="仿宋" w:cs="仿宋"/>
          <w:bCs/>
          <w:caps/>
          <w:szCs w:val="30"/>
          <w:lang w:eastAsia="zh-Hans"/>
        </w:rPr>
        <w:t>有序消化历史债务，减轻债务负担，降低</w:t>
      </w:r>
      <w:r>
        <w:rPr>
          <w:rFonts w:hint="eastAsia" w:ascii="仿宋" w:hAnsi="仿宋" w:eastAsia="仿宋" w:cs="仿宋"/>
          <w:bCs/>
          <w:caps/>
          <w:szCs w:val="30"/>
        </w:rPr>
        <w:t>集团</w:t>
      </w:r>
      <w:r>
        <w:rPr>
          <w:rFonts w:hint="eastAsia" w:ascii="仿宋" w:hAnsi="仿宋" w:eastAsia="仿宋" w:cs="仿宋"/>
          <w:bCs/>
          <w:caps/>
          <w:szCs w:val="30"/>
          <w:lang w:eastAsia="zh-Hans"/>
        </w:rPr>
        <w:t>资产负债率。</w:t>
      </w:r>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serif">
    <w:altName w:val="微软雅黑"/>
    <w:panose1 w:val="020B0604020202020204"/>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方正楷体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a:noFill/>
                      </a:ln>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18</w:t>
                          </w:r>
                          <w:r>
                            <w:rPr>
                              <w:sz w:val="18"/>
                            </w:rPr>
                            <w:fldChar w:fldCharType="end"/>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tbuXfQAAAAAgEAAA8AAAAA&#10;AAAAAQAgAAAAIgAAAGRycy9kb3ducmV2LnhtbFBLAQIUABQAAAAIAIdO4kCUZoke4wEAALsDAAAO&#10;AAAAAAAAAAEAIAAAAB8BAABkcnMvZTJvRG9jLnhtbFBLBQYAAAAABgAGAFkBAAB0BQAAAAA=&#10;">
              <v:fill on="f" focussize="0,0"/>
              <v:stroke on="f"/>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18</w:t>
                    </w:r>
                    <w:r>
                      <w:rPr>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ZTdjZDgyMWJmMjRlNTU5OGMxYjdmNjdmZmRlMWMifQ=="/>
  </w:docVars>
  <w:rsids>
    <w:rsidRoot w:val="00291FE6"/>
    <w:rsid w:val="00010517"/>
    <w:rsid w:val="00031159"/>
    <w:rsid w:val="00031348"/>
    <w:rsid w:val="00051A6C"/>
    <w:rsid w:val="00070477"/>
    <w:rsid w:val="000A1825"/>
    <w:rsid w:val="000A1F7E"/>
    <w:rsid w:val="000B5AE4"/>
    <w:rsid w:val="000D1B3A"/>
    <w:rsid w:val="000E483E"/>
    <w:rsid w:val="000F099F"/>
    <w:rsid w:val="000F1DBD"/>
    <w:rsid w:val="001006BD"/>
    <w:rsid w:val="0010173C"/>
    <w:rsid w:val="0012537D"/>
    <w:rsid w:val="00132748"/>
    <w:rsid w:val="00142311"/>
    <w:rsid w:val="00144436"/>
    <w:rsid w:val="00146FC8"/>
    <w:rsid w:val="00150EAD"/>
    <w:rsid w:val="00161F66"/>
    <w:rsid w:val="00170732"/>
    <w:rsid w:val="00172C3E"/>
    <w:rsid w:val="001750B0"/>
    <w:rsid w:val="001813BA"/>
    <w:rsid w:val="001A5184"/>
    <w:rsid w:val="001B2507"/>
    <w:rsid w:val="001E2363"/>
    <w:rsid w:val="001F1C93"/>
    <w:rsid w:val="0020597E"/>
    <w:rsid w:val="00213C6F"/>
    <w:rsid w:val="0022242A"/>
    <w:rsid w:val="00223A64"/>
    <w:rsid w:val="00225294"/>
    <w:rsid w:val="00230F47"/>
    <w:rsid w:val="00233D8D"/>
    <w:rsid w:val="002524BB"/>
    <w:rsid w:val="002663BB"/>
    <w:rsid w:val="00273CE0"/>
    <w:rsid w:val="00291FE6"/>
    <w:rsid w:val="002A3016"/>
    <w:rsid w:val="002C3986"/>
    <w:rsid w:val="002D4534"/>
    <w:rsid w:val="002D65C6"/>
    <w:rsid w:val="002D6B03"/>
    <w:rsid w:val="002D7AAD"/>
    <w:rsid w:val="00304961"/>
    <w:rsid w:val="003148E7"/>
    <w:rsid w:val="00322680"/>
    <w:rsid w:val="00326FBC"/>
    <w:rsid w:val="00333E22"/>
    <w:rsid w:val="0034172A"/>
    <w:rsid w:val="00342339"/>
    <w:rsid w:val="00345562"/>
    <w:rsid w:val="003544E3"/>
    <w:rsid w:val="00357748"/>
    <w:rsid w:val="0036112B"/>
    <w:rsid w:val="00362314"/>
    <w:rsid w:val="003648E4"/>
    <w:rsid w:val="0037377A"/>
    <w:rsid w:val="003918EE"/>
    <w:rsid w:val="00393A81"/>
    <w:rsid w:val="003A0CCC"/>
    <w:rsid w:val="003A6104"/>
    <w:rsid w:val="003A67AD"/>
    <w:rsid w:val="003D5876"/>
    <w:rsid w:val="003E4ABB"/>
    <w:rsid w:val="003F1F8C"/>
    <w:rsid w:val="003F604B"/>
    <w:rsid w:val="004225C5"/>
    <w:rsid w:val="0042795A"/>
    <w:rsid w:val="00435FAC"/>
    <w:rsid w:val="0044500C"/>
    <w:rsid w:val="00450EA4"/>
    <w:rsid w:val="00457C99"/>
    <w:rsid w:val="00470194"/>
    <w:rsid w:val="00471B96"/>
    <w:rsid w:val="00473638"/>
    <w:rsid w:val="004905C2"/>
    <w:rsid w:val="00492630"/>
    <w:rsid w:val="004A11E7"/>
    <w:rsid w:val="004A2773"/>
    <w:rsid w:val="004B6DFC"/>
    <w:rsid w:val="004C7950"/>
    <w:rsid w:val="004E3B8B"/>
    <w:rsid w:val="004E4864"/>
    <w:rsid w:val="004F3C4B"/>
    <w:rsid w:val="0050750D"/>
    <w:rsid w:val="00520012"/>
    <w:rsid w:val="0052747F"/>
    <w:rsid w:val="00531132"/>
    <w:rsid w:val="005339D9"/>
    <w:rsid w:val="00536BBF"/>
    <w:rsid w:val="005572FA"/>
    <w:rsid w:val="00570F75"/>
    <w:rsid w:val="00584B52"/>
    <w:rsid w:val="00585063"/>
    <w:rsid w:val="00586714"/>
    <w:rsid w:val="005A2F1D"/>
    <w:rsid w:val="005A45CD"/>
    <w:rsid w:val="005A6007"/>
    <w:rsid w:val="005C7DBF"/>
    <w:rsid w:val="005E5052"/>
    <w:rsid w:val="005F6623"/>
    <w:rsid w:val="006016CE"/>
    <w:rsid w:val="00605E05"/>
    <w:rsid w:val="0062079B"/>
    <w:rsid w:val="00630741"/>
    <w:rsid w:val="006370E8"/>
    <w:rsid w:val="006A645D"/>
    <w:rsid w:val="006B2E0A"/>
    <w:rsid w:val="006C7B49"/>
    <w:rsid w:val="006E77C5"/>
    <w:rsid w:val="00703EA9"/>
    <w:rsid w:val="007051F0"/>
    <w:rsid w:val="00725354"/>
    <w:rsid w:val="0073455B"/>
    <w:rsid w:val="0075619A"/>
    <w:rsid w:val="00760F96"/>
    <w:rsid w:val="007740DA"/>
    <w:rsid w:val="007816FE"/>
    <w:rsid w:val="00783432"/>
    <w:rsid w:val="00787616"/>
    <w:rsid w:val="007B4641"/>
    <w:rsid w:val="007B5E22"/>
    <w:rsid w:val="007C0845"/>
    <w:rsid w:val="007D08AB"/>
    <w:rsid w:val="007D4EC0"/>
    <w:rsid w:val="007E0689"/>
    <w:rsid w:val="007E61CE"/>
    <w:rsid w:val="007F1EAC"/>
    <w:rsid w:val="007F3BB1"/>
    <w:rsid w:val="008260EB"/>
    <w:rsid w:val="00826960"/>
    <w:rsid w:val="008458C8"/>
    <w:rsid w:val="00861CA6"/>
    <w:rsid w:val="008671BC"/>
    <w:rsid w:val="008767F7"/>
    <w:rsid w:val="00890AB5"/>
    <w:rsid w:val="008951BB"/>
    <w:rsid w:val="008A20F7"/>
    <w:rsid w:val="008A70BE"/>
    <w:rsid w:val="008B1A18"/>
    <w:rsid w:val="008B2B3E"/>
    <w:rsid w:val="008B69F0"/>
    <w:rsid w:val="008F0ECD"/>
    <w:rsid w:val="00912185"/>
    <w:rsid w:val="00914C1E"/>
    <w:rsid w:val="0091712A"/>
    <w:rsid w:val="00932A73"/>
    <w:rsid w:val="0094323B"/>
    <w:rsid w:val="00952C6F"/>
    <w:rsid w:val="00962B00"/>
    <w:rsid w:val="00972CA8"/>
    <w:rsid w:val="00991A14"/>
    <w:rsid w:val="00993569"/>
    <w:rsid w:val="00995A42"/>
    <w:rsid w:val="009A695A"/>
    <w:rsid w:val="009B0FA6"/>
    <w:rsid w:val="009C4244"/>
    <w:rsid w:val="009D28AB"/>
    <w:rsid w:val="009E5F69"/>
    <w:rsid w:val="009F6294"/>
    <w:rsid w:val="00A12403"/>
    <w:rsid w:val="00A23D35"/>
    <w:rsid w:val="00A245A8"/>
    <w:rsid w:val="00A34439"/>
    <w:rsid w:val="00A36073"/>
    <w:rsid w:val="00A4336B"/>
    <w:rsid w:val="00A456A2"/>
    <w:rsid w:val="00A514BB"/>
    <w:rsid w:val="00A67228"/>
    <w:rsid w:val="00A95A6C"/>
    <w:rsid w:val="00AC6BBC"/>
    <w:rsid w:val="00AE2FFE"/>
    <w:rsid w:val="00AF3813"/>
    <w:rsid w:val="00AF3D28"/>
    <w:rsid w:val="00AF57E4"/>
    <w:rsid w:val="00B36FA0"/>
    <w:rsid w:val="00B4283B"/>
    <w:rsid w:val="00B511F0"/>
    <w:rsid w:val="00B512B7"/>
    <w:rsid w:val="00B536C5"/>
    <w:rsid w:val="00B74830"/>
    <w:rsid w:val="00B7552F"/>
    <w:rsid w:val="00B77B95"/>
    <w:rsid w:val="00B90D45"/>
    <w:rsid w:val="00B939A3"/>
    <w:rsid w:val="00BB6C44"/>
    <w:rsid w:val="00BC6069"/>
    <w:rsid w:val="00BD5D17"/>
    <w:rsid w:val="00BF6A1A"/>
    <w:rsid w:val="00BF7A08"/>
    <w:rsid w:val="00C11869"/>
    <w:rsid w:val="00C12E6C"/>
    <w:rsid w:val="00C177D0"/>
    <w:rsid w:val="00C4723F"/>
    <w:rsid w:val="00C81104"/>
    <w:rsid w:val="00C816EF"/>
    <w:rsid w:val="00C8670F"/>
    <w:rsid w:val="00C86CFA"/>
    <w:rsid w:val="00CA0ADC"/>
    <w:rsid w:val="00CC4D86"/>
    <w:rsid w:val="00CC52F1"/>
    <w:rsid w:val="00CC69C7"/>
    <w:rsid w:val="00CD6E95"/>
    <w:rsid w:val="00CE2F25"/>
    <w:rsid w:val="00CE6642"/>
    <w:rsid w:val="00CF05CF"/>
    <w:rsid w:val="00CF10AE"/>
    <w:rsid w:val="00CF43B4"/>
    <w:rsid w:val="00D301A6"/>
    <w:rsid w:val="00D331D4"/>
    <w:rsid w:val="00D6351B"/>
    <w:rsid w:val="00D94311"/>
    <w:rsid w:val="00D97867"/>
    <w:rsid w:val="00DB57B4"/>
    <w:rsid w:val="00DB59CD"/>
    <w:rsid w:val="00DC76C4"/>
    <w:rsid w:val="00DD6806"/>
    <w:rsid w:val="00DE01DD"/>
    <w:rsid w:val="00DF7A06"/>
    <w:rsid w:val="00E07025"/>
    <w:rsid w:val="00E07907"/>
    <w:rsid w:val="00E162E4"/>
    <w:rsid w:val="00E244F5"/>
    <w:rsid w:val="00E26078"/>
    <w:rsid w:val="00E435E6"/>
    <w:rsid w:val="00E470C0"/>
    <w:rsid w:val="00E65FB9"/>
    <w:rsid w:val="00E959DD"/>
    <w:rsid w:val="00EA3F49"/>
    <w:rsid w:val="00EC77BD"/>
    <w:rsid w:val="00EF3DD4"/>
    <w:rsid w:val="00F3274B"/>
    <w:rsid w:val="00F34CD2"/>
    <w:rsid w:val="00F378C7"/>
    <w:rsid w:val="00F72D32"/>
    <w:rsid w:val="00F96CE7"/>
    <w:rsid w:val="00FB75C2"/>
    <w:rsid w:val="00FC09EC"/>
    <w:rsid w:val="00FC45E9"/>
    <w:rsid w:val="00FD04F0"/>
    <w:rsid w:val="00FD76F6"/>
    <w:rsid w:val="00FE6D54"/>
    <w:rsid w:val="00FF1764"/>
    <w:rsid w:val="01745DAD"/>
    <w:rsid w:val="01B97F5E"/>
    <w:rsid w:val="01CC3FA7"/>
    <w:rsid w:val="01D803E5"/>
    <w:rsid w:val="01EA44FF"/>
    <w:rsid w:val="02242076"/>
    <w:rsid w:val="023766CA"/>
    <w:rsid w:val="025339B9"/>
    <w:rsid w:val="02B7624C"/>
    <w:rsid w:val="02C668D9"/>
    <w:rsid w:val="02CF4893"/>
    <w:rsid w:val="02D84414"/>
    <w:rsid w:val="036A23C8"/>
    <w:rsid w:val="03942A31"/>
    <w:rsid w:val="03982449"/>
    <w:rsid w:val="03C80F36"/>
    <w:rsid w:val="042518DB"/>
    <w:rsid w:val="047F6906"/>
    <w:rsid w:val="05042547"/>
    <w:rsid w:val="052B70BE"/>
    <w:rsid w:val="05DE55A9"/>
    <w:rsid w:val="063302DF"/>
    <w:rsid w:val="067C0DE7"/>
    <w:rsid w:val="069371C6"/>
    <w:rsid w:val="06F22278"/>
    <w:rsid w:val="06F51A39"/>
    <w:rsid w:val="07047ECE"/>
    <w:rsid w:val="074327A4"/>
    <w:rsid w:val="07474FE1"/>
    <w:rsid w:val="075B126D"/>
    <w:rsid w:val="07B216D8"/>
    <w:rsid w:val="07C03DF5"/>
    <w:rsid w:val="08886FD2"/>
    <w:rsid w:val="08A05E91"/>
    <w:rsid w:val="08C8178B"/>
    <w:rsid w:val="09371591"/>
    <w:rsid w:val="0990401D"/>
    <w:rsid w:val="09B57F05"/>
    <w:rsid w:val="09D43B87"/>
    <w:rsid w:val="09E638BB"/>
    <w:rsid w:val="0A654CFD"/>
    <w:rsid w:val="0A6C39B4"/>
    <w:rsid w:val="0A943317"/>
    <w:rsid w:val="0AF3628F"/>
    <w:rsid w:val="0B084443"/>
    <w:rsid w:val="0B467AEB"/>
    <w:rsid w:val="0B4E0D85"/>
    <w:rsid w:val="0B64718D"/>
    <w:rsid w:val="0B767BF7"/>
    <w:rsid w:val="0B7B4BE3"/>
    <w:rsid w:val="0BA27B57"/>
    <w:rsid w:val="0BB5572C"/>
    <w:rsid w:val="0BCD088E"/>
    <w:rsid w:val="0BE16D20"/>
    <w:rsid w:val="0C0A3890"/>
    <w:rsid w:val="0C2A44ED"/>
    <w:rsid w:val="0C6640A3"/>
    <w:rsid w:val="0D317AAB"/>
    <w:rsid w:val="0D420550"/>
    <w:rsid w:val="0D506DB3"/>
    <w:rsid w:val="0D84608A"/>
    <w:rsid w:val="0DC14423"/>
    <w:rsid w:val="0DF873B9"/>
    <w:rsid w:val="0EA3691A"/>
    <w:rsid w:val="0F070F37"/>
    <w:rsid w:val="0F4A5464"/>
    <w:rsid w:val="0FD25609"/>
    <w:rsid w:val="0FEB5585"/>
    <w:rsid w:val="10282ACD"/>
    <w:rsid w:val="10340523"/>
    <w:rsid w:val="103A670E"/>
    <w:rsid w:val="1042190E"/>
    <w:rsid w:val="106614B4"/>
    <w:rsid w:val="106A31E0"/>
    <w:rsid w:val="11145021"/>
    <w:rsid w:val="11366ED6"/>
    <w:rsid w:val="11621E9A"/>
    <w:rsid w:val="118732D1"/>
    <w:rsid w:val="11C3393F"/>
    <w:rsid w:val="11CB5358"/>
    <w:rsid w:val="12094974"/>
    <w:rsid w:val="123B7AF5"/>
    <w:rsid w:val="12865F21"/>
    <w:rsid w:val="12FD1AD8"/>
    <w:rsid w:val="13351681"/>
    <w:rsid w:val="13A74338"/>
    <w:rsid w:val="13AA46B7"/>
    <w:rsid w:val="13E35761"/>
    <w:rsid w:val="13ED5318"/>
    <w:rsid w:val="13FC4CB4"/>
    <w:rsid w:val="14D124C1"/>
    <w:rsid w:val="15201EB5"/>
    <w:rsid w:val="157223B7"/>
    <w:rsid w:val="15804BC3"/>
    <w:rsid w:val="15B5537C"/>
    <w:rsid w:val="160F575E"/>
    <w:rsid w:val="16133C89"/>
    <w:rsid w:val="162163A6"/>
    <w:rsid w:val="164B309C"/>
    <w:rsid w:val="16572F55"/>
    <w:rsid w:val="165A4A4C"/>
    <w:rsid w:val="167B3E10"/>
    <w:rsid w:val="167E55A7"/>
    <w:rsid w:val="168C1346"/>
    <w:rsid w:val="16AE5760"/>
    <w:rsid w:val="16E22B6B"/>
    <w:rsid w:val="16F453FF"/>
    <w:rsid w:val="173043C7"/>
    <w:rsid w:val="1763444D"/>
    <w:rsid w:val="17AA6880"/>
    <w:rsid w:val="17AF353E"/>
    <w:rsid w:val="17BB144B"/>
    <w:rsid w:val="181B5077"/>
    <w:rsid w:val="183C1C75"/>
    <w:rsid w:val="18742A39"/>
    <w:rsid w:val="18827A4C"/>
    <w:rsid w:val="18843061"/>
    <w:rsid w:val="18BD3D33"/>
    <w:rsid w:val="18CC0A2E"/>
    <w:rsid w:val="1903395F"/>
    <w:rsid w:val="190D2C12"/>
    <w:rsid w:val="19C72DC1"/>
    <w:rsid w:val="19D61256"/>
    <w:rsid w:val="19D95852"/>
    <w:rsid w:val="19DC4392"/>
    <w:rsid w:val="1A475CB0"/>
    <w:rsid w:val="1A4E6CEE"/>
    <w:rsid w:val="1A562397"/>
    <w:rsid w:val="1B1965F5"/>
    <w:rsid w:val="1B3426D8"/>
    <w:rsid w:val="1B4A3CA9"/>
    <w:rsid w:val="1B8A6B2F"/>
    <w:rsid w:val="1BC6267A"/>
    <w:rsid w:val="1BE17361"/>
    <w:rsid w:val="1C0839F8"/>
    <w:rsid w:val="1C666204"/>
    <w:rsid w:val="1CBF06C7"/>
    <w:rsid w:val="1D16363F"/>
    <w:rsid w:val="1D61136E"/>
    <w:rsid w:val="1D935BAD"/>
    <w:rsid w:val="1DB407A1"/>
    <w:rsid w:val="1DB6149E"/>
    <w:rsid w:val="1E0473CD"/>
    <w:rsid w:val="1E2D340E"/>
    <w:rsid w:val="1E5C3D88"/>
    <w:rsid w:val="1E7E635E"/>
    <w:rsid w:val="1E9A6CF6"/>
    <w:rsid w:val="1EC577FD"/>
    <w:rsid w:val="1F290904"/>
    <w:rsid w:val="1F973C43"/>
    <w:rsid w:val="1FE019BC"/>
    <w:rsid w:val="1FFE71C3"/>
    <w:rsid w:val="203D0BFB"/>
    <w:rsid w:val="205B230F"/>
    <w:rsid w:val="205C1E24"/>
    <w:rsid w:val="20607ACB"/>
    <w:rsid w:val="20B83463"/>
    <w:rsid w:val="20EE7C74"/>
    <w:rsid w:val="21146958"/>
    <w:rsid w:val="212A3624"/>
    <w:rsid w:val="214E3DC8"/>
    <w:rsid w:val="21611D4D"/>
    <w:rsid w:val="216713CE"/>
    <w:rsid w:val="21771570"/>
    <w:rsid w:val="22264989"/>
    <w:rsid w:val="222C2865"/>
    <w:rsid w:val="22934188"/>
    <w:rsid w:val="22C61EA2"/>
    <w:rsid w:val="22F453DF"/>
    <w:rsid w:val="22FF7E7D"/>
    <w:rsid w:val="23042488"/>
    <w:rsid w:val="2328623E"/>
    <w:rsid w:val="234142EF"/>
    <w:rsid w:val="23791DA0"/>
    <w:rsid w:val="237D0994"/>
    <w:rsid w:val="238166D6"/>
    <w:rsid w:val="23C759E1"/>
    <w:rsid w:val="242C1BDE"/>
    <w:rsid w:val="245A5C05"/>
    <w:rsid w:val="247E5D01"/>
    <w:rsid w:val="248221CF"/>
    <w:rsid w:val="24A140F3"/>
    <w:rsid w:val="24E52C95"/>
    <w:rsid w:val="24E601CC"/>
    <w:rsid w:val="24F55964"/>
    <w:rsid w:val="25004B0F"/>
    <w:rsid w:val="250D25ED"/>
    <w:rsid w:val="2520449C"/>
    <w:rsid w:val="252B4B4C"/>
    <w:rsid w:val="253467A8"/>
    <w:rsid w:val="254917C7"/>
    <w:rsid w:val="258768CA"/>
    <w:rsid w:val="259207B1"/>
    <w:rsid w:val="25A96588"/>
    <w:rsid w:val="25E25EB3"/>
    <w:rsid w:val="25EB1945"/>
    <w:rsid w:val="26614F39"/>
    <w:rsid w:val="268944C1"/>
    <w:rsid w:val="26A83F7A"/>
    <w:rsid w:val="26BF6CF4"/>
    <w:rsid w:val="26CF1507"/>
    <w:rsid w:val="26EB4A32"/>
    <w:rsid w:val="26ED516B"/>
    <w:rsid w:val="2707406D"/>
    <w:rsid w:val="27156A20"/>
    <w:rsid w:val="27280C17"/>
    <w:rsid w:val="27903CF9"/>
    <w:rsid w:val="28285372"/>
    <w:rsid w:val="28291ED0"/>
    <w:rsid w:val="28353CD9"/>
    <w:rsid w:val="284877C3"/>
    <w:rsid w:val="289A2692"/>
    <w:rsid w:val="28A15125"/>
    <w:rsid w:val="28C373F5"/>
    <w:rsid w:val="28F67D3D"/>
    <w:rsid w:val="29010282"/>
    <w:rsid w:val="2916166F"/>
    <w:rsid w:val="293022BD"/>
    <w:rsid w:val="294A4892"/>
    <w:rsid w:val="29657DC5"/>
    <w:rsid w:val="298C36DF"/>
    <w:rsid w:val="29E45A09"/>
    <w:rsid w:val="29FA65C3"/>
    <w:rsid w:val="2A697EC4"/>
    <w:rsid w:val="2B2314F6"/>
    <w:rsid w:val="2B26772D"/>
    <w:rsid w:val="2BBB3F5F"/>
    <w:rsid w:val="2BC60D5B"/>
    <w:rsid w:val="2BCE6D3C"/>
    <w:rsid w:val="2C0B05E0"/>
    <w:rsid w:val="2C7405D1"/>
    <w:rsid w:val="2C8142B0"/>
    <w:rsid w:val="2CB6795A"/>
    <w:rsid w:val="2CC868DD"/>
    <w:rsid w:val="2CD23429"/>
    <w:rsid w:val="2CD62E42"/>
    <w:rsid w:val="2D355424"/>
    <w:rsid w:val="2D41053B"/>
    <w:rsid w:val="2D51187C"/>
    <w:rsid w:val="2D815E88"/>
    <w:rsid w:val="2DAD1E76"/>
    <w:rsid w:val="2DB277B6"/>
    <w:rsid w:val="2DE23367"/>
    <w:rsid w:val="2DED18F2"/>
    <w:rsid w:val="2E227EF5"/>
    <w:rsid w:val="2E2C5491"/>
    <w:rsid w:val="2E3A7347"/>
    <w:rsid w:val="2E493B0E"/>
    <w:rsid w:val="2E9F5C62"/>
    <w:rsid w:val="2EBD6A71"/>
    <w:rsid w:val="2EF73CF0"/>
    <w:rsid w:val="2F0D050F"/>
    <w:rsid w:val="2F177FAD"/>
    <w:rsid w:val="2F427063"/>
    <w:rsid w:val="2F5D606D"/>
    <w:rsid w:val="2F7C41F6"/>
    <w:rsid w:val="2F8310E0"/>
    <w:rsid w:val="2FAF59F5"/>
    <w:rsid w:val="2FE05B03"/>
    <w:rsid w:val="300A061F"/>
    <w:rsid w:val="302525DF"/>
    <w:rsid w:val="3029612C"/>
    <w:rsid w:val="30536D0B"/>
    <w:rsid w:val="305D1E35"/>
    <w:rsid w:val="306C3E57"/>
    <w:rsid w:val="30757CE3"/>
    <w:rsid w:val="308C21C7"/>
    <w:rsid w:val="30C16364"/>
    <w:rsid w:val="30EE0170"/>
    <w:rsid w:val="30FE75F7"/>
    <w:rsid w:val="311A6DF9"/>
    <w:rsid w:val="316F5DC0"/>
    <w:rsid w:val="31771119"/>
    <w:rsid w:val="31C612F3"/>
    <w:rsid w:val="321F6F3E"/>
    <w:rsid w:val="32384404"/>
    <w:rsid w:val="32780CA4"/>
    <w:rsid w:val="32851613"/>
    <w:rsid w:val="32917638"/>
    <w:rsid w:val="32C401BF"/>
    <w:rsid w:val="32F6606D"/>
    <w:rsid w:val="32F72897"/>
    <w:rsid w:val="32FF701B"/>
    <w:rsid w:val="333A23FE"/>
    <w:rsid w:val="335A2AA0"/>
    <w:rsid w:val="335A65FC"/>
    <w:rsid w:val="33BA4A58"/>
    <w:rsid w:val="33E365F1"/>
    <w:rsid w:val="33EF79F1"/>
    <w:rsid w:val="340321F7"/>
    <w:rsid w:val="34343A54"/>
    <w:rsid w:val="345114C0"/>
    <w:rsid w:val="346A075D"/>
    <w:rsid w:val="346E3294"/>
    <w:rsid w:val="346F1A71"/>
    <w:rsid w:val="34F15C03"/>
    <w:rsid w:val="35157500"/>
    <w:rsid w:val="353310A9"/>
    <w:rsid w:val="356911E6"/>
    <w:rsid w:val="357065AB"/>
    <w:rsid w:val="357E1CD7"/>
    <w:rsid w:val="35C12962"/>
    <w:rsid w:val="360D1B6A"/>
    <w:rsid w:val="36486245"/>
    <w:rsid w:val="369E2CA4"/>
    <w:rsid w:val="36B6623F"/>
    <w:rsid w:val="3703359E"/>
    <w:rsid w:val="37040D59"/>
    <w:rsid w:val="37507D57"/>
    <w:rsid w:val="379F064F"/>
    <w:rsid w:val="37B409D1"/>
    <w:rsid w:val="37C4498C"/>
    <w:rsid w:val="37F232A7"/>
    <w:rsid w:val="381C3FE8"/>
    <w:rsid w:val="387A13BD"/>
    <w:rsid w:val="38D549FA"/>
    <w:rsid w:val="38EB3A7B"/>
    <w:rsid w:val="38EC3A07"/>
    <w:rsid w:val="38FE2413"/>
    <w:rsid w:val="3903438C"/>
    <w:rsid w:val="395A1104"/>
    <w:rsid w:val="396F364F"/>
    <w:rsid w:val="39A93E39"/>
    <w:rsid w:val="3A3335B7"/>
    <w:rsid w:val="3A3A0F35"/>
    <w:rsid w:val="3A6F6E99"/>
    <w:rsid w:val="3A9932B0"/>
    <w:rsid w:val="3AB663CC"/>
    <w:rsid w:val="3AE157E3"/>
    <w:rsid w:val="3B984165"/>
    <w:rsid w:val="3BAE1BDB"/>
    <w:rsid w:val="3BD553B9"/>
    <w:rsid w:val="3BDD7DCA"/>
    <w:rsid w:val="3BE86D6D"/>
    <w:rsid w:val="3C17152E"/>
    <w:rsid w:val="3C2C7706"/>
    <w:rsid w:val="3C417279"/>
    <w:rsid w:val="3C755230"/>
    <w:rsid w:val="3C771FCD"/>
    <w:rsid w:val="3C9FEB83"/>
    <w:rsid w:val="3CCD4DB4"/>
    <w:rsid w:val="3CEC6966"/>
    <w:rsid w:val="3D5E45C9"/>
    <w:rsid w:val="3D65451B"/>
    <w:rsid w:val="3D704DB0"/>
    <w:rsid w:val="3D8607D0"/>
    <w:rsid w:val="3E1A3557"/>
    <w:rsid w:val="3E304E87"/>
    <w:rsid w:val="3E856CBB"/>
    <w:rsid w:val="3ED731F7"/>
    <w:rsid w:val="3EF85D94"/>
    <w:rsid w:val="3F485F6B"/>
    <w:rsid w:val="3FA26360"/>
    <w:rsid w:val="3FB64363"/>
    <w:rsid w:val="401F09B1"/>
    <w:rsid w:val="40214F87"/>
    <w:rsid w:val="403E3A69"/>
    <w:rsid w:val="408B4299"/>
    <w:rsid w:val="409B6282"/>
    <w:rsid w:val="40FC63F3"/>
    <w:rsid w:val="411A570D"/>
    <w:rsid w:val="41432DC5"/>
    <w:rsid w:val="41452699"/>
    <w:rsid w:val="41C0110D"/>
    <w:rsid w:val="41D43A1D"/>
    <w:rsid w:val="41F26F6C"/>
    <w:rsid w:val="42134546"/>
    <w:rsid w:val="42187DAE"/>
    <w:rsid w:val="42755200"/>
    <w:rsid w:val="42DC7D90"/>
    <w:rsid w:val="42FF578F"/>
    <w:rsid w:val="431515CC"/>
    <w:rsid w:val="436112E1"/>
    <w:rsid w:val="437A4E3C"/>
    <w:rsid w:val="43A7763B"/>
    <w:rsid w:val="43D11879"/>
    <w:rsid w:val="43EE526A"/>
    <w:rsid w:val="440B5086"/>
    <w:rsid w:val="441B3B85"/>
    <w:rsid w:val="44215270"/>
    <w:rsid w:val="442347E8"/>
    <w:rsid w:val="44676DCB"/>
    <w:rsid w:val="449C4424"/>
    <w:rsid w:val="44D020CD"/>
    <w:rsid w:val="44F004F5"/>
    <w:rsid w:val="454910CB"/>
    <w:rsid w:val="45570695"/>
    <w:rsid w:val="45796DB6"/>
    <w:rsid w:val="46051EF7"/>
    <w:rsid w:val="46156884"/>
    <w:rsid w:val="463158E2"/>
    <w:rsid w:val="47077B1F"/>
    <w:rsid w:val="4724403A"/>
    <w:rsid w:val="472E3F97"/>
    <w:rsid w:val="4732546E"/>
    <w:rsid w:val="475C757D"/>
    <w:rsid w:val="47637D1D"/>
    <w:rsid w:val="47E214FF"/>
    <w:rsid w:val="48592ECE"/>
    <w:rsid w:val="485D651B"/>
    <w:rsid w:val="486F33C3"/>
    <w:rsid w:val="48C07B37"/>
    <w:rsid w:val="48C621F7"/>
    <w:rsid w:val="48E11085"/>
    <w:rsid w:val="48EE06AE"/>
    <w:rsid w:val="48F76E20"/>
    <w:rsid w:val="49012FDB"/>
    <w:rsid w:val="49666217"/>
    <w:rsid w:val="497E6F68"/>
    <w:rsid w:val="499C3073"/>
    <w:rsid w:val="499C7EF9"/>
    <w:rsid w:val="49A34051"/>
    <w:rsid w:val="4A474A71"/>
    <w:rsid w:val="4AE13CE0"/>
    <w:rsid w:val="4AE427EC"/>
    <w:rsid w:val="4AF06D49"/>
    <w:rsid w:val="4B0709C0"/>
    <w:rsid w:val="4B0A2C46"/>
    <w:rsid w:val="4B285E44"/>
    <w:rsid w:val="4B6F293E"/>
    <w:rsid w:val="4B756271"/>
    <w:rsid w:val="4B761263"/>
    <w:rsid w:val="4B8464B4"/>
    <w:rsid w:val="4BCF1B8A"/>
    <w:rsid w:val="4C0249A2"/>
    <w:rsid w:val="4C6D6041"/>
    <w:rsid w:val="4C991AEB"/>
    <w:rsid w:val="4CA02851"/>
    <w:rsid w:val="4CE60D9D"/>
    <w:rsid w:val="4CE92975"/>
    <w:rsid w:val="4D5F2D35"/>
    <w:rsid w:val="4D764C2D"/>
    <w:rsid w:val="4DFB47C8"/>
    <w:rsid w:val="4E1460AC"/>
    <w:rsid w:val="4E1A4A3C"/>
    <w:rsid w:val="4E347D1E"/>
    <w:rsid w:val="4E3917D8"/>
    <w:rsid w:val="4E5841D3"/>
    <w:rsid w:val="4E802F63"/>
    <w:rsid w:val="4EE73765"/>
    <w:rsid w:val="4F244A2F"/>
    <w:rsid w:val="4F3501F1"/>
    <w:rsid w:val="4F797786"/>
    <w:rsid w:val="4F8553A5"/>
    <w:rsid w:val="4F8922EB"/>
    <w:rsid w:val="4FBC2FE0"/>
    <w:rsid w:val="4FC83EC4"/>
    <w:rsid w:val="4FEB149C"/>
    <w:rsid w:val="508B3E41"/>
    <w:rsid w:val="50962F12"/>
    <w:rsid w:val="50AC7814"/>
    <w:rsid w:val="50B90CFD"/>
    <w:rsid w:val="51493AE0"/>
    <w:rsid w:val="5160543E"/>
    <w:rsid w:val="51A967A5"/>
    <w:rsid w:val="51BA2C30"/>
    <w:rsid w:val="51C07B1A"/>
    <w:rsid w:val="51C6572A"/>
    <w:rsid w:val="51EB4B97"/>
    <w:rsid w:val="51F07734"/>
    <w:rsid w:val="521823EC"/>
    <w:rsid w:val="52DB741E"/>
    <w:rsid w:val="52DE6955"/>
    <w:rsid w:val="52EC506B"/>
    <w:rsid w:val="532540D9"/>
    <w:rsid w:val="53287AE8"/>
    <w:rsid w:val="532A5B93"/>
    <w:rsid w:val="533ADBBF"/>
    <w:rsid w:val="534027FD"/>
    <w:rsid w:val="53767D7B"/>
    <w:rsid w:val="539D1358"/>
    <w:rsid w:val="53AB0A82"/>
    <w:rsid w:val="53BD3DAC"/>
    <w:rsid w:val="53CA6D7A"/>
    <w:rsid w:val="540E7263"/>
    <w:rsid w:val="547D48AD"/>
    <w:rsid w:val="54D16D13"/>
    <w:rsid w:val="54D83CB5"/>
    <w:rsid w:val="551203E2"/>
    <w:rsid w:val="55290A1B"/>
    <w:rsid w:val="553966CD"/>
    <w:rsid w:val="553B1739"/>
    <w:rsid w:val="55485172"/>
    <w:rsid w:val="5569360C"/>
    <w:rsid w:val="558F7F2F"/>
    <w:rsid w:val="55B300C2"/>
    <w:rsid w:val="55FA0B9A"/>
    <w:rsid w:val="564B4B24"/>
    <w:rsid w:val="564C7A18"/>
    <w:rsid w:val="56551732"/>
    <w:rsid w:val="56682C5A"/>
    <w:rsid w:val="56A02CA6"/>
    <w:rsid w:val="56C1680E"/>
    <w:rsid w:val="571E410B"/>
    <w:rsid w:val="573E401C"/>
    <w:rsid w:val="574246D8"/>
    <w:rsid w:val="575E6038"/>
    <w:rsid w:val="577E025B"/>
    <w:rsid w:val="57BB35E3"/>
    <w:rsid w:val="58125BA5"/>
    <w:rsid w:val="582F7907"/>
    <w:rsid w:val="59260BAB"/>
    <w:rsid w:val="59514599"/>
    <w:rsid w:val="59780716"/>
    <w:rsid w:val="599A7D1E"/>
    <w:rsid w:val="59C4289D"/>
    <w:rsid w:val="5A3517D2"/>
    <w:rsid w:val="5A490723"/>
    <w:rsid w:val="5A623E64"/>
    <w:rsid w:val="5B154B1A"/>
    <w:rsid w:val="5B484E08"/>
    <w:rsid w:val="5BD05618"/>
    <w:rsid w:val="5BF428F1"/>
    <w:rsid w:val="5C2D0699"/>
    <w:rsid w:val="5C3757E7"/>
    <w:rsid w:val="5C491D3E"/>
    <w:rsid w:val="5C952629"/>
    <w:rsid w:val="5C9A0C9C"/>
    <w:rsid w:val="5CAE1D07"/>
    <w:rsid w:val="5D2E4BA1"/>
    <w:rsid w:val="5D704629"/>
    <w:rsid w:val="5D9B4391"/>
    <w:rsid w:val="5DBE37F8"/>
    <w:rsid w:val="5DDD340B"/>
    <w:rsid w:val="5DE83630"/>
    <w:rsid w:val="5DFB2DB4"/>
    <w:rsid w:val="5E1A6E03"/>
    <w:rsid w:val="5E251431"/>
    <w:rsid w:val="5E503BBD"/>
    <w:rsid w:val="5E6D7E26"/>
    <w:rsid w:val="5EA56A83"/>
    <w:rsid w:val="5EAE041F"/>
    <w:rsid w:val="5EBF5F18"/>
    <w:rsid w:val="5F100A56"/>
    <w:rsid w:val="5F2B6F1B"/>
    <w:rsid w:val="5F494FE9"/>
    <w:rsid w:val="5F647ACD"/>
    <w:rsid w:val="5F712636"/>
    <w:rsid w:val="5F744E48"/>
    <w:rsid w:val="5F994E18"/>
    <w:rsid w:val="60291888"/>
    <w:rsid w:val="602F55CD"/>
    <w:rsid w:val="60574443"/>
    <w:rsid w:val="607521C4"/>
    <w:rsid w:val="60FF489C"/>
    <w:rsid w:val="610269A5"/>
    <w:rsid w:val="61194810"/>
    <w:rsid w:val="618F27DA"/>
    <w:rsid w:val="61C16189"/>
    <w:rsid w:val="61C6117D"/>
    <w:rsid w:val="61FC71EF"/>
    <w:rsid w:val="620845A1"/>
    <w:rsid w:val="62242AD8"/>
    <w:rsid w:val="6293708D"/>
    <w:rsid w:val="62960B4F"/>
    <w:rsid w:val="62981268"/>
    <w:rsid w:val="62D578C9"/>
    <w:rsid w:val="62DE5FD2"/>
    <w:rsid w:val="62F35FA1"/>
    <w:rsid w:val="630B1E18"/>
    <w:rsid w:val="634621C0"/>
    <w:rsid w:val="63522B7B"/>
    <w:rsid w:val="637C7027"/>
    <w:rsid w:val="63822F68"/>
    <w:rsid w:val="63B612A0"/>
    <w:rsid w:val="643B2E2B"/>
    <w:rsid w:val="646377B2"/>
    <w:rsid w:val="646F3406"/>
    <w:rsid w:val="648F3AA8"/>
    <w:rsid w:val="64AA73DE"/>
    <w:rsid w:val="64BC4674"/>
    <w:rsid w:val="64C62C8C"/>
    <w:rsid w:val="64F04D78"/>
    <w:rsid w:val="6533367E"/>
    <w:rsid w:val="6546685C"/>
    <w:rsid w:val="65960E66"/>
    <w:rsid w:val="65C43C25"/>
    <w:rsid w:val="65E03BBC"/>
    <w:rsid w:val="65E74BDC"/>
    <w:rsid w:val="66056413"/>
    <w:rsid w:val="66087A21"/>
    <w:rsid w:val="663E7D8F"/>
    <w:rsid w:val="666913E6"/>
    <w:rsid w:val="66782817"/>
    <w:rsid w:val="66990C0E"/>
    <w:rsid w:val="66EB7F78"/>
    <w:rsid w:val="66FE0C63"/>
    <w:rsid w:val="670810E0"/>
    <w:rsid w:val="679703A9"/>
    <w:rsid w:val="686D5EAE"/>
    <w:rsid w:val="68727597"/>
    <w:rsid w:val="68BA7285"/>
    <w:rsid w:val="68DF61EC"/>
    <w:rsid w:val="69221585"/>
    <w:rsid w:val="69296D2D"/>
    <w:rsid w:val="6A1231B1"/>
    <w:rsid w:val="6A2B16E6"/>
    <w:rsid w:val="6A3C6480"/>
    <w:rsid w:val="6A3D1481"/>
    <w:rsid w:val="6A87126B"/>
    <w:rsid w:val="6A8E26C8"/>
    <w:rsid w:val="6A985F99"/>
    <w:rsid w:val="6AAB53B4"/>
    <w:rsid w:val="6B00290C"/>
    <w:rsid w:val="6B563853"/>
    <w:rsid w:val="6B5F1F85"/>
    <w:rsid w:val="6B8A5729"/>
    <w:rsid w:val="6BD959FF"/>
    <w:rsid w:val="6C077337"/>
    <w:rsid w:val="6C0A65AA"/>
    <w:rsid w:val="6C5B4482"/>
    <w:rsid w:val="6C5D3FAD"/>
    <w:rsid w:val="6CD23EAC"/>
    <w:rsid w:val="6D282002"/>
    <w:rsid w:val="6D5043D0"/>
    <w:rsid w:val="6D910891"/>
    <w:rsid w:val="6DBB414A"/>
    <w:rsid w:val="6DC27192"/>
    <w:rsid w:val="6DC9002B"/>
    <w:rsid w:val="6DCA7B33"/>
    <w:rsid w:val="6DD53856"/>
    <w:rsid w:val="6E331948"/>
    <w:rsid w:val="6E5D0773"/>
    <w:rsid w:val="6EB94D2B"/>
    <w:rsid w:val="6EC46274"/>
    <w:rsid w:val="6ECF43B5"/>
    <w:rsid w:val="6EEF7CA5"/>
    <w:rsid w:val="6EF56810"/>
    <w:rsid w:val="6F093531"/>
    <w:rsid w:val="6F1E737C"/>
    <w:rsid w:val="6F536C03"/>
    <w:rsid w:val="6F910E15"/>
    <w:rsid w:val="6FA4358C"/>
    <w:rsid w:val="6FB743EE"/>
    <w:rsid w:val="6FEA7A9C"/>
    <w:rsid w:val="700A4AFE"/>
    <w:rsid w:val="70357BF9"/>
    <w:rsid w:val="70860455"/>
    <w:rsid w:val="70E9031C"/>
    <w:rsid w:val="71506AC0"/>
    <w:rsid w:val="715440AF"/>
    <w:rsid w:val="7157446A"/>
    <w:rsid w:val="71C85166"/>
    <w:rsid w:val="71D164E1"/>
    <w:rsid w:val="72313FED"/>
    <w:rsid w:val="723C2395"/>
    <w:rsid w:val="727C7C52"/>
    <w:rsid w:val="72CD2B5D"/>
    <w:rsid w:val="72CE3E8F"/>
    <w:rsid w:val="72F24EC4"/>
    <w:rsid w:val="73870866"/>
    <w:rsid w:val="73C213D9"/>
    <w:rsid w:val="741F0DBF"/>
    <w:rsid w:val="74303A97"/>
    <w:rsid w:val="744C5512"/>
    <w:rsid w:val="74824553"/>
    <w:rsid w:val="74A12790"/>
    <w:rsid w:val="74D377B7"/>
    <w:rsid w:val="74DA4B18"/>
    <w:rsid w:val="751C2F65"/>
    <w:rsid w:val="753D68A2"/>
    <w:rsid w:val="756E20E2"/>
    <w:rsid w:val="75C335B1"/>
    <w:rsid w:val="75D26D5A"/>
    <w:rsid w:val="75FF3EBB"/>
    <w:rsid w:val="765A75F3"/>
    <w:rsid w:val="76771A3A"/>
    <w:rsid w:val="76814CD6"/>
    <w:rsid w:val="768A0573"/>
    <w:rsid w:val="76957881"/>
    <w:rsid w:val="76C7355E"/>
    <w:rsid w:val="77013E9B"/>
    <w:rsid w:val="77423580"/>
    <w:rsid w:val="774821BE"/>
    <w:rsid w:val="776E568D"/>
    <w:rsid w:val="77732DB5"/>
    <w:rsid w:val="77930267"/>
    <w:rsid w:val="77D23F80"/>
    <w:rsid w:val="77ED700C"/>
    <w:rsid w:val="784763DE"/>
    <w:rsid w:val="78481B80"/>
    <w:rsid w:val="78565269"/>
    <w:rsid w:val="787B5441"/>
    <w:rsid w:val="78CE53DF"/>
    <w:rsid w:val="790C34C1"/>
    <w:rsid w:val="793654A6"/>
    <w:rsid w:val="79660E24"/>
    <w:rsid w:val="7970602A"/>
    <w:rsid w:val="798F5005"/>
    <w:rsid w:val="79AB78A4"/>
    <w:rsid w:val="7A023A6F"/>
    <w:rsid w:val="7A073789"/>
    <w:rsid w:val="7A344700"/>
    <w:rsid w:val="7A613399"/>
    <w:rsid w:val="7AB21E46"/>
    <w:rsid w:val="7ADC72D9"/>
    <w:rsid w:val="7B1058A9"/>
    <w:rsid w:val="7B226246"/>
    <w:rsid w:val="7B5A14E8"/>
    <w:rsid w:val="7B797D42"/>
    <w:rsid w:val="7B8A691F"/>
    <w:rsid w:val="7B8F66CE"/>
    <w:rsid w:val="7BFD6A70"/>
    <w:rsid w:val="7C751FB1"/>
    <w:rsid w:val="7C94044F"/>
    <w:rsid w:val="7CA129C3"/>
    <w:rsid w:val="7CD82311"/>
    <w:rsid w:val="7CE86204"/>
    <w:rsid w:val="7CE87DA1"/>
    <w:rsid w:val="7D0246F7"/>
    <w:rsid w:val="7D847772"/>
    <w:rsid w:val="7DBA17B2"/>
    <w:rsid w:val="7DCF1B39"/>
    <w:rsid w:val="7DED2A5C"/>
    <w:rsid w:val="7E0B5B23"/>
    <w:rsid w:val="7E1D267E"/>
    <w:rsid w:val="7E3A63DB"/>
    <w:rsid w:val="7E693B55"/>
    <w:rsid w:val="7EE360E7"/>
    <w:rsid w:val="7F1E2FAB"/>
    <w:rsid w:val="7F436797"/>
    <w:rsid w:val="7F4C6F18"/>
    <w:rsid w:val="7F6A1A59"/>
    <w:rsid w:val="7FD43F1B"/>
    <w:rsid w:val="ABFF953C"/>
    <w:rsid w:val="D7CE509D"/>
    <w:rsid w:val="DD7F5B04"/>
    <w:rsid w:val="DEFFAB89"/>
    <w:rsid w:val="DF929CE6"/>
    <w:rsid w:val="DFD76AA9"/>
    <w:rsid w:val="F1FF3FD4"/>
    <w:rsid w:val="F41F579C"/>
    <w:rsid w:val="FEBF811D"/>
    <w:rsid w:val="FF773C0A"/>
    <w:rsid w:val="FF7A9152"/>
    <w:rsid w:val="FF7FB0C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3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6"/>
    <w:qFormat/>
    <w:uiPriority w:val="9"/>
    <w:pPr>
      <w:keepNext/>
      <w:keepLines/>
      <w:spacing w:before="260" w:after="260" w:line="416" w:lineRule="auto"/>
      <w:outlineLvl w:val="1"/>
    </w:pPr>
    <w:rPr>
      <w:rFonts w:ascii="Cambria" w:hAnsi="Cambria"/>
      <w:b/>
      <w:bCs/>
      <w:kern w:val="0"/>
      <w:sz w:val="32"/>
      <w:szCs w:val="32"/>
    </w:rPr>
  </w:style>
  <w:style w:type="paragraph" w:styleId="5">
    <w:name w:val="heading 3"/>
    <w:basedOn w:val="1"/>
    <w:next w:val="1"/>
    <w:link w:val="37"/>
    <w:qFormat/>
    <w:uiPriority w:val="9"/>
    <w:pPr>
      <w:keepNext/>
      <w:keepLines/>
      <w:spacing w:before="260" w:after="260" w:line="416" w:lineRule="auto"/>
      <w:outlineLvl w:val="2"/>
    </w:pPr>
    <w:rPr>
      <w:b/>
      <w:bCs/>
      <w:kern w:val="0"/>
      <w:sz w:val="32"/>
      <w:szCs w:val="32"/>
    </w:rPr>
  </w:style>
  <w:style w:type="character" w:default="1" w:styleId="21">
    <w:name w:val="Default Paragraph Font"/>
    <w:unhideWhenUsed/>
    <w:qFormat/>
    <w:uiPriority w:val="1"/>
  </w:style>
  <w:style w:type="table" w:default="1" w:styleId="19">
    <w:name w:val="Normal Table"/>
    <w:unhideWhenUsed/>
    <w:qFormat/>
    <w:uiPriority w:val="99"/>
    <w:tblPr>
      <w:tblCellMar>
        <w:top w:w="0" w:type="dxa"/>
        <w:left w:w="108" w:type="dxa"/>
        <w:bottom w:w="0" w:type="dxa"/>
        <w:right w:w="108" w:type="dxa"/>
      </w:tblCellMar>
    </w:tblPr>
  </w:style>
  <w:style w:type="paragraph" w:styleId="2">
    <w:name w:val="Title"/>
    <w:basedOn w:val="1"/>
    <w:next w:val="1"/>
    <w:link w:val="34"/>
    <w:qFormat/>
    <w:uiPriority w:val="10"/>
    <w:pPr>
      <w:spacing w:before="240" w:after="60"/>
      <w:jc w:val="center"/>
      <w:outlineLvl w:val="0"/>
    </w:pPr>
    <w:rPr>
      <w:rFonts w:ascii="Calibri Light" w:hAnsi="Calibri Light"/>
      <w:b/>
      <w:bCs/>
      <w:kern w:val="0"/>
      <w:sz w:val="32"/>
      <w:szCs w:val="32"/>
    </w:rPr>
  </w:style>
  <w:style w:type="paragraph" w:styleId="6">
    <w:name w:val="annotation text"/>
    <w:basedOn w:val="1"/>
    <w:link w:val="38"/>
    <w:unhideWhenUsed/>
    <w:qFormat/>
    <w:uiPriority w:val="99"/>
    <w:pPr>
      <w:jc w:val="left"/>
    </w:pPr>
    <w:rPr>
      <w:kern w:val="0"/>
      <w:sz w:val="20"/>
      <w:szCs w:val="20"/>
    </w:rPr>
  </w:style>
  <w:style w:type="paragraph" w:styleId="7">
    <w:name w:val="Body Text"/>
    <w:basedOn w:val="1"/>
    <w:next w:val="8"/>
    <w:unhideWhenUsed/>
    <w:qFormat/>
    <w:uiPriority w:val="0"/>
    <w:pPr>
      <w:spacing w:line="560" w:lineRule="exact"/>
      <w:ind w:firstLine="960" w:firstLineChars="200"/>
    </w:pPr>
    <w:rPr>
      <w:rFonts w:ascii="仿宋_GB2312" w:hAnsi="仿宋_GB2312" w:eastAsia="仿宋_GB2312"/>
      <w:sz w:val="30"/>
    </w:rPr>
  </w:style>
  <w:style w:type="paragraph" w:styleId="8">
    <w:name w:val="index 9"/>
    <w:basedOn w:val="1"/>
    <w:next w:val="1"/>
    <w:qFormat/>
    <w:uiPriority w:val="0"/>
    <w:pPr>
      <w:ind w:left="3360"/>
    </w:pPr>
    <w:rPr>
      <w:rFonts w:ascii="Calibri" w:hAnsi="Calibri" w:eastAsia="宋体" w:cs="Times New Roman"/>
    </w:rPr>
  </w:style>
  <w:style w:type="paragraph" w:styleId="9">
    <w:name w:val="toc 3"/>
    <w:basedOn w:val="1"/>
    <w:next w:val="1"/>
    <w:unhideWhenUsed/>
    <w:qFormat/>
    <w:uiPriority w:val="39"/>
    <w:pPr>
      <w:ind w:left="840" w:leftChars="400"/>
    </w:pPr>
  </w:style>
  <w:style w:type="paragraph" w:styleId="10">
    <w:name w:val="Date"/>
    <w:basedOn w:val="1"/>
    <w:next w:val="1"/>
    <w:link w:val="39"/>
    <w:unhideWhenUsed/>
    <w:qFormat/>
    <w:uiPriority w:val="99"/>
    <w:pPr>
      <w:ind w:left="100" w:leftChars="2500"/>
    </w:pPr>
    <w:rPr>
      <w:kern w:val="0"/>
      <w:sz w:val="20"/>
      <w:szCs w:val="20"/>
    </w:rPr>
  </w:style>
  <w:style w:type="paragraph" w:styleId="11">
    <w:name w:val="Balloon Text"/>
    <w:basedOn w:val="1"/>
    <w:link w:val="40"/>
    <w:unhideWhenUsed/>
    <w:qFormat/>
    <w:uiPriority w:val="99"/>
    <w:rPr>
      <w:kern w:val="0"/>
      <w:sz w:val="18"/>
      <w:szCs w:val="18"/>
    </w:rPr>
  </w:style>
  <w:style w:type="paragraph" w:styleId="12">
    <w:name w:val="footer"/>
    <w:basedOn w:val="1"/>
    <w:link w:val="41"/>
    <w:unhideWhenUsed/>
    <w:qFormat/>
    <w:uiPriority w:val="99"/>
    <w:pPr>
      <w:tabs>
        <w:tab w:val="center" w:pos="4153"/>
        <w:tab w:val="right" w:pos="8306"/>
      </w:tabs>
      <w:snapToGrid w:val="0"/>
      <w:jc w:val="left"/>
    </w:pPr>
    <w:rPr>
      <w:kern w:val="0"/>
      <w:sz w:val="18"/>
      <w:szCs w:val="18"/>
    </w:rPr>
  </w:style>
  <w:style w:type="paragraph" w:styleId="13">
    <w:name w:val="header"/>
    <w:basedOn w:val="1"/>
    <w:link w:val="42"/>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4">
    <w:name w:val="toc 1"/>
    <w:basedOn w:val="1"/>
    <w:next w:val="1"/>
    <w:qFormat/>
    <w:uiPriority w:val="39"/>
    <w:pPr>
      <w:spacing w:before="360"/>
      <w:jc w:val="left"/>
    </w:pPr>
    <w:rPr>
      <w:rFonts w:ascii="Cambria" w:hAnsi="Cambria" w:eastAsia="仿宋_GB2312"/>
      <w:b/>
      <w:bCs/>
      <w:caps/>
      <w:w w:val="90"/>
      <w:sz w:val="24"/>
      <w:szCs w:val="24"/>
    </w:rPr>
  </w:style>
  <w:style w:type="paragraph" w:styleId="15">
    <w:name w:val="footnote text"/>
    <w:basedOn w:val="1"/>
    <w:link w:val="43"/>
    <w:unhideWhenUsed/>
    <w:qFormat/>
    <w:uiPriority w:val="99"/>
    <w:pPr>
      <w:snapToGrid w:val="0"/>
      <w:jc w:val="left"/>
    </w:pPr>
    <w:rPr>
      <w:kern w:val="0"/>
      <w:sz w:val="18"/>
      <w:szCs w:val="18"/>
    </w:rPr>
  </w:style>
  <w:style w:type="paragraph" w:styleId="16">
    <w:name w:val="toc 2"/>
    <w:basedOn w:val="1"/>
    <w:next w:val="1"/>
    <w:unhideWhenUsed/>
    <w:qFormat/>
    <w:uiPriority w:val="39"/>
    <w:pPr>
      <w:ind w:left="420" w:leftChars="200"/>
    </w:pPr>
  </w:style>
  <w:style w:type="paragraph" w:styleId="1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8">
    <w:name w:val="annotation subject"/>
    <w:basedOn w:val="6"/>
    <w:next w:val="6"/>
    <w:link w:val="44"/>
    <w:unhideWhenUsed/>
    <w:qFormat/>
    <w:uiPriority w:val="99"/>
    <w:pPr>
      <w:spacing w:line="360" w:lineRule="auto"/>
    </w:pPr>
    <w:rPr>
      <w:rFonts w:ascii="Times New Roman" w:hAnsi="Times New Roman" w:eastAsia="仿宋_GB2312"/>
      <w:b/>
      <w:bCs/>
      <w:sz w:val="24"/>
    </w:rPr>
  </w:style>
  <w:style w:type="table" w:styleId="20">
    <w:name w:val="Table Grid"/>
    <w:basedOn w:val="19"/>
    <w:qFormat/>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uiPriority w:val="22"/>
    <w:rPr>
      <w:b/>
    </w:rPr>
  </w:style>
  <w:style w:type="character" w:styleId="23">
    <w:name w:val="FollowedHyperlink"/>
    <w:unhideWhenUsed/>
    <w:qFormat/>
    <w:uiPriority w:val="99"/>
    <w:rPr>
      <w:color w:val="338DE6"/>
      <w:u w:val="none"/>
    </w:rPr>
  </w:style>
  <w:style w:type="character" w:styleId="24">
    <w:name w:val="Emphasis"/>
    <w:qFormat/>
    <w:uiPriority w:val="20"/>
  </w:style>
  <w:style w:type="character" w:styleId="25">
    <w:name w:val="HTML Definition"/>
    <w:unhideWhenUsed/>
    <w:qFormat/>
    <w:uiPriority w:val="99"/>
  </w:style>
  <w:style w:type="character" w:styleId="26">
    <w:name w:val="HTML Variable"/>
    <w:unhideWhenUsed/>
    <w:qFormat/>
    <w:uiPriority w:val="99"/>
  </w:style>
  <w:style w:type="character" w:styleId="27">
    <w:name w:val="Hyperlink"/>
    <w:qFormat/>
    <w:uiPriority w:val="99"/>
    <w:rPr>
      <w:rFonts w:cs="Times New Roman"/>
      <w:color w:val="0000FF"/>
      <w:u w:val="single"/>
    </w:rPr>
  </w:style>
  <w:style w:type="character" w:styleId="28">
    <w:name w:val="HTML Code"/>
    <w:unhideWhenUsed/>
    <w:qFormat/>
    <w:uiPriority w:val="99"/>
    <w:rPr>
      <w:rFonts w:ascii="serif" w:hAnsi="serif" w:eastAsia="serif" w:cs="serif"/>
      <w:sz w:val="21"/>
      <w:szCs w:val="21"/>
    </w:rPr>
  </w:style>
  <w:style w:type="character" w:styleId="29">
    <w:name w:val="annotation reference"/>
    <w:unhideWhenUsed/>
    <w:qFormat/>
    <w:uiPriority w:val="99"/>
    <w:rPr>
      <w:sz w:val="16"/>
      <w:szCs w:val="16"/>
    </w:rPr>
  </w:style>
  <w:style w:type="character" w:styleId="30">
    <w:name w:val="HTML Cite"/>
    <w:unhideWhenUsed/>
    <w:qFormat/>
    <w:uiPriority w:val="99"/>
  </w:style>
  <w:style w:type="character" w:styleId="31">
    <w:name w:val="footnote reference"/>
    <w:unhideWhenUsed/>
    <w:qFormat/>
    <w:uiPriority w:val="99"/>
    <w:rPr>
      <w:vertAlign w:val="superscript"/>
    </w:rPr>
  </w:style>
  <w:style w:type="character" w:styleId="32">
    <w:name w:val="HTML Keyboard"/>
    <w:unhideWhenUsed/>
    <w:qFormat/>
    <w:uiPriority w:val="99"/>
    <w:rPr>
      <w:rFonts w:hint="default" w:ascii="serif" w:hAnsi="serif" w:eastAsia="serif" w:cs="serif"/>
      <w:sz w:val="21"/>
      <w:szCs w:val="21"/>
    </w:rPr>
  </w:style>
  <w:style w:type="character" w:styleId="33">
    <w:name w:val="HTML Sample"/>
    <w:unhideWhenUsed/>
    <w:qFormat/>
    <w:uiPriority w:val="99"/>
    <w:rPr>
      <w:rFonts w:hint="default" w:ascii="serif" w:hAnsi="serif" w:eastAsia="serif" w:cs="serif"/>
      <w:sz w:val="21"/>
      <w:szCs w:val="21"/>
    </w:rPr>
  </w:style>
  <w:style w:type="character" w:customStyle="1" w:styleId="34">
    <w:name w:val="标题 字符"/>
    <w:link w:val="2"/>
    <w:qFormat/>
    <w:uiPriority w:val="10"/>
    <w:rPr>
      <w:rFonts w:ascii="Calibri Light" w:hAnsi="Calibri Light" w:eastAsia="宋体" w:cs="Times New Roman"/>
      <w:b/>
      <w:bCs/>
      <w:sz w:val="32"/>
      <w:szCs w:val="32"/>
    </w:rPr>
  </w:style>
  <w:style w:type="character" w:customStyle="1" w:styleId="35">
    <w:name w:val="标题 1 字符"/>
    <w:link w:val="3"/>
    <w:qFormat/>
    <w:uiPriority w:val="9"/>
    <w:rPr>
      <w:rFonts w:ascii="Calibri" w:hAnsi="Calibri" w:eastAsia="宋体" w:cs="Times New Roman"/>
      <w:b/>
      <w:bCs/>
      <w:kern w:val="44"/>
      <w:sz w:val="44"/>
      <w:szCs w:val="44"/>
    </w:rPr>
  </w:style>
  <w:style w:type="character" w:customStyle="1" w:styleId="36">
    <w:name w:val="标题 2 字符"/>
    <w:link w:val="4"/>
    <w:qFormat/>
    <w:uiPriority w:val="9"/>
    <w:rPr>
      <w:rFonts w:ascii="Cambria" w:hAnsi="Cambria" w:eastAsia="宋体" w:cs="Times New Roman"/>
      <w:b/>
      <w:bCs/>
      <w:sz w:val="32"/>
      <w:szCs w:val="32"/>
    </w:rPr>
  </w:style>
  <w:style w:type="character" w:customStyle="1" w:styleId="37">
    <w:name w:val="标题 3 字符"/>
    <w:link w:val="5"/>
    <w:qFormat/>
    <w:uiPriority w:val="9"/>
    <w:rPr>
      <w:rFonts w:ascii="Calibri" w:hAnsi="Calibri" w:eastAsia="宋体" w:cs="Times New Roman"/>
      <w:b/>
      <w:bCs/>
      <w:sz w:val="32"/>
      <w:szCs w:val="32"/>
    </w:rPr>
  </w:style>
  <w:style w:type="character" w:customStyle="1" w:styleId="38">
    <w:name w:val="批注文字 字符"/>
    <w:link w:val="6"/>
    <w:qFormat/>
    <w:uiPriority w:val="99"/>
    <w:rPr>
      <w:rFonts w:ascii="Calibri" w:hAnsi="Calibri" w:eastAsia="宋体" w:cs="Times New Roman"/>
    </w:rPr>
  </w:style>
  <w:style w:type="character" w:customStyle="1" w:styleId="39">
    <w:name w:val="日期 字符"/>
    <w:link w:val="10"/>
    <w:semiHidden/>
    <w:qFormat/>
    <w:uiPriority w:val="99"/>
    <w:rPr>
      <w:rFonts w:ascii="Calibri" w:hAnsi="Calibri" w:eastAsia="宋体" w:cs="Times New Roman"/>
    </w:rPr>
  </w:style>
  <w:style w:type="character" w:customStyle="1" w:styleId="40">
    <w:name w:val="批注框文本 字符"/>
    <w:link w:val="11"/>
    <w:semiHidden/>
    <w:qFormat/>
    <w:uiPriority w:val="99"/>
    <w:rPr>
      <w:rFonts w:ascii="Calibri" w:hAnsi="Calibri" w:eastAsia="宋体" w:cs="Times New Roman"/>
      <w:sz w:val="18"/>
      <w:szCs w:val="18"/>
    </w:rPr>
  </w:style>
  <w:style w:type="character" w:customStyle="1" w:styleId="41">
    <w:name w:val="页脚 字符"/>
    <w:link w:val="12"/>
    <w:qFormat/>
    <w:uiPriority w:val="99"/>
    <w:rPr>
      <w:rFonts w:ascii="Calibri" w:hAnsi="Calibri" w:eastAsia="宋体" w:cs="Times New Roman"/>
      <w:sz w:val="18"/>
      <w:szCs w:val="18"/>
    </w:rPr>
  </w:style>
  <w:style w:type="character" w:customStyle="1" w:styleId="42">
    <w:name w:val="页眉 字符"/>
    <w:link w:val="13"/>
    <w:qFormat/>
    <w:uiPriority w:val="99"/>
    <w:rPr>
      <w:rFonts w:ascii="Calibri" w:hAnsi="Calibri" w:eastAsia="宋体" w:cs="Times New Roman"/>
      <w:sz w:val="18"/>
      <w:szCs w:val="18"/>
    </w:rPr>
  </w:style>
  <w:style w:type="character" w:customStyle="1" w:styleId="43">
    <w:name w:val="脚注文本 字符"/>
    <w:link w:val="15"/>
    <w:semiHidden/>
    <w:qFormat/>
    <w:uiPriority w:val="99"/>
    <w:rPr>
      <w:rFonts w:ascii="Calibri" w:hAnsi="Calibri" w:eastAsia="宋体" w:cs="Times New Roman"/>
      <w:sz w:val="18"/>
      <w:szCs w:val="18"/>
    </w:rPr>
  </w:style>
  <w:style w:type="character" w:customStyle="1" w:styleId="44">
    <w:name w:val="批注主题 字符"/>
    <w:link w:val="18"/>
    <w:semiHidden/>
    <w:qFormat/>
    <w:uiPriority w:val="99"/>
    <w:rPr>
      <w:rFonts w:ascii="Times New Roman" w:hAnsi="Times New Roman" w:eastAsia="仿宋_GB2312" w:cs="Times New Roman"/>
      <w:b/>
      <w:bCs/>
      <w:sz w:val="24"/>
    </w:rPr>
  </w:style>
  <w:style w:type="paragraph" w:customStyle="1" w:styleId="45">
    <w:name w:val="index 91"/>
    <w:basedOn w:val="1"/>
    <w:next w:val="1"/>
    <w:qFormat/>
    <w:uiPriority w:val="0"/>
    <w:pPr>
      <w:ind w:left="3360"/>
    </w:pPr>
  </w:style>
  <w:style w:type="character" w:customStyle="1" w:styleId="46">
    <w:name w:val="标题 Char1"/>
    <w:qFormat/>
    <w:uiPriority w:val="10"/>
    <w:rPr>
      <w:rFonts w:ascii="Cambria" w:hAnsi="Cambria" w:eastAsia="宋体" w:cs="Times New Roman"/>
      <w:b/>
      <w:bCs/>
      <w:sz w:val="32"/>
      <w:szCs w:val="32"/>
    </w:rPr>
  </w:style>
  <w:style w:type="character" w:customStyle="1" w:styleId="47">
    <w:name w:val="fontborder"/>
    <w:qFormat/>
    <w:uiPriority w:val="0"/>
    <w:rPr>
      <w:bdr w:val="single" w:color="000000" w:sz="4" w:space="0"/>
    </w:rPr>
  </w:style>
  <w:style w:type="character" w:customStyle="1" w:styleId="48">
    <w:name w:val="fontstrikethrough"/>
    <w:qFormat/>
    <w:uiPriority w:val="0"/>
    <w:rPr>
      <w:strike/>
    </w:rPr>
  </w:style>
  <w:style w:type="character" w:customStyle="1" w:styleId="49">
    <w:name w:val="font21"/>
    <w:qFormat/>
    <w:uiPriority w:val="0"/>
    <w:rPr>
      <w:rFonts w:hint="eastAsia" w:ascii="仿宋" w:hAnsi="仿宋" w:eastAsia="仿宋" w:cs="仿宋"/>
      <w:color w:val="000000"/>
      <w:sz w:val="28"/>
      <w:szCs w:val="28"/>
      <w:u w:val="none"/>
    </w:rPr>
  </w:style>
  <w:style w:type="character" w:customStyle="1" w:styleId="50">
    <w:name w:val="font61"/>
    <w:qFormat/>
    <w:uiPriority w:val="0"/>
    <w:rPr>
      <w:rFonts w:hint="eastAsia" w:ascii="宋体" w:hAnsi="宋体" w:eastAsia="宋体" w:cs="宋体"/>
      <w:color w:val="FF0000"/>
      <w:sz w:val="20"/>
      <w:szCs w:val="20"/>
      <w:u w:val="none"/>
    </w:rPr>
  </w:style>
  <w:style w:type="character" w:customStyle="1" w:styleId="51">
    <w:name w:val="批注文字 Char"/>
    <w:semiHidden/>
    <w:qFormat/>
    <w:uiPriority w:val="99"/>
    <w:rPr>
      <w:rFonts w:ascii="Times New Roman" w:hAnsi="Times New Roman" w:eastAsia="仿宋_GB2312"/>
      <w:sz w:val="24"/>
    </w:rPr>
  </w:style>
  <w:style w:type="character" w:customStyle="1" w:styleId="52">
    <w:name w:val="font41"/>
    <w:qFormat/>
    <w:uiPriority w:val="0"/>
    <w:rPr>
      <w:rFonts w:hint="eastAsia" w:ascii="仿宋" w:hAnsi="仿宋" w:eastAsia="仿宋" w:cs="仿宋"/>
      <w:color w:val="000000"/>
      <w:sz w:val="28"/>
      <w:szCs w:val="28"/>
      <w:u w:val="none"/>
    </w:rPr>
  </w:style>
  <w:style w:type="character" w:customStyle="1" w:styleId="53">
    <w:name w:val="font01"/>
    <w:qFormat/>
    <w:uiPriority w:val="0"/>
    <w:rPr>
      <w:rFonts w:hint="eastAsia" w:ascii="仿宋" w:hAnsi="仿宋" w:eastAsia="仿宋" w:cs="仿宋"/>
      <w:color w:val="000000"/>
      <w:sz w:val="28"/>
      <w:szCs w:val="28"/>
      <w:u w:val="none"/>
    </w:rPr>
  </w:style>
  <w:style w:type="character" w:customStyle="1" w:styleId="54">
    <w:name w:val="font11"/>
    <w:qFormat/>
    <w:uiPriority w:val="0"/>
    <w:rPr>
      <w:rFonts w:hint="eastAsia" w:ascii="仿宋" w:hAnsi="仿宋" w:eastAsia="仿宋" w:cs="仿宋"/>
      <w:color w:val="000000"/>
      <w:sz w:val="28"/>
      <w:szCs w:val="28"/>
      <w:u w:val="none"/>
    </w:rPr>
  </w:style>
  <w:style w:type="character" w:customStyle="1" w:styleId="55">
    <w:name w:val="Placeholder Text"/>
    <w:semiHidden/>
    <w:qFormat/>
    <w:uiPriority w:val="99"/>
    <w:rPr>
      <w:color w:val="808080"/>
    </w:rPr>
  </w:style>
  <w:style w:type="character" w:customStyle="1" w:styleId="56">
    <w:name w:val="font31"/>
    <w:qFormat/>
    <w:uiPriority w:val="0"/>
    <w:rPr>
      <w:rFonts w:hint="eastAsia" w:ascii="仿宋" w:hAnsi="仿宋" w:eastAsia="仿宋" w:cs="仿宋"/>
      <w:color w:val="000000"/>
      <w:sz w:val="28"/>
      <w:szCs w:val="28"/>
      <w:u w:val="none"/>
    </w:rPr>
  </w:style>
  <w:style w:type="paragraph" w:customStyle="1" w:styleId="57">
    <w:name w:val="_Style 3"/>
    <w:basedOn w:val="1"/>
    <w:next w:val="58"/>
    <w:unhideWhenUsed/>
    <w:qFormat/>
    <w:uiPriority w:val="99"/>
    <w:pPr>
      <w:spacing w:line="360" w:lineRule="auto"/>
      <w:ind w:firstLine="420" w:firstLineChars="200"/>
      <w:jc w:val="left"/>
    </w:pPr>
    <w:rPr>
      <w:rFonts w:ascii="Times New Roman" w:hAnsi="Times New Roman" w:eastAsia="仿宋"/>
      <w:sz w:val="32"/>
      <w:szCs w:val="24"/>
      <w:lang w:eastAsia="zh-TW"/>
    </w:rPr>
  </w:style>
  <w:style w:type="paragraph" w:customStyle="1" w:styleId="58">
    <w:name w:val="列表段落1"/>
    <w:basedOn w:val="1"/>
    <w:qFormat/>
    <w:uiPriority w:val="34"/>
    <w:pPr>
      <w:ind w:firstLine="420" w:firstLineChars="200"/>
    </w:pPr>
  </w:style>
  <w:style w:type="paragraph" w:customStyle="1" w:styleId="59">
    <w:name w:val="标题1"/>
    <w:basedOn w:val="1"/>
    <w:next w:val="1"/>
    <w:qFormat/>
    <w:uiPriority w:val="10"/>
    <w:pPr>
      <w:keepLines/>
      <w:spacing w:before="240" w:after="60" w:line="360" w:lineRule="auto"/>
      <w:jc w:val="left"/>
      <w:outlineLvl w:val="2"/>
    </w:pPr>
    <w:rPr>
      <w:rFonts w:ascii="Calibri Light" w:hAnsi="Calibri Light"/>
      <w:b/>
      <w:bCs/>
      <w:sz w:val="32"/>
      <w:szCs w:val="32"/>
    </w:rPr>
  </w:style>
  <w:style w:type="paragraph" w:customStyle="1" w:styleId="60">
    <w:name w:val="批注文字1"/>
    <w:basedOn w:val="1"/>
    <w:next w:val="6"/>
    <w:unhideWhenUsed/>
    <w:qFormat/>
    <w:uiPriority w:val="99"/>
    <w:pPr>
      <w:widowControl/>
      <w:spacing w:after="200" w:line="276" w:lineRule="auto"/>
      <w:jc w:val="left"/>
    </w:pPr>
  </w:style>
  <w:style w:type="paragraph" w:customStyle="1" w:styleId="61">
    <w:name w:val="List Paragraph"/>
    <w:basedOn w:val="1"/>
    <w:qFormat/>
    <w:uiPriority w:val="34"/>
    <w:pPr>
      <w:ind w:firstLine="420" w:firstLineChars="200"/>
    </w:pPr>
    <w:rPr>
      <w:rFonts w:ascii="Calibri" w:hAnsi="Calibri" w:eastAsia="宋体" w:cs="Times New Roman"/>
    </w:rPr>
  </w:style>
  <w:style w:type="table" w:customStyle="1" w:styleId="62">
    <w:name w:val="网格型1"/>
    <w:basedOn w:val="19"/>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
    <w:name w:val="网格型2"/>
    <w:basedOn w:val="19"/>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4">
    <w:name w:val="NormalCharacter"/>
    <w:semiHidden/>
    <w:qFormat/>
    <w:uiPriority w:val="0"/>
    <w:rPr>
      <w:rFonts w:ascii="Calibri" w:hAnsi="Calibri" w:eastAsia="宋体"/>
      <w:kern w:val="2"/>
      <w:sz w:val="21"/>
      <w:szCs w:val="24"/>
      <w:lang w:val="en-US" w:eastAsia="zh-CN" w:bidi="ar-SA"/>
    </w:rPr>
  </w:style>
  <w:style w:type="paragraph" w:customStyle="1" w:styleId="65">
    <w:name w:val="WPSOffice手动目录 1"/>
    <w:qFormat/>
    <w:uiPriority w:val="0"/>
    <w:rPr>
      <w:rFonts w:ascii="Times New Roman" w:hAnsi="Times New Roman" w:eastAsia="宋体" w:cs="Times New Roman"/>
      <w:lang w:val="en-US" w:eastAsia="zh-CN" w:bidi="ar-SA"/>
    </w:rPr>
  </w:style>
  <w:style w:type="character" w:customStyle="1" w:styleId="66">
    <w:name w:val="font81"/>
    <w:uiPriority w:val="0"/>
    <w:rPr>
      <w:rFonts w:hint="eastAsia" w:ascii="宋体" w:hAnsi="宋体" w:eastAsia="宋体" w:cs="宋体"/>
      <w:color w:val="000000"/>
      <w:sz w:val="20"/>
      <w:szCs w:val="20"/>
      <w:u w:val="none"/>
    </w:rPr>
  </w:style>
  <w:style w:type="character" w:customStyle="1" w:styleId="67">
    <w:name w:val="font101"/>
    <w:uiPriority w:val="0"/>
    <w:rPr>
      <w:rFonts w:ascii="等线" w:hAnsi="等线" w:eastAsia="等线" w:cs="等线"/>
      <w:color w:val="000000"/>
      <w:sz w:val="21"/>
      <w:szCs w:val="21"/>
      <w:u w:val="none"/>
    </w:rPr>
  </w:style>
  <w:style w:type="character" w:customStyle="1" w:styleId="68">
    <w:name w:val="font71"/>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12256</Words>
  <Characters>13694</Characters>
  <Lines>110</Lines>
  <Paragraphs>31</Paragraphs>
  <TotalTime>8</TotalTime>
  <ScaleCrop>false</ScaleCrop>
  <LinksUpToDate>false</LinksUpToDate>
  <CharactersWithSpaces>13729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2021-05-29T23:30:00Z</dcterms:created>
  <dc:creator>admin</dc:creator>
  <cp:lastModifiedBy>杨勇</cp:lastModifiedBy>
  <cp:lastPrinted>2023-08-25T07:34:00Z</cp:lastPrinted>
  <dcterms:modified xsi:type="dcterms:W3CDTF">2023-10-17T02:23:11Z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804FD73686464FCEB18E6130B5176D41_13</vt:lpwstr>
  </property>
</Properties>
</file>