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outlineLvl w:val="9"/>
        <w:rPr>
          <w:rFonts w:hint="eastAsia"/>
        </w:rPr>
      </w:pPr>
    </w:p>
    <w:p>
      <w:pPr>
        <w:widowControl/>
        <w:spacing w:before="156" w:beforeLines="50" w:line="360" w:lineRule="auto"/>
        <w:jc w:val="center"/>
        <w:rPr>
          <w:rFonts w:hint="eastAsia" w:ascii="楷体" w:hAnsi="楷体" w:eastAsia="楷体"/>
          <w:b/>
          <w:sz w:val="44"/>
          <w:szCs w:val="44"/>
          <w:lang w:bidi="ar"/>
        </w:rPr>
      </w:pPr>
    </w:p>
    <w:p>
      <w:pPr>
        <w:widowControl/>
        <w:spacing w:before="156" w:beforeLines="50" w:line="360" w:lineRule="auto"/>
        <w:jc w:val="center"/>
        <w:rPr>
          <w:rFonts w:hint="eastAsia" w:ascii="楷体" w:hAnsi="楷体" w:eastAsia="楷体"/>
          <w:b/>
          <w:sz w:val="44"/>
          <w:szCs w:val="44"/>
          <w:lang w:bidi="ar"/>
        </w:rPr>
      </w:pPr>
    </w:p>
    <w:p>
      <w:pPr>
        <w:widowControl/>
        <w:spacing w:before="156" w:beforeLines="50" w:line="360" w:lineRule="auto"/>
        <w:jc w:val="center"/>
        <w:rPr>
          <w:rFonts w:hint="eastAsia" w:ascii="楷体" w:hAnsi="楷体" w:eastAsia="楷体"/>
          <w:b/>
          <w:sz w:val="44"/>
          <w:szCs w:val="44"/>
          <w:lang w:bidi="ar"/>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楷体" w:hAnsi="楷体" w:eastAsia="楷体"/>
          <w:b/>
          <w:sz w:val="36"/>
          <w:szCs w:val="36"/>
          <w:lang w:bidi="ar"/>
        </w:rPr>
      </w:pPr>
      <w:r>
        <w:rPr>
          <w:rFonts w:hint="eastAsia" w:ascii="楷体" w:hAnsi="楷体" w:eastAsia="楷体"/>
          <w:b/>
          <w:sz w:val="36"/>
          <w:szCs w:val="36"/>
          <w:lang w:bidi="ar"/>
        </w:rPr>
        <w:t>伊金霍洛旗文化旅游产业投资集团有限责任公司</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楷体" w:hAnsi="楷体" w:eastAsia="楷体"/>
          <w:b/>
          <w:sz w:val="36"/>
          <w:szCs w:val="36"/>
          <w:lang w:val="zh-CN" w:bidi="ar"/>
        </w:rPr>
      </w:pPr>
      <w:r>
        <w:rPr>
          <w:rFonts w:hint="eastAsia" w:ascii="楷体" w:hAnsi="楷体" w:eastAsia="楷体"/>
          <w:b/>
          <w:sz w:val="36"/>
          <w:szCs w:val="36"/>
          <w:lang w:bidi="ar"/>
        </w:rPr>
        <w:t>财政预算资金</w:t>
      </w:r>
      <w:r>
        <w:rPr>
          <w:rFonts w:hint="eastAsia" w:ascii="楷体" w:hAnsi="楷体" w:eastAsia="楷体"/>
          <w:b/>
          <w:sz w:val="36"/>
          <w:szCs w:val="36"/>
          <w:lang w:val="zh-CN" w:bidi="ar"/>
        </w:rPr>
        <w:t>绩效评价报告</w:t>
      </w: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ascii="楷体" w:hAnsi="楷体" w:eastAsia="楷体"/>
          <w:b/>
          <w:sz w:val="44"/>
          <w:szCs w:val="44"/>
        </w:rPr>
      </w:pPr>
      <w:r>
        <w:rPr>
          <w:rFonts w:hint="eastAsia" w:ascii="楷体" w:hAnsi="楷体" w:eastAsia="楷体"/>
          <w:b/>
          <w:sz w:val="44"/>
          <w:szCs w:val="44"/>
          <w:lang w:bidi="ar"/>
        </w:rPr>
        <w:t>内蒙古东衡政同咨询管理有限公司</w:t>
      </w:r>
    </w:p>
    <w:p>
      <w:pPr>
        <w:spacing w:line="600" w:lineRule="exact"/>
        <w:jc w:val="center"/>
        <w:rPr>
          <w:rFonts w:hint="eastAsia" w:ascii="楷体" w:hAnsi="楷体" w:eastAsia="楷体"/>
          <w:b/>
          <w:sz w:val="44"/>
          <w:szCs w:val="44"/>
          <w:lang w:bidi="ar"/>
        </w:rPr>
      </w:pPr>
    </w:p>
    <w:p>
      <w:pPr>
        <w:spacing w:line="600" w:lineRule="exact"/>
        <w:jc w:val="center"/>
        <w:rPr>
          <w:rFonts w:hint="eastAsia" w:ascii="仿宋" w:hAnsi="仿宋" w:eastAsia="仿宋" w:cs="仿宋"/>
          <w:bCs/>
          <w:caps/>
          <w:sz w:val="30"/>
          <w:szCs w:val="30"/>
        </w:rPr>
        <w:sectPr>
          <w:headerReference r:id="rId4" w:type="first"/>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spacing w:line="360" w:lineRule="auto"/>
        <w:jc w:val="center"/>
        <w:rPr>
          <w:rFonts w:hint="eastAsia" w:ascii="楷体" w:hAnsi="楷体" w:eastAsia="楷体"/>
          <w:b/>
          <w:sz w:val="36"/>
          <w:szCs w:val="36"/>
          <w:lang w:val="zh-CN" w:bidi="ar"/>
        </w:rPr>
      </w:pPr>
      <w:r>
        <w:rPr>
          <w:rFonts w:hint="eastAsia" w:ascii="仿宋_GB2312" w:hAnsi="仿宋_GB2312" w:eastAsia="仿宋_GB2312" w:cs="仿宋_GB2312"/>
          <w:b/>
          <w:sz w:val="36"/>
          <w:szCs w:val="36"/>
          <w:lang w:bidi="ar"/>
        </w:rPr>
        <w:t>财政预算资金</w:t>
      </w:r>
      <w:r>
        <w:rPr>
          <w:rFonts w:hint="eastAsia" w:ascii="仿宋_GB2312" w:hAnsi="仿宋_GB2312" w:eastAsia="仿宋_GB2312" w:cs="仿宋_GB2312"/>
          <w:b/>
          <w:sz w:val="36"/>
          <w:szCs w:val="36"/>
          <w:lang w:val="zh-CN" w:bidi="ar"/>
        </w:rPr>
        <w:t>绩效评价报告</w:t>
      </w:r>
    </w:p>
    <w:p>
      <w:pPr>
        <w:spacing w:line="360" w:lineRule="auto"/>
        <w:ind w:firstLine="600" w:firstLineChars="200"/>
        <w:jc w:val="left"/>
        <w:rPr>
          <w:rFonts w:hint="eastAsia" w:ascii="仿宋" w:hAnsi="仿宋" w:eastAsia="仿宋" w:cs="仿宋"/>
          <w:bCs/>
          <w:kern w:val="0"/>
          <w:sz w:val="30"/>
          <w:szCs w:val="30"/>
        </w:rPr>
      </w:pPr>
      <w:r>
        <w:rPr>
          <w:rFonts w:hint="eastAsia" w:ascii="仿宋" w:hAnsi="仿宋" w:eastAsia="仿宋" w:cs="仿宋"/>
          <w:bCs/>
          <w:kern w:val="0"/>
          <w:sz w:val="30"/>
          <w:szCs w:val="30"/>
        </w:rPr>
        <w:t>为推动国有企业提高经营管理水平，发挥绩效评价工作的全面评判、管理诊断和行为引导作用，</w:t>
      </w:r>
      <w:r>
        <w:rPr>
          <w:rFonts w:hint="eastAsia" w:ascii="仿宋" w:hAnsi="仿宋" w:eastAsia="仿宋" w:cs="仿宋"/>
          <w:kern w:val="0"/>
          <w:sz w:val="30"/>
          <w:szCs w:val="30"/>
        </w:rPr>
        <w:t>根据《中央企业综合绩效评价管理暂行办法》《内蒙古自治区本级国有资本经营预算支出管理办法》《鄂尔多斯市本级国有资本经营预算支出管理暂行办法》《伊金霍洛旗人民政府办公</w:t>
      </w:r>
      <w:bookmarkStart w:id="10" w:name="_GoBack"/>
      <w:bookmarkEnd w:id="10"/>
      <w:r>
        <w:rPr>
          <w:rFonts w:hint="eastAsia" w:ascii="仿宋" w:hAnsi="仿宋" w:eastAsia="仿宋" w:cs="仿宋"/>
          <w:kern w:val="0"/>
          <w:sz w:val="30"/>
          <w:szCs w:val="30"/>
        </w:rPr>
        <w:t>室关于印发全面实施预算绩效管理意见的通知》《伊金霍洛旗国有企业领导人员经营业绩考核办法》《伊金霍洛旗绩效评价税收服务中心关于开展财政预算资金绩效评价工作的通知》等相关规定</w:t>
      </w:r>
      <w:r>
        <w:rPr>
          <w:rFonts w:hint="eastAsia" w:ascii="仿宋" w:hAnsi="仿宋" w:eastAsia="仿宋" w:cs="仿宋"/>
          <w:bCs/>
          <w:kern w:val="0"/>
          <w:sz w:val="30"/>
          <w:szCs w:val="30"/>
        </w:rPr>
        <w:t>，内蒙古东衡政同咨询管理有限公司接受委托，成立绩效评价工作组，于2023年2月1日至2023年</w:t>
      </w:r>
      <w:r>
        <w:rPr>
          <w:rFonts w:hint="eastAsia" w:ascii="仿宋" w:hAnsi="仿宋" w:eastAsia="仿宋" w:cs="仿宋"/>
          <w:bCs/>
          <w:kern w:val="0"/>
          <w:sz w:val="30"/>
          <w:szCs w:val="30"/>
          <w:lang w:val="en-US" w:eastAsia="zh-CN"/>
        </w:rPr>
        <w:t>8</w:t>
      </w:r>
      <w:r>
        <w:rPr>
          <w:rFonts w:hint="eastAsia" w:ascii="仿宋" w:hAnsi="仿宋" w:eastAsia="仿宋" w:cs="仿宋"/>
          <w:bCs/>
          <w:kern w:val="0"/>
          <w:sz w:val="30"/>
          <w:szCs w:val="30"/>
        </w:rPr>
        <w:t>月31日，对</w:t>
      </w:r>
      <w:r>
        <w:rPr>
          <w:rFonts w:hint="eastAsia" w:ascii="仿宋" w:hAnsi="仿宋" w:eastAsia="仿宋" w:cs="仿宋"/>
          <w:color w:val="000000"/>
          <w:sz w:val="30"/>
          <w:szCs w:val="30"/>
        </w:rPr>
        <w:t>伊金霍洛旗文化旅游产业投资集团有限责任公司</w:t>
      </w:r>
      <w:r>
        <w:rPr>
          <w:rFonts w:hint="eastAsia" w:ascii="仿宋" w:hAnsi="仿宋" w:eastAsia="仿宋" w:cs="仿宋"/>
          <w:bCs/>
          <w:kern w:val="0"/>
          <w:sz w:val="30"/>
          <w:szCs w:val="30"/>
        </w:rPr>
        <w:t>(以下简称“文旅集团”)2021年</w:t>
      </w:r>
      <w:r>
        <w:rPr>
          <w:rFonts w:hint="eastAsia" w:ascii="仿宋" w:hAnsi="仿宋" w:eastAsia="仿宋" w:cs="仿宋"/>
          <w:bCs/>
          <w:kern w:val="0"/>
          <w:sz w:val="30"/>
          <w:szCs w:val="30"/>
          <w:lang w:val="en-US" w:eastAsia="zh-CN"/>
        </w:rPr>
        <w:t>至</w:t>
      </w:r>
      <w:r>
        <w:rPr>
          <w:rFonts w:hint="eastAsia" w:ascii="仿宋" w:hAnsi="仿宋" w:eastAsia="仿宋" w:cs="仿宋"/>
          <w:bCs/>
          <w:kern w:val="0"/>
          <w:sz w:val="30"/>
          <w:szCs w:val="30"/>
        </w:rPr>
        <w:t>2022年国有企业财政预算资金进行了绩效评价。</w:t>
      </w:r>
    </w:p>
    <w:p>
      <w:pPr>
        <w:spacing w:line="360" w:lineRule="auto"/>
        <w:ind w:firstLine="600" w:firstLineChars="200"/>
        <w:jc w:val="left"/>
        <w:rPr>
          <w:rFonts w:hint="eastAsia" w:ascii="仿宋" w:hAnsi="仿宋" w:eastAsia="仿宋" w:cs="仿宋"/>
          <w:bCs/>
          <w:kern w:val="0"/>
          <w:sz w:val="30"/>
          <w:szCs w:val="30"/>
        </w:rPr>
      </w:pPr>
      <w:r>
        <w:rPr>
          <w:rFonts w:hint="eastAsia" w:ascii="仿宋" w:hAnsi="仿宋" w:eastAsia="仿宋" w:cs="仿宋"/>
          <w:bCs/>
          <w:kern w:val="0"/>
          <w:sz w:val="30"/>
          <w:szCs w:val="30"/>
        </w:rPr>
        <w:t>原则上，国有企业财政预算资金</w:t>
      </w:r>
      <w:r>
        <w:rPr>
          <w:rFonts w:hint="eastAsia" w:ascii="仿宋" w:hAnsi="仿宋" w:eastAsia="仿宋" w:cs="仿宋"/>
          <w:bCs/>
          <w:caps/>
          <w:sz w:val="30"/>
          <w:szCs w:val="30"/>
        </w:rPr>
        <w:t>涉及企业经营业绩方面的</w:t>
      </w:r>
      <w:r>
        <w:rPr>
          <w:rFonts w:hint="eastAsia" w:ascii="仿宋" w:hAnsi="仿宋" w:eastAsia="仿宋" w:cs="仿宋"/>
          <w:bCs/>
          <w:kern w:val="0"/>
          <w:sz w:val="30"/>
          <w:szCs w:val="30"/>
        </w:rPr>
        <w:t>应当以经社会中介机构或企业内部审计机构审计后的财务会计报告为基础，但本次评价时，文旅集团还未进行2022年度财务报表审计，故本次以文旅集团提供的2022年合并财务报表为基础进行评价。</w:t>
      </w:r>
    </w:p>
    <w:p>
      <w:pPr>
        <w:spacing w:line="360" w:lineRule="auto"/>
        <w:ind w:firstLine="602" w:firstLineChars="200"/>
        <w:jc w:val="left"/>
        <w:outlineLvl w:val="0"/>
        <w:rPr>
          <w:rFonts w:eastAsia="黑体"/>
          <w:b/>
          <w:sz w:val="30"/>
          <w:szCs w:val="30"/>
        </w:rPr>
      </w:pPr>
      <w:bookmarkStart w:id="0" w:name="_Toc42518858"/>
      <w:r>
        <w:rPr>
          <w:rFonts w:eastAsia="黑体"/>
          <w:b/>
          <w:sz w:val="30"/>
          <w:szCs w:val="30"/>
        </w:rPr>
        <w:t>一、基本情况</w:t>
      </w:r>
      <w:bookmarkEnd w:id="0"/>
      <w:bookmarkStart w:id="1" w:name="_Toc42518859"/>
      <w:bookmarkStart w:id="2" w:name="_Toc24445954"/>
    </w:p>
    <w:p>
      <w:pPr>
        <w:ind w:firstLine="602" w:firstLineChars="200"/>
        <w:jc w:val="left"/>
        <w:outlineLvl w:val="1"/>
        <w:rPr>
          <w:rFonts w:ascii="楷体" w:hAnsi="楷体" w:eastAsia="楷体"/>
          <w:b/>
          <w:sz w:val="30"/>
          <w:szCs w:val="30"/>
        </w:rPr>
      </w:pPr>
      <w:r>
        <w:rPr>
          <w:rFonts w:ascii="楷体" w:hAnsi="楷体" w:eastAsia="楷体"/>
          <w:b/>
          <w:sz w:val="30"/>
          <w:szCs w:val="30"/>
        </w:rPr>
        <w:t>（一）</w:t>
      </w:r>
      <w:bookmarkEnd w:id="1"/>
      <w:bookmarkEnd w:id="2"/>
      <w:r>
        <w:rPr>
          <w:rFonts w:hint="eastAsia" w:ascii="楷体" w:hAnsi="楷体" w:eastAsia="楷体"/>
          <w:b/>
          <w:sz w:val="30"/>
          <w:szCs w:val="30"/>
        </w:rPr>
        <w:t>企业基本情况</w:t>
      </w:r>
    </w:p>
    <w:p>
      <w:pPr>
        <w:adjustRightInd w:val="0"/>
        <w:snapToGrid w:val="0"/>
        <w:spacing w:line="360" w:lineRule="auto"/>
        <w:ind w:firstLine="602" w:firstLineChars="200"/>
        <w:outlineLvl w:val="2"/>
        <w:rPr>
          <w:rFonts w:hint="eastAsia" w:ascii="仿宋" w:hAnsi="仿宋" w:eastAsia="仿宋" w:cs="仿宋"/>
          <w:b/>
          <w:caps/>
          <w:sz w:val="30"/>
          <w:szCs w:val="30"/>
        </w:rPr>
      </w:pPr>
      <w:r>
        <w:rPr>
          <w:rFonts w:hint="eastAsia" w:ascii="仿宋" w:hAnsi="仿宋" w:eastAsia="仿宋" w:cs="仿宋"/>
          <w:b/>
          <w:caps/>
          <w:sz w:val="30"/>
          <w:szCs w:val="30"/>
        </w:rPr>
        <w:t>1.企业概况</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文旅集团是经伊金霍洛旗人民政府批准，由伊金霍洛旗国有资产管理委员会投资设立的国有独资公司。公司成立于2016年2月5日，注册资本金20亿元人民币，公司经营范围：旅游产品开发、旅游线路策划、旅游客源组织、旅行社业务拓展、旅游商品开发销售、景区经营管理、酒店经营管理、旅游电子商务、旅游交通客运、旅游项目建设投资、户外广告牌制作经营、企业营销策划、企业形象策划、会议及展览服务、教育培训、组织国内文化艺术交流，设计、制作、代理、发布国内各类广告，承担伊金霍洛旗文化和旅游局委托的相关旅游服务公共职能。</w:t>
      </w:r>
    </w:p>
    <w:p>
      <w:pPr>
        <w:spacing w:line="360" w:lineRule="auto"/>
        <w:ind w:firstLine="602" w:firstLineChars="200"/>
        <w:jc w:val="left"/>
        <w:rPr>
          <w:rFonts w:hint="eastAsia" w:ascii="仿宋" w:hAnsi="仿宋" w:eastAsia="仿宋" w:cs="仿宋"/>
          <w:b/>
          <w:bCs w:val="0"/>
          <w:kern w:val="0"/>
          <w:sz w:val="30"/>
          <w:szCs w:val="30"/>
        </w:rPr>
      </w:pPr>
      <w:r>
        <w:rPr>
          <w:rFonts w:hint="eastAsia" w:ascii="仿宋" w:hAnsi="仿宋" w:eastAsia="仿宋" w:cs="仿宋"/>
          <w:b/>
          <w:bCs w:val="0"/>
          <w:kern w:val="0"/>
          <w:sz w:val="30"/>
          <w:szCs w:val="30"/>
        </w:rPr>
        <w:t>2.企业机构设置</w:t>
      </w:r>
    </w:p>
    <w:p>
      <w:pPr>
        <w:spacing w:line="360" w:lineRule="auto"/>
        <w:ind w:firstLine="602" w:firstLineChars="200"/>
        <w:jc w:val="left"/>
        <w:rPr>
          <w:rFonts w:hint="eastAsia" w:ascii="仿宋" w:hAnsi="仿宋" w:eastAsia="仿宋" w:cs="仿宋"/>
          <w:bCs/>
          <w:kern w:val="0"/>
          <w:sz w:val="30"/>
          <w:szCs w:val="30"/>
        </w:rPr>
      </w:pPr>
      <w:r>
        <w:rPr>
          <w:rFonts w:hint="eastAsia" w:ascii="仿宋" w:hAnsi="仿宋" w:eastAsia="仿宋" w:cs="仿宋"/>
          <w:b/>
          <w:bCs w:val="0"/>
          <w:kern w:val="0"/>
          <w:sz w:val="30"/>
          <w:szCs w:val="30"/>
        </w:rPr>
        <w:t>一是内设机构。</w:t>
      </w:r>
      <w:r>
        <w:rPr>
          <w:rFonts w:hint="eastAsia" w:ascii="仿宋" w:hAnsi="仿宋" w:eastAsia="仿宋" w:cs="仿宋"/>
          <w:bCs/>
          <w:kern w:val="0"/>
          <w:sz w:val="30"/>
          <w:szCs w:val="30"/>
        </w:rPr>
        <w:t>文旅集团本部内设8个职能部门：综合部、党群部、法务审计部、人力资源部、财务融资部、营销策划部、文创研发部、投资采购部。</w:t>
      </w:r>
      <w:r>
        <w:rPr>
          <w:rFonts w:hint="eastAsia" w:ascii="仿宋" w:hAnsi="仿宋" w:eastAsia="仿宋" w:cs="仿宋"/>
          <w:b/>
          <w:bCs w:val="0"/>
          <w:kern w:val="0"/>
          <w:sz w:val="30"/>
          <w:szCs w:val="30"/>
        </w:rPr>
        <w:t>二是下属子公司设立情况</w:t>
      </w:r>
      <w:r>
        <w:rPr>
          <w:rFonts w:hint="eastAsia" w:ascii="仿宋" w:hAnsi="仿宋" w:eastAsia="仿宋" w:cs="仿宋"/>
          <w:bCs/>
          <w:kern w:val="0"/>
          <w:sz w:val="30"/>
          <w:szCs w:val="30"/>
        </w:rPr>
        <w:t>。文旅集团全资子公司11家：伊金霍洛旗天骄神骏旅行社有限责任公司（以下简称“天骄神骏旅行社”）、伊金霍洛旗圣地驰骋汽车运营有限责任公司（以下简称“圣地驰骋”，伊金霍洛旗天骄神骏汽车租赁有限公司现已合并圣地驰骋）、伊金霍洛旗天骄神骏商贸有限公司（以下简称“天骄神骏商贸”）、鄂尔多斯市萃慧培训有</w:t>
      </w:r>
      <w:bookmarkStart w:id="3" w:name="_Toc24445955"/>
      <w:bookmarkStart w:id="4" w:name="_Toc518984420"/>
      <w:bookmarkStart w:id="5" w:name="_Toc42518860"/>
      <w:r>
        <w:rPr>
          <w:rFonts w:hint="eastAsia" w:ascii="仿宋" w:hAnsi="仿宋" w:eastAsia="仿宋" w:cs="仿宋"/>
          <w:bCs/>
          <w:kern w:val="0"/>
          <w:sz w:val="30"/>
          <w:szCs w:val="30"/>
        </w:rPr>
        <w:t>限公司（以下简称“萃慧培训”）、鄂尔多斯市圣圆旅游经营管理有限责任公司（以下简称“圣圆旅游”）、鄂尔多斯市天骄神骏文化产业发展有限公司（以下简称“天骄神骏文化”）、伊金霍洛旗转龙湾旅游度假有限公司（以下简称“转龙湾旅游度假”）、鄂尔多斯市众智文化有限公司（以下简称“众智文化”）、鄂尔多斯蒙古源流文化产业发展有限公司（以下简称“蒙古源流”）、伊金霍洛旗广播影视传媒有限责任公司（以下简称“广播影视传媒”）、伊金霍洛旗圣通交通投资运营有限责任公司（以下简称“圣通交通”）。</w:t>
      </w:r>
      <w:r>
        <w:rPr>
          <w:rFonts w:hint="eastAsia" w:ascii="仿宋" w:hAnsi="仿宋" w:eastAsia="仿宋" w:cs="仿宋"/>
          <w:b/>
          <w:bCs w:val="0"/>
          <w:kern w:val="0"/>
          <w:sz w:val="30"/>
          <w:szCs w:val="30"/>
        </w:rPr>
        <w:t>三是人员构成。</w:t>
      </w:r>
      <w:r>
        <w:rPr>
          <w:rFonts w:hint="eastAsia" w:ascii="仿宋" w:hAnsi="仿宋" w:eastAsia="仿宋" w:cs="仿宋"/>
          <w:bCs/>
          <w:kern w:val="0"/>
          <w:sz w:val="30"/>
          <w:szCs w:val="30"/>
        </w:rPr>
        <w:t>文旅集团在职干部职工</w:t>
      </w:r>
      <w:r>
        <w:rPr>
          <w:rFonts w:hint="eastAsia" w:ascii="仿宋" w:hAnsi="仿宋" w:eastAsia="仿宋" w:cs="仿宋"/>
          <w:bCs/>
          <w:kern w:val="0"/>
          <w:sz w:val="30"/>
          <w:szCs w:val="30"/>
          <w:lang w:val="zh-CN"/>
        </w:rPr>
        <w:t>共有326名员工，其中组织部委派领导班子成员14人，国企备案人员177人，劳务派遣135人。</w:t>
      </w:r>
    </w:p>
    <w:p>
      <w:pPr>
        <w:widowControl/>
        <w:jc w:val="center"/>
        <w:rPr>
          <w:rFonts w:eastAsia="黑体"/>
          <w:sz w:val="24"/>
        </w:rPr>
      </w:pPr>
      <w:r>
        <w:rPr>
          <w:rFonts w:eastAsia="黑体"/>
          <w:sz w:val="24"/>
        </w:rPr>
        <w:t xml:space="preserve">表1 </w:t>
      </w:r>
      <w:r>
        <w:rPr>
          <w:rFonts w:hint="eastAsia" w:eastAsia="黑体"/>
          <w:sz w:val="24"/>
        </w:rPr>
        <w:t>各</w:t>
      </w:r>
      <w:r>
        <w:rPr>
          <w:rFonts w:eastAsia="黑体"/>
          <w:sz w:val="24"/>
        </w:rPr>
        <w:t>子公司情况表</w:t>
      </w:r>
    </w:p>
    <w:tbl>
      <w:tblPr>
        <w:tblStyle w:val="19"/>
        <w:tblW w:w="49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244"/>
        <w:gridCol w:w="1276"/>
        <w:gridCol w:w="1476"/>
        <w:gridCol w:w="829"/>
        <w:gridCol w:w="849"/>
        <w:gridCol w:w="1536"/>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323"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737"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企业名称</w:t>
            </w:r>
          </w:p>
        </w:tc>
        <w:tc>
          <w:tcPr>
            <w:tcW w:w="755"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注册时间</w:t>
            </w:r>
          </w:p>
        </w:tc>
        <w:tc>
          <w:tcPr>
            <w:tcW w:w="875"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注册资本</w:t>
            </w:r>
          </w:p>
          <w:p>
            <w:pPr>
              <w:widowControl/>
              <w:snapToGrid w:val="0"/>
              <w:jc w:val="center"/>
              <w:rPr>
                <w:rFonts w:hint="eastAsia" w:ascii="宋体" w:hAnsi="宋体" w:cs="宋体"/>
                <w:b/>
                <w:szCs w:val="21"/>
              </w:rPr>
            </w:pPr>
            <w:r>
              <w:rPr>
                <w:rFonts w:hint="eastAsia" w:ascii="宋体" w:hAnsi="宋体" w:cs="宋体"/>
                <w:b/>
                <w:szCs w:val="21"/>
              </w:rPr>
              <w:t>（</w:t>
            </w:r>
            <w:r>
              <w:rPr>
                <w:rFonts w:hint="eastAsia" w:ascii="宋体" w:hAnsi="宋体" w:cs="宋体"/>
                <w:b/>
                <w:bCs/>
                <w:color w:val="000000"/>
                <w:kern w:val="0"/>
                <w:szCs w:val="21"/>
              </w:rPr>
              <w:t>万元</w:t>
            </w:r>
            <w:r>
              <w:rPr>
                <w:rFonts w:hint="eastAsia" w:ascii="宋体" w:hAnsi="宋体" w:cs="宋体"/>
                <w:b/>
                <w:color w:val="000000"/>
                <w:kern w:val="0"/>
                <w:szCs w:val="21"/>
              </w:rPr>
              <w:t>）</w:t>
            </w:r>
          </w:p>
        </w:tc>
        <w:tc>
          <w:tcPr>
            <w:tcW w:w="491"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股权</w:t>
            </w:r>
          </w:p>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占比</w:t>
            </w:r>
          </w:p>
        </w:tc>
        <w:tc>
          <w:tcPr>
            <w:tcW w:w="503" w:type="pct"/>
            <w:noWrap/>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法定</w:t>
            </w:r>
          </w:p>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代表人</w:t>
            </w:r>
          </w:p>
        </w:tc>
        <w:tc>
          <w:tcPr>
            <w:tcW w:w="910" w:type="pct"/>
            <w:noWrap/>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业务定位</w:t>
            </w:r>
          </w:p>
        </w:tc>
        <w:tc>
          <w:tcPr>
            <w:tcW w:w="402"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运营状态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3"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1</w:t>
            </w:r>
          </w:p>
        </w:tc>
        <w:tc>
          <w:tcPr>
            <w:tcW w:w="73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天骄神骏旅行社</w:t>
            </w:r>
          </w:p>
        </w:tc>
        <w:tc>
          <w:tcPr>
            <w:tcW w:w="75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2011.10.13</w:t>
            </w:r>
          </w:p>
        </w:tc>
        <w:tc>
          <w:tcPr>
            <w:tcW w:w="87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200</w:t>
            </w:r>
          </w:p>
        </w:tc>
        <w:tc>
          <w:tcPr>
            <w:tcW w:w="491"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03"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"https://www.qcc.com/pl/pr7a4c4f00180687f9c641420324fb77.html" \t "https://www.qcc.com/firm/_blank" </w:instrText>
            </w:r>
            <w:r>
              <w:rPr>
                <w:rFonts w:hint="eastAsia" w:ascii="宋体" w:hAnsi="宋体" w:cs="宋体"/>
                <w:color w:val="000000"/>
                <w:kern w:val="0"/>
                <w:szCs w:val="21"/>
              </w:rPr>
              <w:fldChar w:fldCharType="separate"/>
            </w:r>
            <w:r>
              <w:rPr>
                <w:rFonts w:hint="eastAsia" w:ascii="宋体" w:hAnsi="宋体" w:cs="宋体"/>
                <w:color w:val="000000"/>
                <w:kern w:val="0"/>
                <w:szCs w:val="21"/>
              </w:rPr>
              <w:t>杨慧乐</w:t>
            </w:r>
            <w:r>
              <w:rPr>
                <w:rFonts w:hint="eastAsia" w:ascii="宋体" w:hAnsi="宋体" w:cs="宋体"/>
                <w:color w:val="000000"/>
                <w:kern w:val="0"/>
                <w:szCs w:val="21"/>
              </w:rPr>
              <w:fldChar w:fldCharType="end"/>
            </w:r>
          </w:p>
        </w:tc>
        <w:tc>
          <w:tcPr>
            <w:tcW w:w="910"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入境旅游</w:t>
            </w:r>
          </w:p>
        </w:tc>
        <w:tc>
          <w:tcPr>
            <w:tcW w:w="402"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3"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73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圣地驰骋</w:t>
            </w:r>
          </w:p>
        </w:tc>
        <w:tc>
          <w:tcPr>
            <w:tcW w:w="75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2016.6.30</w:t>
            </w:r>
          </w:p>
        </w:tc>
        <w:tc>
          <w:tcPr>
            <w:tcW w:w="87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1725</w:t>
            </w:r>
          </w:p>
        </w:tc>
        <w:tc>
          <w:tcPr>
            <w:tcW w:w="491"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03"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"https://www.qcc.com/pl/pa65191772820d998a68b874e8c0c4eb.html" \t "https://www.qcc.com/firm/_blank" </w:instrText>
            </w:r>
            <w:r>
              <w:rPr>
                <w:rFonts w:hint="eastAsia" w:ascii="宋体" w:hAnsi="宋体" w:cs="宋体"/>
                <w:color w:val="000000"/>
                <w:kern w:val="0"/>
                <w:szCs w:val="21"/>
              </w:rPr>
              <w:fldChar w:fldCharType="separate"/>
            </w:r>
            <w:r>
              <w:rPr>
                <w:rFonts w:hint="eastAsia" w:ascii="宋体" w:hAnsi="宋体" w:cs="宋体"/>
                <w:color w:val="000000"/>
                <w:kern w:val="0"/>
                <w:szCs w:val="21"/>
              </w:rPr>
              <w:t>杨瑞平</w:t>
            </w:r>
            <w:r>
              <w:rPr>
                <w:rFonts w:hint="eastAsia" w:ascii="宋体" w:hAnsi="宋体" w:cs="宋体"/>
                <w:color w:val="000000"/>
                <w:kern w:val="0"/>
                <w:szCs w:val="21"/>
              </w:rPr>
              <w:fldChar w:fldCharType="end"/>
            </w:r>
          </w:p>
        </w:tc>
        <w:tc>
          <w:tcPr>
            <w:tcW w:w="910"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汽车租赁服务</w:t>
            </w:r>
          </w:p>
        </w:tc>
        <w:tc>
          <w:tcPr>
            <w:tcW w:w="402"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3"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3</w:t>
            </w:r>
          </w:p>
        </w:tc>
        <w:tc>
          <w:tcPr>
            <w:tcW w:w="73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天骄神骏商贸</w:t>
            </w:r>
          </w:p>
        </w:tc>
        <w:tc>
          <w:tcPr>
            <w:tcW w:w="75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2016.10.11</w:t>
            </w:r>
          </w:p>
        </w:tc>
        <w:tc>
          <w:tcPr>
            <w:tcW w:w="87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500</w:t>
            </w:r>
          </w:p>
        </w:tc>
        <w:tc>
          <w:tcPr>
            <w:tcW w:w="491"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03"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"https://www.qcc.com/pl/pr33427567a97fdc923ad88e0dd8d1dd.html" \t "https://www.qcc.com/firm/_blank" </w:instrText>
            </w:r>
            <w:r>
              <w:rPr>
                <w:rFonts w:hint="eastAsia" w:ascii="宋体" w:hAnsi="宋体" w:cs="宋体"/>
                <w:color w:val="000000"/>
                <w:kern w:val="0"/>
                <w:szCs w:val="21"/>
              </w:rPr>
              <w:fldChar w:fldCharType="separate"/>
            </w:r>
            <w:r>
              <w:rPr>
                <w:rFonts w:hint="eastAsia" w:ascii="宋体" w:hAnsi="宋体" w:cs="宋体"/>
                <w:color w:val="000000"/>
                <w:kern w:val="0"/>
                <w:szCs w:val="21"/>
              </w:rPr>
              <w:t>杨学峰</w:t>
            </w:r>
            <w:r>
              <w:rPr>
                <w:rFonts w:hint="eastAsia" w:ascii="宋体" w:hAnsi="宋体" w:cs="宋体"/>
                <w:color w:val="000000"/>
                <w:kern w:val="0"/>
                <w:szCs w:val="21"/>
              </w:rPr>
              <w:fldChar w:fldCharType="end"/>
            </w:r>
          </w:p>
        </w:tc>
        <w:tc>
          <w:tcPr>
            <w:tcW w:w="910"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产品零售、剧院运营管理</w:t>
            </w:r>
          </w:p>
        </w:tc>
        <w:tc>
          <w:tcPr>
            <w:tcW w:w="402"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3"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4</w:t>
            </w:r>
          </w:p>
        </w:tc>
        <w:tc>
          <w:tcPr>
            <w:tcW w:w="73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萃慧培训</w:t>
            </w:r>
          </w:p>
        </w:tc>
        <w:tc>
          <w:tcPr>
            <w:tcW w:w="75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2019.4.28</w:t>
            </w:r>
          </w:p>
        </w:tc>
        <w:tc>
          <w:tcPr>
            <w:tcW w:w="87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491"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03"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"https://www.qcc.com/pl/pr53e2dd272cc3336f20777b1d429057.html" \t "https://www.qcc.com/firm/_blank" </w:instrText>
            </w:r>
            <w:r>
              <w:rPr>
                <w:rFonts w:hint="eastAsia" w:ascii="宋体" w:hAnsi="宋体" w:cs="宋体"/>
                <w:color w:val="000000"/>
                <w:kern w:val="0"/>
                <w:szCs w:val="21"/>
              </w:rPr>
              <w:fldChar w:fldCharType="separate"/>
            </w:r>
            <w:r>
              <w:rPr>
                <w:rFonts w:hint="eastAsia" w:ascii="宋体" w:hAnsi="宋体" w:cs="宋体"/>
                <w:color w:val="000000"/>
                <w:kern w:val="0"/>
                <w:szCs w:val="21"/>
              </w:rPr>
              <w:t>冯敏</w:t>
            </w:r>
            <w:r>
              <w:rPr>
                <w:rFonts w:hint="eastAsia" w:ascii="宋体" w:hAnsi="宋体" w:cs="宋体"/>
                <w:color w:val="000000"/>
                <w:kern w:val="0"/>
                <w:szCs w:val="21"/>
              </w:rPr>
              <w:fldChar w:fldCharType="end"/>
            </w:r>
          </w:p>
        </w:tc>
        <w:tc>
          <w:tcPr>
            <w:tcW w:w="910"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培训服务</w:t>
            </w:r>
          </w:p>
        </w:tc>
        <w:tc>
          <w:tcPr>
            <w:tcW w:w="402" w:type="pct"/>
            <w:noWrap w:val="0"/>
            <w:vAlign w:val="center"/>
          </w:tcPr>
          <w:p>
            <w:pPr>
              <w:widowControl/>
              <w:snapToGrid w:val="0"/>
              <w:jc w:val="center"/>
              <w:rPr>
                <w:rFonts w:hint="eastAsia" w:ascii="宋体" w:hAnsi="宋体" w:cs="宋体"/>
                <w:color w:val="000000"/>
                <w:kern w:val="0"/>
                <w:szCs w:val="21"/>
                <w:highlight w:val="yellow"/>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3"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5</w:t>
            </w:r>
          </w:p>
        </w:tc>
        <w:tc>
          <w:tcPr>
            <w:tcW w:w="737"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圣圆旅游</w:t>
            </w:r>
          </w:p>
        </w:tc>
        <w:tc>
          <w:tcPr>
            <w:tcW w:w="75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2013.9.4</w:t>
            </w:r>
          </w:p>
        </w:tc>
        <w:tc>
          <w:tcPr>
            <w:tcW w:w="87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491"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100%</w:t>
            </w:r>
          </w:p>
        </w:tc>
        <w:tc>
          <w:tcPr>
            <w:tcW w:w="503"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"https://www.qcc.com/pl/p2eff83765cb5fdb88f1ea61feb30cf0.html" \t "https://www.qcc.com/firm/_blank" </w:instrText>
            </w:r>
            <w:r>
              <w:rPr>
                <w:rFonts w:hint="eastAsia" w:ascii="宋体" w:hAnsi="宋体" w:cs="宋体"/>
                <w:color w:val="000000"/>
                <w:kern w:val="0"/>
                <w:szCs w:val="21"/>
              </w:rPr>
              <w:fldChar w:fldCharType="separate"/>
            </w:r>
            <w:r>
              <w:rPr>
                <w:rFonts w:hint="eastAsia" w:ascii="宋体" w:hAnsi="宋体" w:cs="宋体"/>
                <w:color w:val="000000"/>
                <w:kern w:val="0"/>
                <w:szCs w:val="21"/>
              </w:rPr>
              <w:t>张增雄</w:t>
            </w:r>
            <w:r>
              <w:rPr>
                <w:rFonts w:hint="eastAsia" w:ascii="宋体" w:hAnsi="宋体" w:cs="宋体"/>
                <w:color w:val="000000"/>
                <w:kern w:val="0"/>
                <w:szCs w:val="21"/>
              </w:rPr>
              <w:fldChar w:fldCharType="end"/>
            </w:r>
          </w:p>
        </w:tc>
        <w:tc>
          <w:tcPr>
            <w:tcW w:w="910"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旅游开发及服务</w:t>
            </w:r>
          </w:p>
        </w:tc>
        <w:tc>
          <w:tcPr>
            <w:tcW w:w="402"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3"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6</w:t>
            </w:r>
          </w:p>
        </w:tc>
        <w:tc>
          <w:tcPr>
            <w:tcW w:w="73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天骄神骏文化</w:t>
            </w:r>
          </w:p>
        </w:tc>
        <w:tc>
          <w:tcPr>
            <w:tcW w:w="75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2019.6.21</w:t>
            </w:r>
          </w:p>
        </w:tc>
        <w:tc>
          <w:tcPr>
            <w:tcW w:w="87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491"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03"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"https://www.qcc.com/pl/pr2468a21cbd0c56758ef285cb5957b3.html" \t "https://www.qcc.com/firm/_blank" </w:instrText>
            </w:r>
            <w:r>
              <w:rPr>
                <w:rFonts w:hint="eastAsia" w:ascii="宋体" w:hAnsi="宋体" w:cs="宋体"/>
                <w:color w:val="000000"/>
                <w:kern w:val="0"/>
                <w:szCs w:val="21"/>
              </w:rPr>
              <w:fldChar w:fldCharType="separate"/>
            </w:r>
            <w:r>
              <w:rPr>
                <w:rFonts w:hint="eastAsia" w:ascii="宋体" w:hAnsi="宋体" w:cs="宋体"/>
                <w:color w:val="000000"/>
                <w:kern w:val="0"/>
                <w:szCs w:val="21"/>
              </w:rPr>
              <w:t>郭韦宏</w:t>
            </w:r>
            <w:r>
              <w:rPr>
                <w:rFonts w:hint="eastAsia" w:ascii="宋体" w:hAnsi="宋体" w:cs="宋体"/>
                <w:color w:val="000000"/>
                <w:kern w:val="0"/>
                <w:szCs w:val="21"/>
              </w:rPr>
              <w:fldChar w:fldCharType="end"/>
            </w:r>
          </w:p>
        </w:tc>
        <w:tc>
          <w:tcPr>
            <w:tcW w:w="910"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培训、旅游服务等</w:t>
            </w:r>
          </w:p>
        </w:tc>
        <w:tc>
          <w:tcPr>
            <w:tcW w:w="402"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3"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7</w:t>
            </w:r>
          </w:p>
        </w:tc>
        <w:tc>
          <w:tcPr>
            <w:tcW w:w="73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转龙湾旅游度假</w:t>
            </w:r>
          </w:p>
        </w:tc>
        <w:tc>
          <w:tcPr>
            <w:tcW w:w="75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2016.12.16</w:t>
            </w:r>
          </w:p>
        </w:tc>
        <w:tc>
          <w:tcPr>
            <w:tcW w:w="87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10000</w:t>
            </w:r>
          </w:p>
        </w:tc>
        <w:tc>
          <w:tcPr>
            <w:tcW w:w="491"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03"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"https://www.qcc.com/pl/pr76422cc5821302bcae4f562dfe0d77.html" \t "https://www.qcc.com/firm/_blank" </w:instrText>
            </w:r>
            <w:r>
              <w:rPr>
                <w:rFonts w:hint="eastAsia" w:ascii="宋体" w:hAnsi="宋体" w:cs="宋体"/>
                <w:color w:val="000000"/>
                <w:kern w:val="0"/>
                <w:szCs w:val="21"/>
              </w:rPr>
              <w:fldChar w:fldCharType="separate"/>
            </w:r>
            <w:r>
              <w:rPr>
                <w:rFonts w:hint="eastAsia" w:ascii="宋体" w:hAnsi="宋体" w:cs="宋体"/>
                <w:color w:val="000000"/>
                <w:kern w:val="0"/>
                <w:szCs w:val="21"/>
              </w:rPr>
              <w:t>崔珍芳</w:t>
            </w:r>
            <w:r>
              <w:rPr>
                <w:rFonts w:hint="eastAsia" w:ascii="宋体" w:hAnsi="宋体" w:cs="宋体"/>
                <w:color w:val="000000"/>
                <w:kern w:val="0"/>
                <w:szCs w:val="21"/>
              </w:rPr>
              <w:fldChar w:fldCharType="end"/>
            </w:r>
          </w:p>
        </w:tc>
        <w:tc>
          <w:tcPr>
            <w:tcW w:w="910"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文创、观光旅游等</w:t>
            </w:r>
          </w:p>
        </w:tc>
        <w:tc>
          <w:tcPr>
            <w:tcW w:w="402"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3"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8</w:t>
            </w:r>
          </w:p>
        </w:tc>
        <w:tc>
          <w:tcPr>
            <w:tcW w:w="73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众智文化</w:t>
            </w:r>
          </w:p>
        </w:tc>
        <w:tc>
          <w:tcPr>
            <w:tcW w:w="75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2021.5.12</w:t>
            </w:r>
          </w:p>
        </w:tc>
        <w:tc>
          <w:tcPr>
            <w:tcW w:w="87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491"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03"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"https://www.qcc.com/pl/prded089059b067c0a44200d98bfece1.html" \t "https://www.qcc.com/firm/_blank" </w:instrText>
            </w:r>
            <w:r>
              <w:rPr>
                <w:rFonts w:hint="eastAsia" w:ascii="宋体" w:hAnsi="宋体" w:cs="宋体"/>
                <w:color w:val="000000"/>
                <w:kern w:val="0"/>
                <w:szCs w:val="21"/>
              </w:rPr>
              <w:fldChar w:fldCharType="separate"/>
            </w:r>
            <w:r>
              <w:rPr>
                <w:rFonts w:hint="eastAsia" w:ascii="宋体" w:hAnsi="宋体" w:cs="宋体"/>
                <w:color w:val="000000"/>
                <w:kern w:val="0"/>
                <w:szCs w:val="21"/>
              </w:rPr>
              <w:t>何瑞</w:t>
            </w:r>
            <w:r>
              <w:rPr>
                <w:rFonts w:hint="eastAsia" w:ascii="宋体" w:hAnsi="宋体" w:cs="宋体"/>
                <w:color w:val="000000"/>
                <w:kern w:val="0"/>
                <w:szCs w:val="21"/>
              </w:rPr>
              <w:fldChar w:fldCharType="end"/>
            </w:r>
          </w:p>
        </w:tc>
        <w:tc>
          <w:tcPr>
            <w:tcW w:w="910"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游览景区管理、园区管理服务</w:t>
            </w:r>
          </w:p>
        </w:tc>
        <w:tc>
          <w:tcPr>
            <w:tcW w:w="402"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3"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9</w:t>
            </w:r>
          </w:p>
        </w:tc>
        <w:tc>
          <w:tcPr>
            <w:tcW w:w="73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蒙古源流</w:t>
            </w:r>
          </w:p>
        </w:tc>
        <w:tc>
          <w:tcPr>
            <w:tcW w:w="75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2009.9.30</w:t>
            </w:r>
          </w:p>
        </w:tc>
        <w:tc>
          <w:tcPr>
            <w:tcW w:w="875"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56446.44639</w:t>
            </w:r>
          </w:p>
        </w:tc>
        <w:tc>
          <w:tcPr>
            <w:tcW w:w="491"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03"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"https://www.qcc.com/pl/pr43faf02c2bad4c83210529bc10a12e.html" \t "https://www.qcc.com/firm/_blank" </w:instrText>
            </w:r>
            <w:r>
              <w:rPr>
                <w:rFonts w:hint="eastAsia" w:ascii="宋体" w:hAnsi="宋体" w:cs="宋体"/>
                <w:color w:val="000000"/>
                <w:kern w:val="0"/>
                <w:szCs w:val="21"/>
              </w:rPr>
              <w:fldChar w:fldCharType="separate"/>
            </w:r>
            <w:r>
              <w:rPr>
                <w:rFonts w:hint="eastAsia" w:ascii="宋体" w:hAnsi="宋体" w:cs="宋体"/>
                <w:color w:val="000000"/>
                <w:kern w:val="0"/>
                <w:szCs w:val="21"/>
              </w:rPr>
              <w:t>尤利平</w:t>
            </w:r>
            <w:r>
              <w:rPr>
                <w:rFonts w:hint="eastAsia" w:ascii="宋体" w:hAnsi="宋体" w:cs="宋体"/>
                <w:color w:val="000000"/>
                <w:kern w:val="0"/>
                <w:szCs w:val="21"/>
              </w:rPr>
              <w:fldChar w:fldCharType="end"/>
            </w:r>
          </w:p>
        </w:tc>
        <w:tc>
          <w:tcPr>
            <w:tcW w:w="910"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文化旅游产业开发</w:t>
            </w:r>
          </w:p>
        </w:tc>
        <w:tc>
          <w:tcPr>
            <w:tcW w:w="402"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3"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w:t>
            </w:r>
          </w:p>
        </w:tc>
        <w:tc>
          <w:tcPr>
            <w:tcW w:w="73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广播影视传媒</w:t>
            </w:r>
          </w:p>
        </w:tc>
        <w:tc>
          <w:tcPr>
            <w:tcW w:w="75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2015.12.7</w:t>
            </w:r>
          </w:p>
        </w:tc>
        <w:tc>
          <w:tcPr>
            <w:tcW w:w="87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491"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03"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"https://www.qcc.com/pl/pr398d9a426caa44819888a1064f557c.html" \t "https://www.qcc.com/firm/_blank" </w:instrText>
            </w:r>
            <w:r>
              <w:rPr>
                <w:rFonts w:hint="eastAsia" w:ascii="宋体" w:hAnsi="宋体" w:cs="宋体"/>
                <w:color w:val="000000"/>
                <w:kern w:val="0"/>
                <w:szCs w:val="21"/>
              </w:rPr>
              <w:fldChar w:fldCharType="separate"/>
            </w:r>
            <w:r>
              <w:rPr>
                <w:rFonts w:hint="eastAsia" w:ascii="宋体" w:hAnsi="宋体" w:cs="宋体"/>
                <w:color w:val="000000"/>
                <w:kern w:val="0"/>
                <w:szCs w:val="21"/>
              </w:rPr>
              <w:t>冯梅</w:t>
            </w:r>
            <w:r>
              <w:rPr>
                <w:rFonts w:hint="eastAsia" w:ascii="宋体" w:hAnsi="宋体" w:cs="宋体"/>
                <w:color w:val="000000"/>
                <w:kern w:val="0"/>
                <w:szCs w:val="21"/>
              </w:rPr>
              <w:fldChar w:fldCharType="end"/>
            </w:r>
          </w:p>
        </w:tc>
        <w:tc>
          <w:tcPr>
            <w:tcW w:w="910"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影视作品、多媒体广告制作</w:t>
            </w:r>
          </w:p>
        </w:tc>
        <w:tc>
          <w:tcPr>
            <w:tcW w:w="402"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3"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11</w:t>
            </w:r>
          </w:p>
        </w:tc>
        <w:tc>
          <w:tcPr>
            <w:tcW w:w="73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圣通交通</w:t>
            </w:r>
          </w:p>
        </w:tc>
        <w:tc>
          <w:tcPr>
            <w:tcW w:w="755"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2016.8.3</w:t>
            </w:r>
          </w:p>
        </w:tc>
        <w:tc>
          <w:tcPr>
            <w:tcW w:w="875"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18020.5</w:t>
            </w:r>
          </w:p>
        </w:tc>
        <w:tc>
          <w:tcPr>
            <w:tcW w:w="491"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03"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"https://www.qcc.com/pl/pra0ce3baede91caff28e6abdcaa7cba.html" \t "https://www.qcc.com/firm/_blank" </w:instrText>
            </w:r>
            <w:r>
              <w:rPr>
                <w:rFonts w:hint="eastAsia" w:ascii="宋体" w:hAnsi="宋体" w:cs="宋体"/>
                <w:color w:val="000000"/>
                <w:kern w:val="0"/>
                <w:szCs w:val="21"/>
              </w:rPr>
              <w:fldChar w:fldCharType="separate"/>
            </w:r>
            <w:r>
              <w:rPr>
                <w:rFonts w:hint="eastAsia" w:ascii="宋体" w:hAnsi="宋体" w:cs="宋体"/>
                <w:color w:val="000000"/>
                <w:kern w:val="0"/>
                <w:szCs w:val="21"/>
              </w:rPr>
              <w:t>孟小军</w:t>
            </w:r>
            <w:r>
              <w:rPr>
                <w:rFonts w:hint="eastAsia" w:ascii="宋体" w:hAnsi="宋体" w:cs="宋体"/>
                <w:color w:val="000000"/>
                <w:kern w:val="0"/>
                <w:szCs w:val="21"/>
              </w:rPr>
              <w:fldChar w:fldCharType="end"/>
            </w:r>
          </w:p>
        </w:tc>
        <w:tc>
          <w:tcPr>
            <w:tcW w:w="910"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建设工程</w:t>
            </w:r>
          </w:p>
        </w:tc>
        <w:tc>
          <w:tcPr>
            <w:tcW w:w="402"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16" w:type="pct"/>
            <w:gridSpan w:val="3"/>
            <w:noWrap w:val="0"/>
            <w:vAlign w:val="center"/>
          </w:tcPr>
          <w:p>
            <w:pPr>
              <w:widowControl/>
              <w:snapToGrid w:val="0"/>
              <w:jc w:val="center"/>
              <w:rPr>
                <w:rFonts w:hint="eastAsia" w:ascii="宋体" w:hAnsi="宋体" w:cs="宋体"/>
                <w:b/>
                <w:color w:val="000000"/>
                <w:kern w:val="0"/>
                <w:szCs w:val="21"/>
              </w:rPr>
            </w:pPr>
            <w:r>
              <w:rPr>
                <w:rFonts w:hint="eastAsia" w:ascii="宋体" w:hAnsi="宋体" w:cs="宋体"/>
                <w:b/>
                <w:color w:val="000000"/>
                <w:kern w:val="0"/>
                <w:szCs w:val="21"/>
              </w:rPr>
              <w:t>合 计</w:t>
            </w:r>
          </w:p>
        </w:tc>
        <w:tc>
          <w:tcPr>
            <w:tcW w:w="875" w:type="pct"/>
            <w:noWrap w:val="0"/>
            <w:vAlign w:val="center"/>
          </w:tcPr>
          <w:p>
            <w:pPr>
              <w:widowControl/>
              <w:snapToGrid w:val="0"/>
              <w:jc w:val="center"/>
              <w:rPr>
                <w:rFonts w:ascii="宋体" w:hAnsi="宋体" w:cs="宋体"/>
                <w:b/>
                <w:color w:val="000000"/>
                <w:kern w:val="0"/>
                <w:szCs w:val="21"/>
              </w:rPr>
            </w:pPr>
            <w:r>
              <w:rPr>
                <w:rFonts w:hint="eastAsia" w:ascii="宋体" w:hAnsi="宋体" w:cs="宋体"/>
                <w:b/>
                <w:color w:val="000000"/>
                <w:kern w:val="0"/>
                <w:szCs w:val="21"/>
              </w:rPr>
              <w:t>87391.94639</w:t>
            </w:r>
          </w:p>
        </w:tc>
        <w:tc>
          <w:tcPr>
            <w:tcW w:w="491" w:type="pct"/>
            <w:noWrap w:val="0"/>
            <w:vAlign w:val="center"/>
          </w:tcPr>
          <w:p>
            <w:pPr>
              <w:widowControl/>
              <w:snapToGrid w:val="0"/>
              <w:jc w:val="center"/>
              <w:rPr>
                <w:rFonts w:ascii="宋体" w:hAnsi="宋体" w:cs="宋体"/>
                <w:b/>
                <w:color w:val="000000"/>
                <w:kern w:val="0"/>
                <w:szCs w:val="21"/>
              </w:rPr>
            </w:pPr>
            <w:r>
              <w:rPr>
                <w:rFonts w:hint="eastAsia" w:ascii="宋体" w:hAnsi="宋体" w:cs="宋体"/>
                <w:b/>
                <w:color w:val="000000"/>
                <w:kern w:val="0"/>
                <w:szCs w:val="21"/>
              </w:rPr>
              <w:t>-</w:t>
            </w:r>
          </w:p>
        </w:tc>
        <w:tc>
          <w:tcPr>
            <w:tcW w:w="503" w:type="pct"/>
            <w:noWrap/>
            <w:vAlign w:val="center"/>
          </w:tcPr>
          <w:p>
            <w:pPr>
              <w:widowControl/>
              <w:snapToGrid w:val="0"/>
              <w:jc w:val="center"/>
              <w:rPr>
                <w:rFonts w:ascii="宋体" w:hAnsi="宋体" w:cs="宋体"/>
                <w:b/>
                <w:color w:val="000000"/>
                <w:kern w:val="0"/>
                <w:szCs w:val="21"/>
              </w:rPr>
            </w:pPr>
            <w:r>
              <w:rPr>
                <w:rFonts w:hint="eastAsia" w:ascii="宋体" w:hAnsi="宋体" w:cs="宋体"/>
                <w:b/>
                <w:color w:val="000000"/>
                <w:kern w:val="0"/>
                <w:szCs w:val="21"/>
              </w:rPr>
              <w:t>-</w:t>
            </w:r>
          </w:p>
        </w:tc>
        <w:tc>
          <w:tcPr>
            <w:tcW w:w="910" w:type="pct"/>
            <w:noWrap w:val="0"/>
            <w:vAlign w:val="center"/>
          </w:tcPr>
          <w:p>
            <w:pPr>
              <w:widowControl/>
              <w:snapToGrid w:val="0"/>
              <w:jc w:val="center"/>
              <w:rPr>
                <w:rFonts w:hint="eastAsia" w:ascii="宋体" w:hAnsi="宋体" w:cs="宋体"/>
                <w:b/>
                <w:color w:val="000000"/>
                <w:kern w:val="0"/>
                <w:szCs w:val="21"/>
              </w:rPr>
            </w:pPr>
            <w:r>
              <w:rPr>
                <w:rFonts w:hint="eastAsia" w:ascii="宋体" w:hAnsi="宋体" w:cs="宋体"/>
                <w:b/>
                <w:color w:val="000000"/>
                <w:kern w:val="0"/>
                <w:szCs w:val="21"/>
              </w:rPr>
              <w:t>-</w:t>
            </w:r>
          </w:p>
        </w:tc>
        <w:tc>
          <w:tcPr>
            <w:tcW w:w="402" w:type="pct"/>
            <w:noWrap w:val="0"/>
            <w:vAlign w:val="center"/>
          </w:tcPr>
          <w:p>
            <w:pPr>
              <w:widowControl/>
              <w:snapToGrid w:val="0"/>
              <w:jc w:val="center"/>
              <w:rPr>
                <w:rFonts w:hint="eastAsia" w:ascii="宋体" w:hAnsi="宋体" w:cs="宋体"/>
                <w:b/>
                <w:color w:val="000000"/>
                <w:kern w:val="0"/>
                <w:szCs w:val="21"/>
              </w:rPr>
            </w:pPr>
            <w:r>
              <w:rPr>
                <w:rFonts w:hint="eastAsia" w:ascii="宋体" w:hAnsi="宋体" w:cs="宋体"/>
                <w:b/>
                <w:color w:val="000000"/>
                <w:kern w:val="0"/>
                <w:szCs w:val="21"/>
              </w:rPr>
              <w:t>-</w:t>
            </w:r>
          </w:p>
        </w:tc>
      </w:tr>
    </w:tbl>
    <w:p>
      <w:pPr>
        <w:adjustRightInd w:val="0"/>
        <w:snapToGrid w:val="0"/>
        <w:spacing w:line="360" w:lineRule="auto"/>
        <w:ind w:firstLine="602" w:firstLineChars="200"/>
        <w:outlineLvl w:val="2"/>
        <w:rPr>
          <w:rFonts w:hint="eastAsia" w:ascii="仿宋" w:hAnsi="仿宋" w:eastAsia="仿宋" w:cs="仿宋"/>
          <w:b/>
          <w:caps/>
          <w:sz w:val="30"/>
          <w:szCs w:val="30"/>
        </w:rPr>
      </w:pPr>
      <w:r>
        <w:rPr>
          <w:rFonts w:hint="eastAsia" w:ascii="仿宋" w:hAnsi="仿宋" w:eastAsia="仿宋" w:cs="仿宋"/>
          <w:b/>
          <w:caps/>
          <w:sz w:val="30"/>
          <w:szCs w:val="30"/>
        </w:rPr>
        <w:t>3.企业财务状况</w:t>
      </w:r>
    </w:p>
    <w:p>
      <w:pPr>
        <w:pStyle w:val="6"/>
        <w:adjustRightInd w:val="0"/>
        <w:snapToGrid w:val="0"/>
        <w:spacing w:line="360" w:lineRule="auto"/>
        <w:ind w:firstLine="602"/>
        <w:rPr>
          <w:rFonts w:hint="default" w:ascii="仿宋" w:hAnsi="仿宋" w:eastAsia="仿宋" w:cs="仿宋"/>
          <w:lang w:val="en-US" w:eastAsia="zh-CN"/>
        </w:rPr>
      </w:pPr>
      <w:r>
        <w:rPr>
          <w:rFonts w:hint="eastAsia" w:ascii="仿宋" w:hAnsi="仿宋" w:eastAsia="仿宋" w:cs="仿宋"/>
          <w:b/>
          <w:bCs/>
        </w:rPr>
        <w:t>2021年企业财务状况。</w:t>
      </w:r>
      <w:r>
        <w:rPr>
          <w:rFonts w:hint="eastAsia" w:ascii="仿宋" w:hAnsi="仿宋" w:eastAsia="仿宋" w:cs="仿宋"/>
        </w:rPr>
        <w:t>根据文旅集团提供的合并财务报表，截至2021年12月31日，文旅集团资产总额8901</w:t>
      </w:r>
      <w:r>
        <w:rPr>
          <w:rFonts w:hint="eastAsia" w:ascii="仿宋" w:hAnsi="仿宋" w:eastAsia="仿宋" w:cs="仿宋"/>
          <w:lang w:val="en-US" w:eastAsia="zh-CN"/>
        </w:rPr>
        <w:t>0</w:t>
      </w:r>
      <w:r>
        <w:rPr>
          <w:rFonts w:hint="eastAsia" w:ascii="仿宋" w:hAnsi="仿宋" w:eastAsia="仿宋" w:cs="仿宋"/>
        </w:rPr>
        <w:t>.</w:t>
      </w:r>
      <w:r>
        <w:rPr>
          <w:rFonts w:hint="eastAsia" w:ascii="仿宋" w:hAnsi="仿宋" w:eastAsia="仿宋" w:cs="仿宋"/>
          <w:lang w:val="en-US" w:eastAsia="zh-CN"/>
        </w:rPr>
        <w:t>49</w:t>
      </w:r>
      <w:r>
        <w:rPr>
          <w:rFonts w:hint="eastAsia" w:ascii="仿宋" w:hAnsi="仿宋" w:eastAsia="仿宋" w:cs="仿宋"/>
        </w:rPr>
        <w:t>万元，其中流动资产49259.8</w:t>
      </w:r>
      <w:r>
        <w:rPr>
          <w:rFonts w:hint="eastAsia" w:ascii="仿宋" w:hAnsi="仿宋" w:eastAsia="仿宋" w:cs="仿宋"/>
          <w:lang w:val="en-US" w:eastAsia="zh-CN"/>
        </w:rPr>
        <w:t>1</w:t>
      </w:r>
      <w:r>
        <w:rPr>
          <w:rFonts w:hint="eastAsia" w:ascii="仿宋" w:hAnsi="仿宋" w:eastAsia="仿宋" w:cs="仿宋"/>
        </w:rPr>
        <w:t>万元，非流动资产39750.68万元，负债总额59698.63万元，其中流动负债5873.08万元，非流动负债53825.55万元，所有者权益总额29311.86万元。2021年度主营业务收入3240.87万元，营业成本2667.12万元，净利润-1636.34万元</w:t>
      </w:r>
      <w:r>
        <w:rPr>
          <w:rFonts w:hint="eastAsia" w:ascii="仿宋" w:hAnsi="仿宋" w:eastAsia="仿宋" w:cs="仿宋"/>
          <w:lang w:eastAsia="zh-CN"/>
        </w:rPr>
        <w:t>，</w:t>
      </w:r>
      <w:r>
        <w:rPr>
          <w:rFonts w:hint="eastAsia" w:ascii="仿宋" w:hAnsi="仿宋" w:eastAsia="仿宋" w:cs="仿宋"/>
        </w:rPr>
        <w:t>文旅集团</w:t>
      </w:r>
      <w:r>
        <w:rPr>
          <w:rFonts w:hint="eastAsia" w:ascii="仿宋" w:hAnsi="仿宋" w:eastAsia="仿宋" w:cs="仿宋"/>
          <w:lang w:val="en-US" w:eastAsia="zh-CN"/>
        </w:rPr>
        <w:t>未对2021年度收益上缴。</w:t>
      </w:r>
    </w:p>
    <w:p>
      <w:pPr>
        <w:pStyle w:val="6"/>
        <w:adjustRightInd w:val="0"/>
        <w:snapToGrid w:val="0"/>
        <w:spacing w:line="360" w:lineRule="auto"/>
        <w:ind w:firstLine="602"/>
        <w:rPr>
          <w:rFonts w:hint="eastAsia" w:ascii="仿宋" w:hAnsi="仿宋" w:eastAsia="仿宋" w:cs="仿宋"/>
        </w:rPr>
      </w:pPr>
      <w:r>
        <w:rPr>
          <w:rFonts w:hint="eastAsia" w:ascii="仿宋" w:hAnsi="仿宋" w:eastAsia="仿宋" w:cs="仿宋"/>
          <w:b/>
          <w:bCs/>
        </w:rPr>
        <w:t>2022年企业财务状况。</w:t>
      </w:r>
      <w:r>
        <w:rPr>
          <w:rFonts w:hint="eastAsia" w:ascii="仿宋" w:hAnsi="仿宋" w:eastAsia="仿宋" w:cs="仿宋"/>
        </w:rPr>
        <w:t>根据文旅集团提供的合并财务报表，截至2022年12月31日，文旅集团资产总额476824.52万元，其中流动资产72857.89万元，非流动资产403966.63万元，负债总额249602.08万元，其中流动负债129870.96万元，非流动负债119731.12万元，所有者权益总额227222.44万元。2022年度主营业务收入4911.00万元，营业成本3870.13万元，净利润-3793.57万元。</w:t>
      </w:r>
    </w:p>
    <w:p>
      <w:pPr>
        <w:adjustRightInd w:val="0"/>
        <w:snapToGrid w:val="0"/>
        <w:spacing w:line="360" w:lineRule="auto"/>
        <w:ind w:firstLine="602" w:firstLineChars="200"/>
        <w:outlineLvl w:val="1"/>
        <w:rPr>
          <w:rFonts w:ascii="楷体" w:hAnsi="楷体" w:eastAsia="楷体"/>
          <w:b/>
          <w:sz w:val="30"/>
          <w:szCs w:val="30"/>
        </w:rPr>
      </w:pPr>
      <w:r>
        <w:rPr>
          <w:rFonts w:ascii="楷体" w:hAnsi="楷体" w:eastAsia="楷体"/>
          <w:b/>
          <w:sz w:val="30"/>
          <w:szCs w:val="30"/>
        </w:rPr>
        <w:t>（二）</w:t>
      </w:r>
      <w:bookmarkEnd w:id="3"/>
      <w:bookmarkEnd w:id="4"/>
      <w:bookmarkEnd w:id="5"/>
      <w:r>
        <w:rPr>
          <w:rFonts w:hint="eastAsia" w:ascii="楷体" w:hAnsi="楷体" w:eastAsia="楷体"/>
          <w:b/>
          <w:sz w:val="30"/>
          <w:szCs w:val="30"/>
        </w:rPr>
        <w:t>项目基本情况</w:t>
      </w:r>
    </w:p>
    <w:p>
      <w:pPr>
        <w:adjustRightInd w:val="0"/>
        <w:snapToGrid w:val="0"/>
        <w:spacing w:line="360" w:lineRule="auto"/>
        <w:ind w:firstLine="602" w:firstLineChars="200"/>
        <w:outlineLvl w:val="2"/>
        <w:rPr>
          <w:rFonts w:hint="eastAsia" w:ascii="仿宋" w:hAnsi="仿宋" w:eastAsia="仿宋" w:cs="仿宋"/>
          <w:b/>
          <w:sz w:val="30"/>
          <w:szCs w:val="30"/>
          <w:lang w:eastAsia="zh-Hans"/>
        </w:rPr>
      </w:pPr>
      <w:r>
        <w:rPr>
          <w:rFonts w:hint="eastAsia" w:ascii="仿宋" w:hAnsi="仿宋" w:eastAsia="仿宋" w:cs="仿宋"/>
          <w:b/>
          <w:sz w:val="30"/>
          <w:szCs w:val="30"/>
          <w:lang w:eastAsia="zh-Hans"/>
        </w:rPr>
        <w:t>1.项目背景及内容</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eastAsia="zh-Hans"/>
        </w:rPr>
        <w:t>习近平总书记指出</w:t>
      </w:r>
      <w:r>
        <w:rPr>
          <w:rFonts w:hint="eastAsia" w:ascii="仿宋" w:hAnsi="仿宋" w:eastAsia="仿宋" w:cs="仿宋"/>
          <w:sz w:val="30"/>
          <w:szCs w:val="30"/>
        </w:rPr>
        <w:t>：“</w:t>
      </w:r>
      <w:r>
        <w:rPr>
          <w:rFonts w:hint="eastAsia" w:ascii="仿宋" w:hAnsi="仿宋" w:eastAsia="仿宋" w:cs="仿宋"/>
          <w:sz w:val="30"/>
          <w:szCs w:val="30"/>
          <w:lang w:eastAsia="zh-Hans"/>
        </w:rPr>
        <w:t>在满足人民美好生活新期待、提高人民获得感幸福感这个目标上，文化建设和旅游事业的目标是一致的</w:t>
      </w:r>
      <w:r>
        <w:rPr>
          <w:rFonts w:hint="eastAsia" w:ascii="仿宋" w:hAnsi="仿宋" w:eastAsia="仿宋" w:cs="仿宋"/>
          <w:sz w:val="30"/>
          <w:szCs w:val="30"/>
        </w:rPr>
        <w:t>”，</w:t>
      </w:r>
      <w:r>
        <w:rPr>
          <w:rFonts w:hint="eastAsia" w:ascii="仿宋" w:hAnsi="仿宋" w:eastAsia="仿宋" w:cs="仿宋"/>
          <w:sz w:val="30"/>
          <w:szCs w:val="30"/>
          <w:lang w:eastAsia="zh-Hans"/>
        </w:rPr>
        <w:t>推动文化和旅游融合发展是满足人民美好生活需要的必然要求</w:t>
      </w:r>
      <w:r>
        <w:rPr>
          <w:rFonts w:hint="eastAsia" w:ascii="仿宋" w:hAnsi="仿宋" w:eastAsia="仿宋" w:cs="仿宋"/>
          <w:sz w:val="30"/>
          <w:szCs w:val="30"/>
        </w:rPr>
        <w:t>。2022年国务院印发中国“十四五”旅游业发展规划，提出：“着力推动文化和旅游深度融合，着力完善现代旅游业体系，加快旅游强国建设，努力实现旅游业更高质量、更有效率、更加公平、更可持续、更为安全的发展”。目前，“游在伊金霍洛旗、吃在康巴什、住在东胜”几乎成为一种市场趋向，特别是在特色小吃、住宿方面与康巴什、东胜的差距较大，区域竞争较大；临近响沙湾景区，受响沙湾阴影效应影响，客源和市场竞争较大；受周边呼和浩特、榆林、西安等旅游城市的影响，对伊金霍洛旗旅游客源市场的扩展以及旅游产业体系的升级提出了较高的要求。为贯彻国家相关政策要求，2022年自治区人民政府办公厅发布《内蒙古自治区“十四五”文化和旅游融合发展规划》中提出，“以满足人民群众高品质文化和旅游需求为着力点，围绕文化和旅游产业提质增效和晋位升级，全面推进旅游供给侧结构性改革，完善公共文化和旅游服务体系，增加优质文化和旅游产品供给，提升内蒙古文化旅游品牌影响力”。文旅集团以文旅融合和旅游高质量发展为目标，提出达尔扈特草原生态修复项目、转龙湾天然水域整治工程项目、剧院及赛马场相关业务开展项目、主题会议室提升改造项目、汽车租赁运营项目、蒙古源流文化产业园区合作运营项目，进一步提高当地生态环境水平和畜牧业、旅游业发展，盘活蒙古源流文化产业园区文旅产业资源，提升园区运营水平。</w:t>
      </w:r>
    </w:p>
    <w:p>
      <w:pPr>
        <w:adjustRightInd w:val="0"/>
        <w:snapToGri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达尔扈特草原生态修复项目</w:t>
      </w:r>
      <w:r>
        <w:rPr>
          <w:rFonts w:hint="eastAsia" w:ascii="仿宋" w:hAnsi="仿宋" w:eastAsia="仿宋" w:cs="仿宋"/>
          <w:sz w:val="30"/>
          <w:szCs w:val="30"/>
        </w:rPr>
        <w:t>，与社会资本方共同成立项目公司（鄂尔多斯市丰泰达尔扈特生态环境治理有限公司），以PPP合作模式实施达尔扈特草原生态修复项目。</w:t>
      </w:r>
    </w:p>
    <w:p>
      <w:pPr>
        <w:adjustRightInd w:val="0"/>
        <w:snapToGri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转龙湾天然水域整治工程项目</w:t>
      </w:r>
      <w:r>
        <w:rPr>
          <w:rFonts w:hint="eastAsia" w:ascii="仿宋" w:hAnsi="仿宋" w:eastAsia="仿宋" w:cs="仿宋"/>
          <w:sz w:val="30"/>
          <w:szCs w:val="30"/>
        </w:rPr>
        <w:t>，通过转龙湾景区的天然水域整治工程七个标段，对原转龙湾天然水域内的杂草和水土冲刷严重的地段，进行全面修缮和土方清理工作。</w:t>
      </w:r>
    </w:p>
    <w:p>
      <w:pPr>
        <w:adjustRightInd w:val="0"/>
        <w:snapToGrid w:val="0"/>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剧院及赛马场相关业务开展项目</w:t>
      </w:r>
      <w:r>
        <w:rPr>
          <w:rFonts w:hint="eastAsia" w:ascii="仿宋" w:hAnsi="仿宋" w:eastAsia="仿宋" w:cs="仿宋"/>
          <w:sz w:val="30"/>
          <w:szCs w:val="30"/>
        </w:rPr>
        <w:t>，通过实施剧院维修工程、采购消防及五金器材、缴纳赛马场供热费用等其他管理费用，保障影剧院和赛马场相关业务开展。</w:t>
      </w:r>
    </w:p>
    <w:p>
      <w:pPr>
        <w:adjustRightInd w:val="0"/>
        <w:snapToGri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主题会议室提升改造项目</w:t>
      </w:r>
      <w:r>
        <w:rPr>
          <w:rFonts w:hint="eastAsia" w:ascii="仿宋" w:hAnsi="仿宋" w:eastAsia="仿宋" w:cs="仿宋"/>
          <w:sz w:val="30"/>
          <w:szCs w:val="30"/>
        </w:rPr>
        <w:t>，按照市委要求，文旅集团负责与鄂尔多斯市国际会展有限公司签订协议并对主题会议室提升改造，主要包括配套定制会议服务、会展服务、文化旅游服务及广告推广平台服务等文旅服务产品。</w:t>
      </w:r>
    </w:p>
    <w:p>
      <w:pPr>
        <w:adjustRightInd w:val="0"/>
        <w:snapToGri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汽车租赁运营项目</w:t>
      </w:r>
      <w:r>
        <w:rPr>
          <w:rFonts w:hint="eastAsia" w:ascii="仿宋" w:hAnsi="仿宋" w:eastAsia="仿宋" w:cs="仿宋"/>
          <w:sz w:val="30"/>
          <w:szCs w:val="30"/>
        </w:rPr>
        <w:t>，通过购置1辆帕萨特、2辆别克GL8，满足子公司伊金霍洛旗天骄神骏汽车租赁有限公司租赁业务需求。</w:t>
      </w:r>
    </w:p>
    <w:p>
      <w:pPr>
        <w:adjustRightInd w:val="0"/>
        <w:snapToGrid w:val="0"/>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蒙古源流文化产业园区合作运营项目</w:t>
      </w:r>
      <w:r>
        <w:rPr>
          <w:rFonts w:hint="eastAsia" w:ascii="仿宋" w:hAnsi="仿宋" w:eastAsia="仿宋" w:cs="仿宋"/>
          <w:sz w:val="30"/>
          <w:szCs w:val="30"/>
        </w:rPr>
        <w:t>，通过收购鄂尔多斯市紫竹投资集团有限公司持有的鄂尔多斯文化旅游发展有限公司50.1%股权、偿还鄂尔多斯文化旅游发展有限公司合同债务，以及支付蒙古源流文化产业园区基本运营费用，解决蒙古源流文化产业园区合作运营遗留问题。</w:t>
      </w:r>
    </w:p>
    <w:p>
      <w:pPr>
        <w:adjustRightInd w:val="0"/>
        <w:snapToGrid w:val="0"/>
        <w:spacing w:line="360" w:lineRule="auto"/>
        <w:ind w:firstLine="602" w:firstLineChars="200"/>
        <w:outlineLvl w:val="2"/>
        <w:rPr>
          <w:rFonts w:hint="eastAsia" w:ascii="仿宋" w:hAnsi="仿宋" w:eastAsia="仿宋" w:cs="仿宋"/>
          <w:b/>
          <w:sz w:val="30"/>
          <w:szCs w:val="30"/>
          <w:lang w:eastAsia="zh-Hans"/>
        </w:rPr>
      </w:pPr>
      <w:r>
        <w:rPr>
          <w:rFonts w:hint="eastAsia" w:ascii="仿宋" w:hAnsi="仿宋" w:eastAsia="仿宋" w:cs="仿宋"/>
          <w:b/>
          <w:sz w:val="30"/>
          <w:szCs w:val="30"/>
          <w:lang w:eastAsia="zh-Hans"/>
        </w:rPr>
        <w:t>2.项目实施情况</w:t>
      </w:r>
    </w:p>
    <w:p>
      <w:pPr>
        <w:adjustRightInd w:val="0"/>
        <w:snapToGri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达尔扈特草原生态修复项目</w:t>
      </w:r>
      <w:r>
        <w:rPr>
          <w:rFonts w:hint="eastAsia" w:ascii="仿宋" w:hAnsi="仿宋" w:eastAsia="仿宋" w:cs="仿宋"/>
          <w:b w:val="0"/>
          <w:bCs w:val="0"/>
          <w:sz w:val="30"/>
          <w:szCs w:val="30"/>
        </w:rPr>
        <w:t>截至目前</w:t>
      </w:r>
      <w:r>
        <w:rPr>
          <w:rFonts w:hint="eastAsia" w:ascii="仿宋" w:hAnsi="仿宋" w:eastAsia="仿宋" w:cs="仿宋"/>
          <w:sz w:val="30"/>
          <w:szCs w:val="30"/>
        </w:rPr>
        <w:t>，完成与社会资本方共同成立鄂尔多斯市丰泰达尔扈特生态环境治理有限公司，文旅集团出资10%，蒙草生态环境（集团）股份有限公司出资90%共同成立。</w:t>
      </w:r>
    </w:p>
    <w:p>
      <w:pPr>
        <w:adjustRightInd w:val="0"/>
        <w:snapToGri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转龙湾天然水域整治工程项目</w:t>
      </w:r>
      <w:r>
        <w:rPr>
          <w:rFonts w:hint="eastAsia" w:ascii="仿宋" w:hAnsi="仿宋" w:eastAsia="仿宋" w:cs="仿宋"/>
          <w:b w:val="0"/>
          <w:bCs w:val="0"/>
          <w:sz w:val="30"/>
          <w:szCs w:val="30"/>
        </w:rPr>
        <w:t>截至目前</w:t>
      </w:r>
      <w:r>
        <w:rPr>
          <w:rFonts w:hint="eastAsia" w:ascii="仿宋" w:hAnsi="仿宋" w:eastAsia="仿宋" w:cs="仿宋"/>
          <w:sz w:val="30"/>
          <w:szCs w:val="30"/>
        </w:rPr>
        <w:t>，已完成清表面积约40万平方米，清理土方量约33.6万立方米，新填土坝约11.8万立方米。</w:t>
      </w:r>
    </w:p>
    <w:p>
      <w:pPr>
        <w:adjustRightInd w:val="0"/>
        <w:snapToGri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剧院及赛马场相关业务开展项目</w:t>
      </w:r>
      <w:r>
        <w:rPr>
          <w:rFonts w:hint="eastAsia" w:ascii="仿宋" w:hAnsi="仿宋" w:eastAsia="仿宋" w:cs="仿宋"/>
          <w:b w:val="0"/>
          <w:bCs w:val="0"/>
          <w:sz w:val="30"/>
          <w:szCs w:val="30"/>
        </w:rPr>
        <w:t>截至目前</w:t>
      </w:r>
      <w:r>
        <w:rPr>
          <w:rFonts w:hint="eastAsia" w:ascii="仿宋" w:hAnsi="仿宋" w:eastAsia="仿宋" w:cs="仿宋"/>
          <w:sz w:val="30"/>
          <w:szCs w:val="30"/>
        </w:rPr>
        <w:t>，已完成剧院维修工程、采购消防及五金器材、缴纳赛马场供热费用等其他管理费用。</w:t>
      </w:r>
    </w:p>
    <w:p>
      <w:pPr>
        <w:adjustRightInd w:val="0"/>
        <w:snapToGri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主题会议室提升改造项目</w:t>
      </w:r>
      <w:r>
        <w:rPr>
          <w:rFonts w:hint="eastAsia" w:ascii="仿宋" w:hAnsi="仿宋" w:eastAsia="仿宋" w:cs="仿宋"/>
          <w:b w:val="0"/>
          <w:bCs w:val="0"/>
          <w:sz w:val="30"/>
          <w:szCs w:val="30"/>
        </w:rPr>
        <w:t>截至目前</w:t>
      </w:r>
      <w:r>
        <w:rPr>
          <w:rFonts w:hint="eastAsia" w:ascii="仿宋" w:hAnsi="仿宋" w:eastAsia="仿宋" w:cs="仿宋"/>
          <w:sz w:val="30"/>
          <w:szCs w:val="30"/>
        </w:rPr>
        <w:t>，鄂尔多斯市国际会展有限公司现已完成主题会议室前期的低值易耗品及字画配套设施设备的采购及安装，正在逐步完成会议屏、电脑等电子设备的购置安装；但由于疫情等原因，尚未提供会展服务、文化旅游服务及广告推广平台服务。</w:t>
      </w:r>
    </w:p>
    <w:p>
      <w:pPr>
        <w:adjustRightInd w:val="0"/>
        <w:snapToGrid w:val="0"/>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汽车租赁运营项目</w:t>
      </w:r>
      <w:r>
        <w:rPr>
          <w:rFonts w:hint="eastAsia" w:ascii="仿宋" w:hAnsi="仿宋" w:eastAsia="仿宋" w:cs="仿宋"/>
          <w:b w:val="0"/>
          <w:bCs w:val="0"/>
          <w:sz w:val="30"/>
          <w:szCs w:val="30"/>
        </w:rPr>
        <w:t>截至目前</w:t>
      </w:r>
      <w:r>
        <w:rPr>
          <w:rFonts w:hint="eastAsia" w:ascii="仿宋" w:hAnsi="仿宋" w:eastAsia="仿宋" w:cs="仿宋"/>
          <w:sz w:val="30"/>
          <w:szCs w:val="30"/>
        </w:rPr>
        <w:t>，</w:t>
      </w:r>
      <w:r>
        <w:rPr>
          <w:rFonts w:hint="eastAsia" w:ascii="仿宋" w:hAnsi="仿宋" w:eastAsia="仿宋" w:cs="仿宋"/>
          <w:sz w:val="30"/>
          <w:szCs w:val="30"/>
          <w:lang w:val="en-US" w:eastAsia="zh-CN"/>
        </w:rPr>
        <w:t>伊金霍洛旗天骄神骏汽车租赁有限公司</w:t>
      </w:r>
      <w:r>
        <w:rPr>
          <w:rFonts w:hint="eastAsia" w:ascii="仿宋" w:hAnsi="仿宋" w:eastAsia="仿宋" w:cs="仿宋"/>
          <w:sz w:val="30"/>
          <w:szCs w:val="30"/>
        </w:rPr>
        <w:t>通过询比价方式已完成采购1辆2022款280TSI精英版帕萨特、2辆2022款ES陆尊635T豪华型GL8，并根据中国人民政治协商会议伊金霍洛旗委员会办公室和伊金霍洛旗人民代表大会常务委员会办公室的租赁需求，与其完成租赁1辆2022款280TSI精英版帕萨特，2辆2022款ES陆尊635T豪华型GL8。</w:t>
      </w:r>
    </w:p>
    <w:p>
      <w:pPr>
        <w:adjustRightInd w:val="0"/>
        <w:snapToGrid w:val="0"/>
        <w:spacing w:line="360" w:lineRule="auto"/>
        <w:ind w:firstLine="602" w:firstLineChars="200"/>
        <w:rPr>
          <w:rFonts w:hint="eastAsia"/>
        </w:rPr>
      </w:pPr>
      <w:r>
        <w:rPr>
          <w:rFonts w:hint="eastAsia" w:ascii="仿宋" w:hAnsi="仿宋" w:eastAsia="仿宋" w:cs="仿宋"/>
          <w:b/>
          <w:bCs/>
          <w:sz w:val="30"/>
          <w:szCs w:val="30"/>
        </w:rPr>
        <w:t>蒙古源流文化产业园区合作运营项目</w:t>
      </w:r>
      <w:r>
        <w:rPr>
          <w:rFonts w:hint="eastAsia" w:ascii="仿宋" w:hAnsi="仿宋" w:eastAsia="仿宋" w:cs="仿宋"/>
          <w:b w:val="0"/>
          <w:bCs w:val="0"/>
          <w:sz w:val="30"/>
          <w:szCs w:val="30"/>
        </w:rPr>
        <w:t>截至目前</w:t>
      </w:r>
      <w:r>
        <w:rPr>
          <w:rFonts w:hint="eastAsia" w:ascii="仿宋" w:hAnsi="仿宋" w:eastAsia="仿宋" w:cs="仿宋"/>
          <w:sz w:val="30"/>
          <w:szCs w:val="30"/>
        </w:rPr>
        <w:t>，</w:t>
      </w:r>
      <w:r>
        <w:rPr>
          <w:rFonts w:hint="eastAsia" w:ascii="仿宋" w:hAnsi="仿宋" w:eastAsia="仿宋" w:cs="仿宋"/>
          <w:sz w:val="30"/>
          <w:szCs w:val="30"/>
          <w:lang w:val="en-US" w:eastAsia="zh-CN"/>
        </w:rPr>
        <w:t>蒙古源流公司</w:t>
      </w:r>
      <w:r>
        <w:rPr>
          <w:rFonts w:hint="eastAsia" w:ascii="仿宋" w:hAnsi="仿宋" w:eastAsia="仿宋" w:cs="仿宋"/>
          <w:sz w:val="30"/>
          <w:szCs w:val="30"/>
        </w:rPr>
        <w:t>已完成收购鄂尔多斯市紫竹投资集团有限公司持有的鄂尔多斯文化旅游发展有限公司50.1%股权、偿还鄂尔多斯文化旅游发展有限公司合同债务，以及支付蒙古源流文化产业园区基本运营费用等。</w:t>
      </w:r>
    </w:p>
    <w:p>
      <w:pPr>
        <w:adjustRightInd w:val="0"/>
        <w:snapToGrid w:val="0"/>
        <w:spacing w:line="360" w:lineRule="auto"/>
        <w:ind w:firstLine="602" w:firstLineChars="200"/>
        <w:outlineLvl w:val="2"/>
        <w:rPr>
          <w:rFonts w:hint="eastAsia" w:ascii="仿宋" w:hAnsi="仿宋" w:eastAsia="仿宋" w:cs="仿宋"/>
          <w:b/>
          <w:sz w:val="30"/>
          <w:szCs w:val="30"/>
          <w:lang w:eastAsia="zh-Hans"/>
        </w:rPr>
      </w:pPr>
      <w:r>
        <w:rPr>
          <w:rFonts w:hint="eastAsia" w:ascii="仿宋" w:hAnsi="仿宋" w:eastAsia="仿宋" w:cs="仿宋"/>
          <w:b/>
          <w:sz w:val="30"/>
          <w:szCs w:val="30"/>
          <w:lang w:eastAsia="zh-Hans"/>
        </w:rPr>
        <w:t>3.项目资金情况</w:t>
      </w:r>
    </w:p>
    <w:p>
      <w:pPr>
        <w:pStyle w:val="17"/>
        <w:adjustRightInd w:val="0"/>
        <w:snapToGrid w:val="0"/>
        <w:spacing w:before="0" w:after="0" w:line="360" w:lineRule="auto"/>
        <w:ind w:firstLine="602" w:firstLineChars="200"/>
        <w:jc w:val="left"/>
        <w:outlineLvl w:val="9"/>
        <w:rPr>
          <w:rFonts w:ascii="仿宋" w:hAnsi="仿宋" w:eastAsia="仿宋" w:cs="仿宋"/>
          <w:b w:val="0"/>
          <w:bCs w:val="0"/>
          <w:sz w:val="30"/>
          <w:szCs w:val="30"/>
          <w:highlight w:val="darkGray"/>
        </w:rPr>
      </w:pPr>
      <w:r>
        <w:rPr>
          <w:rFonts w:hint="eastAsia" w:ascii="仿宋" w:hAnsi="仿宋" w:eastAsia="仿宋" w:cs="仿宋"/>
          <w:sz w:val="30"/>
          <w:szCs w:val="30"/>
        </w:rPr>
        <w:t>达尔扈特草原生态修复项目</w:t>
      </w:r>
      <w:r>
        <w:rPr>
          <w:rFonts w:hint="eastAsia" w:ascii="仿宋" w:hAnsi="仿宋" w:eastAsia="仿宋" w:cs="仿宋"/>
          <w:b w:val="0"/>
          <w:bCs w:val="0"/>
          <w:sz w:val="30"/>
          <w:szCs w:val="30"/>
        </w:rPr>
        <w:t>总投资610.61万元，</w:t>
      </w:r>
      <w:bookmarkStart w:id="6" w:name="_Toc4287"/>
      <w:r>
        <w:rPr>
          <w:rFonts w:hint="eastAsia" w:ascii="仿宋" w:hAnsi="仿宋" w:eastAsia="仿宋" w:cs="仿宋"/>
          <w:b w:val="0"/>
          <w:bCs w:val="0"/>
          <w:sz w:val="30"/>
          <w:szCs w:val="30"/>
        </w:rPr>
        <w:t>项目资金主要用于与社会资本方共同成立鄂尔多斯市丰泰达尔扈特生态环境治理有限公司，文旅集团出资61.06万元，持有10%股权，蒙草生态环境（集团）股份有限公司出资549.55万元，持有90%股份。2021年度至2022年度，项目共到位资金61.06万元，全部为注册资本金，实际支出</w:t>
      </w:r>
      <w:bookmarkEnd w:id="6"/>
      <w:r>
        <w:rPr>
          <w:rFonts w:hint="eastAsia" w:ascii="仿宋" w:hAnsi="仿宋" w:eastAsia="仿宋" w:cs="仿宋"/>
          <w:b w:val="0"/>
          <w:bCs w:val="0"/>
          <w:sz w:val="30"/>
          <w:szCs w:val="30"/>
        </w:rPr>
        <w:t>61.06万元，</w:t>
      </w:r>
      <w:r>
        <w:rPr>
          <w:rFonts w:hint="eastAsia" w:ascii="仿宋" w:hAnsi="仿宋" w:eastAsia="仿宋" w:cs="仿宋"/>
          <w:b w:val="0"/>
          <w:bCs w:val="0"/>
          <w:sz w:val="30"/>
          <w:szCs w:val="30"/>
          <w:lang w:val="en-US" w:eastAsia="zh-CN"/>
        </w:rPr>
        <w:t>预算执行率为100%，</w:t>
      </w:r>
      <w:r>
        <w:rPr>
          <w:rFonts w:hint="eastAsia" w:ascii="仿宋" w:hAnsi="仿宋" w:eastAsia="仿宋" w:cs="仿宋"/>
          <w:b w:val="0"/>
          <w:bCs w:val="0"/>
          <w:sz w:val="30"/>
          <w:szCs w:val="30"/>
        </w:rPr>
        <w:t>具体为支付鄂尔多斯市丰泰达尔扈特生态环境治理有限公司注资费用。</w:t>
      </w:r>
    </w:p>
    <w:p>
      <w:pPr>
        <w:pStyle w:val="17"/>
        <w:adjustRightInd w:val="0"/>
        <w:snapToGrid w:val="0"/>
        <w:spacing w:before="0" w:after="0" w:line="360" w:lineRule="auto"/>
        <w:ind w:firstLine="602" w:firstLineChars="200"/>
        <w:jc w:val="left"/>
        <w:outlineLvl w:val="9"/>
        <w:rPr>
          <w:rFonts w:hint="eastAsia" w:ascii="仿宋" w:hAnsi="仿宋" w:eastAsia="仿宋" w:cs="仿宋"/>
          <w:sz w:val="30"/>
          <w:szCs w:val="30"/>
        </w:rPr>
      </w:pPr>
      <w:r>
        <w:rPr>
          <w:rFonts w:hint="eastAsia" w:ascii="仿宋" w:hAnsi="仿宋" w:eastAsia="仿宋" w:cs="仿宋"/>
          <w:sz w:val="30"/>
          <w:szCs w:val="30"/>
        </w:rPr>
        <w:t>转龙湾天然水域整治工程项目</w:t>
      </w:r>
      <w:r>
        <w:rPr>
          <w:rFonts w:hint="eastAsia" w:ascii="仿宋" w:hAnsi="仿宋" w:eastAsia="仿宋" w:cs="仿宋"/>
          <w:b w:val="0"/>
          <w:bCs w:val="0"/>
          <w:sz w:val="30"/>
          <w:szCs w:val="30"/>
        </w:rPr>
        <w:t>资金主要用于清表面积约40万平方米，清理土方量约33.6万立方米，新填土坝约11.8万立方米。2021年度至2022年度，项目共到位资金963.00万元，全部为注册资本金，实际支出967.74万元（其中4.74万元为企业自筹资金），</w:t>
      </w:r>
      <w:r>
        <w:rPr>
          <w:rFonts w:hint="eastAsia" w:ascii="仿宋" w:hAnsi="仿宋" w:eastAsia="仿宋" w:cs="仿宋"/>
          <w:b w:val="0"/>
          <w:bCs w:val="0"/>
          <w:sz w:val="30"/>
          <w:szCs w:val="30"/>
          <w:lang w:val="en-US" w:eastAsia="zh-CN"/>
        </w:rPr>
        <w:t>预算执行率为100%，</w:t>
      </w:r>
      <w:r>
        <w:rPr>
          <w:rFonts w:hint="eastAsia" w:ascii="仿宋" w:hAnsi="仿宋" w:eastAsia="仿宋" w:cs="仿宋"/>
          <w:b w:val="0"/>
          <w:bCs w:val="0"/>
          <w:sz w:val="30"/>
          <w:szCs w:val="30"/>
        </w:rPr>
        <w:t>具体为支付测绘、勘察、编制、设计、咨询、砼引水渠道工程、水域整治工程七个标段工程等费用。</w:t>
      </w:r>
    </w:p>
    <w:p>
      <w:pPr>
        <w:adjustRightInd w:val="0"/>
        <w:snapToGrid w:val="0"/>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剧院及赛马场相关业务开展项目</w:t>
      </w:r>
      <w:r>
        <w:rPr>
          <w:rFonts w:hint="eastAsia" w:ascii="仿宋" w:hAnsi="仿宋" w:eastAsia="仿宋" w:cs="仿宋"/>
          <w:sz w:val="30"/>
          <w:szCs w:val="30"/>
        </w:rPr>
        <w:t>资金主要用于支付影剧院、赛马场运营成本费用。2021年度至2022年度，项目共到位资金500.00万元，全部为注册资本金，实际支出558.</w:t>
      </w:r>
      <w:r>
        <w:rPr>
          <w:rFonts w:hint="eastAsia" w:ascii="仿宋" w:hAnsi="仿宋" w:eastAsia="仿宋" w:cs="仿宋"/>
          <w:sz w:val="30"/>
          <w:szCs w:val="30"/>
          <w:lang w:val="en-US" w:eastAsia="zh-CN"/>
        </w:rPr>
        <w:t>90</w:t>
      </w:r>
      <w:r>
        <w:rPr>
          <w:rFonts w:hint="eastAsia" w:ascii="仿宋" w:hAnsi="仿宋" w:eastAsia="仿宋" w:cs="仿宋"/>
          <w:sz w:val="30"/>
          <w:szCs w:val="30"/>
        </w:rPr>
        <w:t>万元（其中58.</w:t>
      </w:r>
      <w:r>
        <w:rPr>
          <w:rFonts w:hint="eastAsia" w:ascii="仿宋" w:hAnsi="仿宋" w:eastAsia="仿宋" w:cs="仿宋"/>
          <w:sz w:val="30"/>
          <w:szCs w:val="30"/>
          <w:lang w:val="en-US" w:eastAsia="zh-CN"/>
        </w:rPr>
        <w:t>90</w:t>
      </w:r>
      <w:r>
        <w:rPr>
          <w:rFonts w:hint="eastAsia" w:ascii="仿宋" w:hAnsi="仿宋" w:eastAsia="仿宋" w:cs="仿宋"/>
          <w:sz w:val="30"/>
          <w:szCs w:val="30"/>
        </w:rPr>
        <w:t>万元为企业自筹资金），</w:t>
      </w:r>
      <w:r>
        <w:rPr>
          <w:rFonts w:hint="eastAsia" w:ascii="仿宋" w:hAnsi="仿宋" w:eastAsia="仿宋" w:cs="仿宋"/>
          <w:b w:val="0"/>
          <w:bCs w:val="0"/>
          <w:sz w:val="30"/>
          <w:szCs w:val="30"/>
          <w:lang w:val="en-US" w:eastAsia="zh-CN"/>
        </w:rPr>
        <w:t>预算执行率为100%，</w:t>
      </w:r>
      <w:r>
        <w:rPr>
          <w:rFonts w:hint="eastAsia" w:ascii="仿宋" w:hAnsi="仿宋" w:eastAsia="仿宋" w:cs="仿宋"/>
          <w:sz w:val="30"/>
          <w:szCs w:val="30"/>
        </w:rPr>
        <w:t>具体为支付剧院维修工程、采购消防及五金器材、缴纳赛马场供热费用等其他管理费用。</w:t>
      </w:r>
    </w:p>
    <w:p>
      <w:pPr>
        <w:adjustRightInd w:val="0"/>
        <w:snapToGrid w:val="0"/>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主题会议室提升改造项目</w:t>
      </w:r>
      <w:r>
        <w:rPr>
          <w:rFonts w:hint="eastAsia" w:ascii="仿宋" w:hAnsi="仿宋" w:eastAsia="仿宋" w:cs="仿宋"/>
          <w:sz w:val="30"/>
          <w:szCs w:val="30"/>
        </w:rPr>
        <w:t>资金主要用于主题会议室的提升改造。2021年度至2022年度，项目共到位资金70.00万元，全部为注册资本金，实际支出60.00万元，</w:t>
      </w:r>
      <w:r>
        <w:rPr>
          <w:rFonts w:hint="eastAsia" w:ascii="仿宋" w:hAnsi="仿宋" w:eastAsia="仿宋" w:cs="仿宋"/>
          <w:b w:val="0"/>
          <w:bCs w:val="0"/>
          <w:sz w:val="30"/>
          <w:szCs w:val="30"/>
          <w:lang w:val="en-US" w:eastAsia="zh-CN"/>
        </w:rPr>
        <w:t>预算执行率为85.71%，</w:t>
      </w:r>
      <w:r>
        <w:rPr>
          <w:rFonts w:hint="eastAsia" w:ascii="仿宋" w:hAnsi="仿宋" w:eastAsia="仿宋" w:cs="仿宋"/>
          <w:sz w:val="30"/>
          <w:szCs w:val="30"/>
        </w:rPr>
        <w:t>由于鄂尔多斯市国际会展有限公司未提供会展服务、文化旅游服务及广告推广平台服务，故剩余10万元未付，实际支出具体为配套定制会议服务费用。</w:t>
      </w:r>
    </w:p>
    <w:p>
      <w:pPr>
        <w:adjustRightInd w:val="0"/>
        <w:snapToGri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汽车租赁运营项目</w:t>
      </w:r>
      <w:r>
        <w:rPr>
          <w:rFonts w:hint="eastAsia" w:ascii="仿宋" w:hAnsi="仿宋" w:eastAsia="仿宋" w:cs="仿宋"/>
          <w:sz w:val="30"/>
          <w:szCs w:val="30"/>
        </w:rPr>
        <w:t>资金主要用于购置1辆帕萨特、购置2辆别克GL8。2021年度至2022年度，项目共到位资金100.00万元，全部为注册资本金，实际支出</w:t>
      </w:r>
      <w:r>
        <w:rPr>
          <w:rFonts w:hint="eastAsia" w:ascii="仿宋" w:hAnsi="仿宋" w:eastAsia="仿宋" w:cs="仿宋"/>
          <w:sz w:val="30"/>
          <w:szCs w:val="30"/>
          <w:highlight w:val="none"/>
        </w:rPr>
        <w:t>101.82</w:t>
      </w:r>
      <w:r>
        <w:rPr>
          <w:rFonts w:hint="eastAsia" w:ascii="仿宋" w:hAnsi="仿宋" w:eastAsia="仿宋" w:cs="仿宋"/>
          <w:sz w:val="30"/>
          <w:szCs w:val="30"/>
        </w:rPr>
        <w:t>万元（其中1.82万元为企业自筹资金），</w:t>
      </w:r>
      <w:r>
        <w:rPr>
          <w:rFonts w:hint="eastAsia" w:ascii="仿宋" w:hAnsi="仿宋" w:eastAsia="仿宋" w:cs="仿宋"/>
          <w:b w:val="0"/>
          <w:bCs w:val="0"/>
          <w:sz w:val="30"/>
          <w:szCs w:val="30"/>
          <w:lang w:val="en-US" w:eastAsia="zh-CN"/>
        </w:rPr>
        <w:t>预算执行率为100%，</w:t>
      </w:r>
      <w:r>
        <w:rPr>
          <w:rFonts w:hint="eastAsia" w:ascii="仿宋" w:hAnsi="仿宋" w:eastAsia="仿宋" w:cs="仿宋"/>
          <w:sz w:val="30"/>
          <w:szCs w:val="30"/>
        </w:rPr>
        <w:t>具体为支付1辆帕萨特2022年精英版、2辆别克GL8车辆费用及车辆购置税费用。</w:t>
      </w:r>
    </w:p>
    <w:p>
      <w:pPr>
        <w:adjustRightInd w:val="0"/>
        <w:snapToGrid w:val="0"/>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蒙古源流文化产业园区合作运营项目</w:t>
      </w:r>
      <w:r>
        <w:rPr>
          <w:rFonts w:hint="eastAsia" w:ascii="仿宋" w:hAnsi="仿宋" w:eastAsia="仿宋" w:cs="仿宋"/>
          <w:sz w:val="30"/>
          <w:szCs w:val="30"/>
        </w:rPr>
        <w:t>资金主要用于解决蒙古源流文化产业园区合作运营遗留问题。2021年度至2022年度，项目共到位资金15354.81万元，全部为注册资本金，实际支出15386.</w:t>
      </w:r>
      <w:r>
        <w:rPr>
          <w:rFonts w:hint="eastAsia" w:ascii="仿宋" w:hAnsi="仿宋" w:eastAsia="仿宋" w:cs="仿宋"/>
          <w:sz w:val="30"/>
          <w:szCs w:val="30"/>
          <w:lang w:val="en-US" w:eastAsia="zh-CN"/>
        </w:rPr>
        <w:t>29</w:t>
      </w:r>
      <w:r>
        <w:rPr>
          <w:rFonts w:hint="eastAsia" w:ascii="仿宋" w:hAnsi="仿宋" w:eastAsia="仿宋" w:cs="仿宋"/>
          <w:sz w:val="30"/>
          <w:szCs w:val="30"/>
        </w:rPr>
        <w:t>万元（其中31.4</w:t>
      </w:r>
      <w:r>
        <w:rPr>
          <w:rFonts w:hint="eastAsia" w:ascii="仿宋" w:hAnsi="仿宋" w:eastAsia="仿宋" w:cs="仿宋"/>
          <w:sz w:val="30"/>
          <w:szCs w:val="30"/>
          <w:lang w:val="en-US" w:eastAsia="zh-CN"/>
        </w:rPr>
        <w:t>8</w:t>
      </w:r>
      <w:r>
        <w:rPr>
          <w:rFonts w:hint="eastAsia" w:ascii="仿宋" w:hAnsi="仿宋" w:eastAsia="仿宋" w:cs="仿宋"/>
          <w:sz w:val="30"/>
          <w:szCs w:val="30"/>
        </w:rPr>
        <w:t>万元为企业自筹资金），</w:t>
      </w:r>
      <w:r>
        <w:rPr>
          <w:rFonts w:hint="eastAsia" w:ascii="仿宋" w:hAnsi="仿宋" w:eastAsia="仿宋" w:cs="仿宋"/>
          <w:b w:val="0"/>
          <w:bCs w:val="0"/>
          <w:sz w:val="30"/>
          <w:szCs w:val="30"/>
          <w:lang w:val="en-US" w:eastAsia="zh-CN"/>
        </w:rPr>
        <w:t>预算执行率为100%，</w:t>
      </w:r>
      <w:r>
        <w:rPr>
          <w:rFonts w:hint="eastAsia" w:ascii="仿宋" w:hAnsi="仿宋" w:eastAsia="仿宋" w:cs="仿宋"/>
          <w:sz w:val="30"/>
          <w:szCs w:val="30"/>
        </w:rPr>
        <w:t>具体为支付股权转让费用、合同债务、园区基本运营费用、土地出让金及水土保持补偿费等费用。</w:t>
      </w:r>
    </w:p>
    <w:p>
      <w:pPr>
        <w:pStyle w:val="61"/>
        <w:spacing w:line="360" w:lineRule="auto"/>
        <w:ind w:firstLine="602"/>
        <w:outlineLvl w:val="0"/>
        <w:rPr>
          <w:rFonts w:ascii="楷体" w:hAnsi="楷体" w:eastAsia="黑体"/>
          <w:b/>
          <w:bCs/>
          <w:sz w:val="30"/>
          <w:szCs w:val="30"/>
        </w:rPr>
      </w:pPr>
      <w:r>
        <w:rPr>
          <w:rFonts w:ascii="Times New Roman" w:hAnsi="Times New Roman" w:eastAsia="黑体"/>
          <w:b w:val="0"/>
          <w:sz w:val="30"/>
          <w:szCs w:val="30"/>
        </w:rPr>
        <w:t>二、</w:t>
      </w:r>
      <w:r>
        <w:rPr>
          <w:rFonts w:hint="eastAsia" w:ascii="Times New Roman" w:hAnsi="Times New Roman" w:eastAsia="黑体"/>
          <w:b/>
          <w:sz w:val="30"/>
          <w:szCs w:val="30"/>
        </w:rPr>
        <w:t>综合评价结论</w:t>
      </w:r>
    </w:p>
    <w:p>
      <w:pPr>
        <w:adjustRightInd w:val="0"/>
        <w:snapToGrid w:val="0"/>
        <w:spacing w:line="360" w:lineRule="auto"/>
        <w:ind w:firstLine="602" w:firstLineChars="200"/>
        <w:rPr>
          <w:rFonts w:hint="eastAsia" w:ascii="仿宋" w:hAnsi="仿宋" w:eastAsia="仿宋" w:cs="仿宋"/>
          <w:b/>
          <w:caps/>
          <w:sz w:val="30"/>
          <w:szCs w:val="30"/>
        </w:rPr>
      </w:pPr>
      <w:r>
        <w:rPr>
          <w:rFonts w:hint="eastAsia" w:ascii="仿宋" w:hAnsi="仿宋" w:eastAsia="仿宋" w:cs="仿宋"/>
          <w:b/>
          <w:caps/>
          <w:sz w:val="30"/>
          <w:szCs w:val="30"/>
        </w:rPr>
        <w:t>该项目绩效评价得分为89.55分，综合评价等级为“良”。</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bCs/>
          <w:caps/>
          <w:sz w:val="30"/>
          <w:szCs w:val="30"/>
        </w:rPr>
        <w:t>评价认为，</w:t>
      </w:r>
      <w:r>
        <w:rPr>
          <w:rFonts w:hint="eastAsia" w:ascii="仿宋" w:hAnsi="仿宋" w:eastAsia="仿宋" w:cs="仿宋"/>
          <w:sz w:val="30"/>
          <w:szCs w:val="30"/>
        </w:rPr>
        <w:t>达尔扈特草原生态修复项目、转龙湾天然水域整治工程项目、剧院及赛马场相关业务开展项目、主题会议室提升改造项目、汽车租赁运营项目、蒙古源流文化产业园区合作运营项目建成后，进一步提高当地生态环境水平和畜牧业、旅游业发展，可提升整个景区的观赏性及知名度，盘活蒙古源流文化产业园区文旅产业资源，提升园区运营水平。</w:t>
      </w:r>
    </w:p>
    <w:p>
      <w:pPr>
        <w:adjustRightInd w:val="0"/>
        <w:snapToGrid w:val="0"/>
        <w:spacing w:line="360" w:lineRule="auto"/>
        <w:ind w:firstLine="600" w:firstLineChars="200"/>
        <w:rPr>
          <w:rFonts w:ascii="黑体" w:hAnsi="黑体" w:eastAsia="黑体" w:cs="黑体"/>
          <w:bCs/>
          <w:sz w:val="24"/>
          <w:szCs w:val="24"/>
        </w:rPr>
      </w:pPr>
      <w:r>
        <w:rPr>
          <w:rFonts w:hint="eastAsia" w:ascii="仿宋" w:hAnsi="仿宋" w:eastAsia="仿宋" w:cs="Arial"/>
          <w:bCs/>
          <w:caps/>
          <w:sz w:val="30"/>
          <w:szCs w:val="30"/>
        </w:rPr>
        <w:t>但由于转龙湾天然水域整治工程项目</w:t>
      </w:r>
      <w:r>
        <w:rPr>
          <w:rFonts w:hint="eastAsia" w:ascii="仿宋" w:hAnsi="仿宋" w:eastAsia="仿宋" w:cs="仿宋"/>
          <w:sz w:val="30"/>
          <w:szCs w:val="30"/>
        </w:rPr>
        <w:t>未全部完成清理清表工作，主题会议室提升改造项目未完成会展服务、文化旅游服务及广告推广平台服务，故相关产出效益未能全部显现；因2021年人员成本及折旧费增加，2022年整合重组并入5家公司</w:t>
      </w:r>
      <w:r>
        <w:rPr>
          <w:rFonts w:hint="eastAsia" w:ascii="仿宋" w:hAnsi="仿宋" w:eastAsia="仿宋" w:cs="Arial"/>
          <w:bCs/>
          <w:caps/>
          <w:sz w:val="30"/>
          <w:szCs w:val="30"/>
        </w:rPr>
        <w:t>，故管理费用占营业收入比重发生明显提高，年度变动明显高于营业收入变动幅度；根据企业2021年、2022年实际值与地方国有企业地方传播与文化业绩效评价标准值对比，2021年与2022年营业利润率均小于</w:t>
      </w:r>
      <w:r>
        <w:rPr>
          <w:rFonts w:hint="eastAsia" w:ascii="仿宋" w:hAnsi="仿宋" w:eastAsia="仿宋" w:cs="Arial"/>
          <w:bCs/>
          <w:caps/>
          <w:sz w:val="30"/>
          <w:szCs w:val="30"/>
          <w:lang w:val="en-US" w:eastAsia="zh-CN"/>
        </w:rPr>
        <w:t>行业</w:t>
      </w:r>
      <w:r>
        <w:rPr>
          <w:rFonts w:hint="eastAsia" w:ascii="仿宋" w:hAnsi="仿宋" w:eastAsia="仿宋" w:cs="Arial"/>
          <w:bCs/>
          <w:caps/>
          <w:sz w:val="30"/>
          <w:szCs w:val="30"/>
        </w:rPr>
        <w:t>较差值，2021年资产负债率大于</w:t>
      </w:r>
      <w:r>
        <w:rPr>
          <w:rFonts w:hint="eastAsia" w:ascii="仿宋" w:hAnsi="仿宋" w:eastAsia="仿宋" w:cs="Arial"/>
          <w:bCs/>
          <w:caps/>
          <w:sz w:val="30"/>
          <w:szCs w:val="30"/>
          <w:lang w:val="en-US" w:eastAsia="zh-CN"/>
        </w:rPr>
        <w:t>行业</w:t>
      </w:r>
      <w:r>
        <w:rPr>
          <w:rFonts w:hint="eastAsia" w:ascii="仿宋" w:hAnsi="仿宋" w:eastAsia="仿宋" w:cs="Arial"/>
          <w:bCs/>
          <w:caps/>
          <w:sz w:val="30"/>
          <w:szCs w:val="30"/>
        </w:rPr>
        <w:t>平均值小于</w:t>
      </w:r>
      <w:r>
        <w:rPr>
          <w:rFonts w:hint="eastAsia" w:ascii="仿宋" w:hAnsi="仿宋" w:eastAsia="仿宋" w:cs="Arial"/>
          <w:bCs/>
          <w:caps/>
          <w:sz w:val="30"/>
          <w:szCs w:val="30"/>
          <w:lang w:val="en-US" w:eastAsia="zh-CN"/>
        </w:rPr>
        <w:t>行业</w:t>
      </w:r>
      <w:r>
        <w:rPr>
          <w:rFonts w:hint="eastAsia" w:ascii="仿宋" w:hAnsi="仿宋" w:eastAsia="仿宋" w:cs="Arial"/>
          <w:bCs/>
          <w:caps/>
          <w:sz w:val="30"/>
          <w:szCs w:val="30"/>
        </w:rPr>
        <w:t>较低值，经营业绩水平有待提高。</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0"/>
        <w:rPr>
          <w:rFonts w:hint="eastAsia" w:ascii="黑体" w:hAnsi="黑体" w:eastAsia="黑体" w:cs="黑体"/>
          <w:bCs/>
          <w:sz w:val="30"/>
          <w:szCs w:val="30"/>
        </w:rPr>
      </w:pPr>
      <w:r>
        <w:rPr>
          <w:rFonts w:hint="eastAsia" w:ascii="黑体" w:hAnsi="黑体" w:eastAsia="黑体" w:cs="黑体"/>
          <w:bCs/>
          <w:caps/>
          <w:sz w:val="30"/>
          <w:szCs w:val="30"/>
          <w:lang w:eastAsia="zh-CN"/>
        </w:rPr>
        <w:t>三</w:t>
      </w:r>
      <w:r>
        <w:rPr>
          <w:rFonts w:hint="eastAsia" w:ascii="黑体" w:hAnsi="黑体" w:eastAsia="黑体" w:cs="黑体"/>
          <w:bCs/>
          <w:caps/>
          <w:sz w:val="30"/>
          <w:szCs w:val="30"/>
        </w:rPr>
        <w:t>、发现的主要问题</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0"/>
        <w:rPr>
          <w:rFonts w:eastAsia="楷体"/>
          <w:b/>
          <w:bCs/>
          <w:sz w:val="30"/>
          <w:szCs w:val="30"/>
        </w:rPr>
      </w:pPr>
      <w:r>
        <w:rPr>
          <w:rFonts w:hint="eastAsia" w:ascii="楷体" w:hAnsi="楷体" w:eastAsia="楷体" w:cs="楷体"/>
          <w:b/>
          <w:caps/>
          <w:sz w:val="30"/>
          <w:szCs w:val="30"/>
          <w:lang w:eastAsia="zh-Hans"/>
        </w:rPr>
        <w:t>（</w:t>
      </w:r>
      <w:r>
        <w:rPr>
          <w:rFonts w:hint="eastAsia" w:ascii="楷体" w:hAnsi="楷体" w:eastAsia="楷体" w:cs="楷体"/>
          <w:b/>
          <w:caps/>
          <w:sz w:val="30"/>
          <w:szCs w:val="30"/>
        </w:rPr>
        <w:t>一</w:t>
      </w:r>
      <w:r>
        <w:rPr>
          <w:rFonts w:hint="eastAsia" w:ascii="楷体" w:hAnsi="楷体" w:eastAsia="楷体" w:cs="楷体"/>
          <w:b/>
          <w:caps/>
          <w:sz w:val="30"/>
          <w:szCs w:val="30"/>
          <w:lang w:eastAsia="zh-Hans"/>
        </w:rPr>
        <w:t>）</w:t>
      </w:r>
      <w:r>
        <w:rPr>
          <w:rFonts w:hint="eastAsia" w:ascii="楷体" w:hAnsi="楷体" w:eastAsia="楷体" w:cs="楷体"/>
          <w:b/>
          <w:caps/>
          <w:sz w:val="30"/>
          <w:szCs w:val="30"/>
        </w:rPr>
        <w:t>部分项目前期评估不足</w:t>
      </w:r>
      <w:r>
        <w:rPr>
          <w:rFonts w:hint="eastAsia" w:eastAsia="楷体"/>
          <w:b/>
          <w:bCs/>
          <w:sz w:val="30"/>
          <w:szCs w:val="30"/>
        </w:rPr>
        <w:t>，部分项目停滞或未开展</w:t>
      </w:r>
      <w:r>
        <w:rPr>
          <w:rFonts w:hint="eastAsia" w:eastAsia="楷体"/>
          <w:b/>
          <w:bCs/>
          <w:sz w:val="30"/>
          <w:szCs w:val="30"/>
          <w:lang w:eastAsia="zh-CN"/>
        </w:rPr>
        <w:t>，</w:t>
      </w:r>
      <w:r>
        <w:rPr>
          <w:rFonts w:hint="eastAsia" w:eastAsia="楷体"/>
          <w:b/>
          <w:bCs/>
          <w:sz w:val="30"/>
          <w:szCs w:val="30"/>
        </w:rPr>
        <w:t>效益未完全显现</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仿宋" w:hAnsi="仿宋" w:eastAsia="仿宋" w:cs="仿宋"/>
          <w:bCs/>
          <w:caps/>
          <w:sz w:val="30"/>
          <w:szCs w:val="30"/>
          <w:highlight w:val="yellow"/>
          <w:lang w:eastAsia="zh-Hans"/>
        </w:rPr>
      </w:pPr>
      <w:r>
        <w:rPr>
          <w:rFonts w:hint="eastAsia" w:ascii="仿宋" w:hAnsi="仿宋" w:eastAsia="仿宋"/>
          <w:b/>
          <w:bCs w:val="0"/>
          <w:sz w:val="30"/>
          <w:szCs w:val="30"/>
          <w:lang w:val="en-US" w:eastAsia="zh-CN"/>
        </w:rPr>
        <w:t>一是</w:t>
      </w:r>
      <w:r>
        <w:rPr>
          <w:rFonts w:hint="eastAsia" w:ascii="仿宋" w:hAnsi="仿宋" w:eastAsia="仿宋" w:cs="Arial"/>
          <w:bCs/>
          <w:caps/>
          <w:sz w:val="30"/>
          <w:szCs w:val="30"/>
        </w:rPr>
        <w:t>转龙湾天然水域整治工程项目，由于村民认为国有土地实际面积和国有土地使用证上的面积存在差异，</w:t>
      </w:r>
      <w:r>
        <w:rPr>
          <w:rFonts w:hint="eastAsia" w:ascii="仿宋" w:hAnsi="仿宋" w:eastAsia="仿宋" w:cs="Arial"/>
          <w:bCs/>
          <w:caps/>
          <w:sz w:val="30"/>
          <w:szCs w:val="30"/>
          <w:lang w:val="en-US" w:eastAsia="zh-CN"/>
        </w:rPr>
        <w:t>故</w:t>
      </w:r>
      <w:r>
        <w:rPr>
          <w:rFonts w:hint="eastAsia" w:ascii="仿宋" w:hAnsi="仿宋" w:eastAsia="仿宋" w:cs="Arial"/>
          <w:bCs/>
          <w:caps/>
          <w:sz w:val="30"/>
          <w:szCs w:val="30"/>
        </w:rPr>
        <w:t>阻碍现场施工</w:t>
      </w:r>
      <w:r>
        <w:rPr>
          <w:rFonts w:hint="eastAsia" w:ascii="仿宋" w:hAnsi="仿宋" w:eastAsia="仿宋" w:cs="Arial"/>
          <w:bCs/>
          <w:caps/>
          <w:sz w:val="30"/>
          <w:szCs w:val="30"/>
          <w:lang w:eastAsia="zh-CN"/>
        </w:rPr>
        <w:t>，</w:t>
      </w:r>
      <w:r>
        <w:rPr>
          <w:rFonts w:hint="eastAsia" w:ascii="仿宋" w:hAnsi="仿宋" w:eastAsia="仿宋" w:cs="Arial"/>
          <w:bCs/>
          <w:caps/>
          <w:sz w:val="30"/>
          <w:szCs w:val="30"/>
        </w:rPr>
        <w:t>致使景区施工停滞，</w:t>
      </w:r>
      <w:r>
        <w:rPr>
          <w:rFonts w:hint="eastAsia" w:ascii="仿宋" w:hAnsi="仿宋" w:eastAsia="仿宋" w:cs="仿宋"/>
          <w:sz w:val="30"/>
          <w:szCs w:val="30"/>
        </w:rPr>
        <w:t>未能全部完成清理清表工作；</w:t>
      </w:r>
      <w:r>
        <w:rPr>
          <w:rFonts w:hint="eastAsia" w:ascii="仿宋" w:hAnsi="仿宋" w:eastAsia="仿宋" w:cs="仿宋"/>
          <w:b/>
          <w:bCs/>
          <w:sz w:val="30"/>
          <w:szCs w:val="30"/>
          <w:lang w:val="en-US" w:eastAsia="zh-CN"/>
        </w:rPr>
        <w:t>二是</w:t>
      </w:r>
      <w:r>
        <w:rPr>
          <w:rFonts w:hint="eastAsia" w:ascii="仿宋" w:hAnsi="仿宋" w:eastAsia="仿宋" w:cs="仿宋"/>
          <w:sz w:val="30"/>
          <w:szCs w:val="30"/>
        </w:rPr>
        <w:t>主题会议室提升改造项目由于疫情等原因，鄂尔多斯国际会展有限公司未提供会展服务、文化旅游服务及广告推广平台服务，</w:t>
      </w:r>
      <w:r>
        <w:rPr>
          <w:rFonts w:hint="eastAsia" w:ascii="仿宋" w:hAnsi="仿宋" w:eastAsia="仿宋"/>
          <w:bCs/>
          <w:sz w:val="30"/>
          <w:szCs w:val="30"/>
        </w:rPr>
        <w:t>故部分项目效益未完全显现，投资项目前期投资评估不足。</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0"/>
        <w:rPr>
          <w:rFonts w:hint="default" w:eastAsia="楷体"/>
          <w:b/>
          <w:bCs/>
          <w:sz w:val="30"/>
          <w:szCs w:val="30"/>
          <w:lang w:val="en-US" w:eastAsia="zh-CN"/>
        </w:rPr>
      </w:pPr>
      <w:r>
        <w:rPr>
          <w:rFonts w:hint="eastAsia" w:ascii="楷体" w:hAnsi="楷体" w:eastAsia="楷体" w:cs="楷体"/>
          <w:b/>
          <w:caps/>
          <w:sz w:val="30"/>
          <w:szCs w:val="30"/>
          <w:lang w:eastAsia="zh-Hans"/>
        </w:rPr>
        <w:t>（</w:t>
      </w:r>
      <w:r>
        <w:rPr>
          <w:rFonts w:hint="eastAsia" w:ascii="楷体" w:hAnsi="楷体" w:eastAsia="楷体" w:cs="楷体"/>
          <w:b/>
          <w:caps/>
          <w:sz w:val="30"/>
          <w:szCs w:val="30"/>
        </w:rPr>
        <w:t>二</w:t>
      </w:r>
      <w:r>
        <w:rPr>
          <w:rFonts w:hint="eastAsia" w:ascii="楷体" w:hAnsi="楷体" w:eastAsia="楷体" w:cs="楷体"/>
          <w:b/>
          <w:caps/>
          <w:sz w:val="30"/>
          <w:szCs w:val="30"/>
          <w:lang w:eastAsia="zh-Hans"/>
        </w:rPr>
        <w:t>）</w:t>
      </w:r>
      <w:r>
        <w:rPr>
          <w:rFonts w:hint="eastAsia" w:eastAsia="楷体"/>
          <w:b/>
          <w:bCs/>
          <w:sz w:val="30"/>
          <w:szCs w:val="30"/>
          <w:highlight w:val="none"/>
          <w:lang w:val="en-US" w:eastAsia="zh-CN"/>
        </w:rPr>
        <w:t>管理费用占营业收入比重发生明显提高，年度变动明显高于营业收入变动幅度</w:t>
      </w:r>
    </w:p>
    <w:p>
      <w:pPr>
        <w:pStyle w:val="6"/>
        <w:keepNext w:val="0"/>
        <w:keepLines w:val="0"/>
        <w:pageBreakBefore w:val="0"/>
        <w:widowControl w:val="0"/>
        <w:kinsoku/>
        <w:wordWrap/>
        <w:overflowPunct/>
        <w:topLinePunct w:val="0"/>
        <w:autoSpaceDE/>
        <w:autoSpaceDN/>
        <w:bidi w:val="0"/>
        <w:adjustRightInd w:val="0"/>
        <w:snapToGrid w:val="0"/>
        <w:spacing w:line="360" w:lineRule="auto"/>
        <w:ind w:firstLine="602"/>
        <w:textAlignment w:val="auto"/>
        <w:rPr>
          <w:rFonts w:ascii="仿宋" w:hAnsi="仿宋" w:eastAsia="仿宋" w:cs="仿宋"/>
          <w:bCs/>
          <w:caps/>
          <w:szCs w:val="30"/>
        </w:rPr>
      </w:pPr>
      <w:r>
        <w:rPr>
          <w:rFonts w:hint="eastAsia" w:ascii="仿宋" w:hAnsi="仿宋" w:eastAsia="仿宋"/>
          <w:szCs w:val="30"/>
          <w:highlight w:val="none"/>
          <w:lang w:val="en-US" w:eastAsia="zh-CN"/>
        </w:rPr>
        <w:t>文旅集团2021年、2022年</w:t>
      </w:r>
      <w:r>
        <w:rPr>
          <w:rFonts w:hint="eastAsia" w:ascii="仿宋" w:hAnsi="仿宋" w:eastAsia="仿宋"/>
          <w:szCs w:val="30"/>
        </w:rPr>
        <w:t>管理费用占营业收入比重</w:t>
      </w:r>
      <w:r>
        <w:rPr>
          <w:rFonts w:hint="eastAsia" w:ascii="仿宋" w:hAnsi="仿宋" w:eastAsia="仿宋"/>
          <w:szCs w:val="30"/>
          <w:lang w:val="en-US" w:eastAsia="zh-CN"/>
        </w:rPr>
        <w:t>分别为53%、87%，</w:t>
      </w:r>
      <w:r>
        <w:rPr>
          <w:rFonts w:hint="eastAsia" w:ascii="仿宋" w:hAnsi="仿宋" w:eastAsia="仿宋" w:cs="仿宋"/>
          <w:b w:val="0"/>
          <w:bCs w:val="0"/>
          <w:color w:val="000000"/>
          <w:sz w:val="30"/>
          <w:szCs w:val="30"/>
        </w:rPr>
        <w:t>2022年管理费用同比增幅</w:t>
      </w:r>
      <w:r>
        <w:rPr>
          <w:rFonts w:hint="eastAsia" w:ascii="仿宋" w:hAnsi="仿宋" w:eastAsia="仿宋" w:cs="仿宋"/>
          <w:b w:val="0"/>
          <w:bCs w:val="0"/>
          <w:color w:val="000000"/>
          <w:sz w:val="30"/>
          <w:szCs w:val="30"/>
          <w:lang w:val="en-US" w:eastAsia="zh-CN"/>
        </w:rPr>
        <w:t>151</w:t>
      </w:r>
      <w:r>
        <w:rPr>
          <w:rFonts w:hint="eastAsia" w:ascii="仿宋" w:hAnsi="仿宋" w:eastAsia="仿宋" w:cs="仿宋"/>
          <w:b w:val="0"/>
          <w:bCs w:val="0"/>
          <w:color w:val="000000"/>
          <w:sz w:val="30"/>
          <w:szCs w:val="30"/>
        </w:rPr>
        <w:t>%，营业收入同比增幅</w:t>
      </w:r>
      <w:r>
        <w:rPr>
          <w:rFonts w:hint="eastAsia" w:ascii="仿宋" w:hAnsi="仿宋" w:eastAsia="仿宋" w:cs="仿宋"/>
          <w:b w:val="0"/>
          <w:bCs w:val="0"/>
          <w:color w:val="000000"/>
          <w:sz w:val="30"/>
          <w:szCs w:val="30"/>
          <w:lang w:val="en-US" w:eastAsia="zh-CN"/>
        </w:rPr>
        <w:t>52</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w:t>
      </w:r>
      <w:r>
        <w:rPr>
          <w:rFonts w:hint="eastAsia" w:ascii="仿宋" w:hAnsi="仿宋" w:eastAsia="仿宋"/>
          <w:szCs w:val="30"/>
        </w:rPr>
        <w:t>管理费用占营业收入比重发生明显提高，年度变动</w:t>
      </w:r>
      <w:r>
        <w:rPr>
          <w:rFonts w:hint="eastAsia" w:ascii="仿宋" w:hAnsi="仿宋" w:eastAsia="仿宋"/>
          <w:szCs w:val="30"/>
          <w:lang w:val="en-US" w:eastAsia="zh-CN"/>
        </w:rPr>
        <w:t>明显</w:t>
      </w:r>
      <w:r>
        <w:rPr>
          <w:rFonts w:hint="eastAsia" w:ascii="仿宋" w:hAnsi="仿宋" w:eastAsia="仿宋"/>
          <w:szCs w:val="30"/>
        </w:rPr>
        <w:t>高于营业收入变动幅度</w:t>
      </w:r>
      <w:r>
        <w:rPr>
          <w:rFonts w:hint="eastAsia" w:ascii="仿宋" w:hAnsi="仿宋" w:eastAsia="仿宋"/>
          <w:szCs w:val="30"/>
          <w:lang w:eastAsia="zh-CN"/>
        </w:rPr>
        <w:t>，</w:t>
      </w:r>
      <w:r>
        <w:rPr>
          <w:rFonts w:hint="eastAsia" w:ascii="仿宋" w:hAnsi="仿宋" w:eastAsia="仿宋"/>
          <w:szCs w:val="30"/>
          <w:lang w:val="en-US" w:eastAsia="zh-CN"/>
        </w:rPr>
        <w:t>主要原因为人员成本及折旧费增加，部分子公司开始运营。</w:t>
      </w:r>
      <w:r>
        <w:rPr>
          <w:rFonts w:hint="eastAsia" w:ascii="仿宋" w:hAnsi="仿宋" w:eastAsia="仿宋"/>
          <w:szCs w:val="30"/>
          <w:highlight w:val="none"/>
          <w:lang w:val="en-US" w:eastAsia="zh-CN"/>
        </w:rPr>
        <w:t>2022</w:t>
      </w:r>
      <w:r>
        <w:rPr>
          <w:rFonts w:hint="eastAsia" w:ascii="仿宋" w:hAnsi="仿宋" w:eastAsia="仿宋"/>
          <w:szCs w:val="30"/>
          <w:lang w:val="en-US" w:eastAsia="zh-CN"/>
        </w:rPr>
        <w:t>年整合重组并入5家公司(包括1家分公司)，尤其蒙古源流公司管理费用较大。</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0"/>
        <w:rPr>
          <w:rFonts w:hint="eastAsia" w:ascii="楷体" w:hAnsi="楷体" w:eastAsia="楷体" w:cs="楷体"/>
          <w:b/>
          <w:caps/>
          <w:sz w:val="30"/>
          <w:szCs w:val="30"/>
          <w:lang w:val="en-US" w:eastAsia="zh-CN"/>
        </w:rPr>
      </w:pPr>
      <w:r>
        <w:rPr>
          <w:rFonts w:hint="eastAsia" w:ascii="楷体" w:hAnsi="楷体" w:eastAsia="楷体" w:cs="楷体"/>
          <w:b/>
          <w:caps/>
          <w:sz w:val="30"/>
          <w:szCs w:val="30"/>
          <w:lang w:eastAsia="zh-Hans"/>
        </w:rPr>
        <w:t>（</w:t>
      </w:r>
      <w:r>
        <w:rPr>
          <w:rFonts w:hint="eastAsia" w:ascii="楷体" w:hAnsi="楷体" w:eastAsia="楷体" w:cs="楷体"/>
          <w:b/>
          <w:caps/>
          <w:sz w:val="30"/>
          <w:szCs w:val="30"/>
        </w:rPr>
        <w:t>三</w:t>
      </w:r>
      <w:r>
        <w:rPr>
          <w:rFonts w:hint="eastAsia" w:ascii="楷体" w:hAnsi="楷体" w:eastAsia="楷体" w:cs="楷体"/>
          <w:b/>
          <w:caps/>
          <w:sz w:val="30"/>
          <w:szCs w:val="30"/>
          <w:lang w:eastAsia="zh-Hans"/>
        </w:rPr>
        <w:t>）</w:t>
      </w:r>
      <w:r>
        <w:rPr>
          <w:rFonts w:hint="eastAsia" w:ascii="楷体" w:hAnsi="楷体" w:eastAsia="楷体" w:cs="楷体"/>
          <w:b/>
          <w:caps/>
          <w:sz w:val="30"/>
          <w:szCs w:val="30"/>
        </w:rPr>
        <w:t>企业营业利润率</w:t>
      </w:r>
      <w:r>
        <w:rPr>
          <w:rFonts w:hint="eastAsia" w:ascii="楷体" w:hAnsi="楷体" w:eastAsia="楷体" w:cs="楷体"/>
          <w:b/>
          <w:caps/>
          <w:sz w:val="30"/>
          <w:szCs w:val="30"/>
          <w:lang w:val="en-US" w:eastAsia="zh-CN"/>
        </w:rPr>
        <w:t>较低，资产负债率偏高</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outlineLvl w:val="9"/>
        <w:rPr>
          <w:rFonts w:hint="default" w:ascii="仿宋" w:hAnsi="仿宋" w:eastAsia="仿宋" w:cs="仿宋"/>
          <w:b/>
          <w:bCs/>
          <w:color w:val="000000"/>
          <w:sz w:val="30"/>
          <w:szCs w:val="30"/>
          <w:lang w:val="en-US"/>
        </w:rPr>
      </w:pPr>
      <w:r>
        <w:rPr>
          <w:rFonts w:hint="eastAsia" w:ascii="仿宋" w:hAnsi="仿宋" w:eastAsia="仿宋" w:cs="仿宋"/>
          <w:b w:val="0"/>
          <w:bCs w:val="0"/>
          <w:color w:val="000000"/>
          <w:sz w:val="30"/>
          <w:szCs w:val="30"/>
          <w:lang w:val="en-US" w:eastAsia="zh-CN"/>
        </w:rPr>
        <w:t>文旅集团</w:t>
      </w:r>
      <w:r>
        <w:rPr>
          <w:rFonts w:hint="eastAsia" w:ascii="仿宋" w:hAnsi="仿宋" w:eastAsia="仿宋" w:cs="仿宋"/>
          <w:b w:val="0"/>
          <w:bCs w:val="0"/>
          <w:color w:val="000000"/>
          <w:sz w:val="30"/>
          <w:szCs w:val="30"/>
        </w:rPr>
        <w:t>2021年营业利润率-54.60%，2022年营业利润率-84.22%，与地方国有企业地方社会服务业绩效评价标准值对比</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文旅集团2021年与2022年营业利润率均小于</w:t>
      </w:r>
      <w:r>
        <w:rPr>
          <w:rFonts w:hint="eastAsia" w:ascii="仿宋" w:hAnsi="仿宋" w:eastAsia="仿宋" w:cs="仿宋"/>
          <w:b w:val="0"/>
          <w:bCs w:val="0"/>
          <w:color w:val="000000"/>
          <w:sz w:val="30"/>
          <w:szCs w:val="30"/>
          <w:lang w:val="en-US" w:eastAsia="zh-CN"/>
        </w:rPr>
        <w:t>行业</w:t>
      </w:r>
      <w:r>
        <w:rPr>
          <w:rFonts w:hint="eastAsia" w:ascii="仿宋" w:hAnsi="仿宋" w:eastAsia="仿宋" w:cs="仿宋"/>
          <w:b w:val="0"/>
          <w:bCs w:val="0"/>
          <w:color w:val="000000"/>
          <w:sz w:val="30"/>
          <w:szCs w:val="30"/>
        </w:rPr>
        <w:t>较差值，营业利润率</w:t>
      </w:r>
      <w:r>
        <w:rPr>
          <w:rFonts w:hint="eastAsia" w:ascii="仿宋" w:hAnsi="仿宋" w:eastAsia="仿宋" w:cs="仿宋"/>
          <w:b w:val="0"/>
          <w:bCs w:val="0"/>
          <w:color w:val="000000"/>
          <w:sz w:val="30"/>
          <w:szCs w:val="30"/>
          <w:lang w:val="en-US" w:eastAsia="zh-CN"/>
        </w:rPr>
        <w:t>偏低原因主要为文旅行业受疫情影响毛利减少，人员成本，贷款利息及折旧费等固定支出较多</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lang w:val="en-US" w:eastAsia="zh-CN"/>
        </w:rPr>
        <w:t>文旅集团</w:t>
      </w:r>
      <w:r>
        <w:rPr>
          <w:rFonts w:hint="eastAsia" w:ascii="仿宋" w:hAnsi="仿宋" w:eastAsia="仿宋" w:cs="仿宋"/>
          <w:b w:val="0"/>
          <w:bCs w:val="0"/>
          <w:color w:val="000000"/>
          <w:sz w:val="30"/>
          <w:szCs w:val="30"/>
          <w:lang w:eastAsia="zh-CN"/>
        </w:rPr>
        <w:t>2021年资产负债率67.07%，与地方国有企业地方社会服务业绩效评价标准值对比，大于</w:t>
      </w:r>
      <w:r>
        <w:rPr>
          <w:rFonts w:hint="eastAsia" w:ascii="仿宋" w:hAnsi="仿宋" w:eastAsia="仿宋" w:cs="仿宋"/>
          <w:b w:val="0"/>
          <w:bCs w:val="0"/>
          <w:color w:val="000000"/>
          <w:sz w:val="30"/>
          <w:szCs w:val="30"/>
          <w:lang w:val="en-US" w:eastAsia="zh-CN"/>
        </w:rPr>
        <w:t>行业</w:t>
      </w:r>
      <w:r>
        <w:rPr>
          <w:rFonts w:hint="eastAsia" w:ascii="仿宋" w:hAnsi="仿宋" w:eastAsia="仿宋" w:cs="仿宋"/>
          <w:b w:val="0"/>
          <w:bCs w:val="0"/>
          <w:color w:val="000000"/>
          <w:sz w:val="30"/>
          <w:szCs w:val="30"/>
          <w:lang w:eastAsia="zh-CN"/>
        </w:rPr>
        <w:t>平均值小于</w:t>
      </w:r>
      <w:r>
        <w:rPr>
          <w:rFonts w:hint="eastAsia" w:ascii="仿宋" w:hAnsi="仿宋" w:eastAsia="仿宋" w:cs="仿宋"/>
          <w:b w:val="0"/>
          <w:bCs w:val="0"/>
          <w:color w:val="000000"/>
          <w:sz w:val="30"/>
          <w:szCs w:val="30"/>
          <w:lang w:val="en-US" w:eastAsia="zh-CN"/>
        </w:rPr>
        <w:t>行业</w:t>
      </w:r>
      <w:r>
        <w:rPr>
          <w:rFonts w:hint="eastAsia" w:ascii="仿宋" w:hAnsi="仿宋" w:eastAsia="仿宋" w:cs="仿宋"/>
          <w:b w:val="0"/>
          <w:bCs w:val="0"/>
          <w:color w:val="000000"/>
          <w:sz w:val="30"/>
          <w:szCs w:val="30"/>
          <w:lang w:eastAsia="zh-CN"/>
        </w:rPr>
        <w:t>较低值，资产负债率</w:t>
      </w:r>
      <w:r>
        <w:rPr>
          <w:rFonts w:hint="eastAsia" w:ascii="仿宋" w:hAnsi="仿宋" w:eastAsia="仿宋" w:cs="仿宋"/>
          <w:b w:val="0"/>
          <w:bCs w:val="0"/>
          <w:color w:val="000000"/>
          <w:sz w:val="30"/>
          <w:szCs w:val="30"/>
          <w:lang w:val="en-US" w:eastAsia="zh-CN"/>
        </w:rPr>
        <w:t>偏高主要因为政府使用集团平台贷款，故本部政府贷款36350万元，圣圆旅游公司政府贷款10000万元。</w:t>
      </w:r>
    </w:p>
    <w:p>
      <w:pPr>
        <w:spacing w:line="360" w:lineRule="auto"/>
        <w:ind w:firstLine="600" w:firstLineChars="200"/>
        <w:outlineLvl w:val="0"/>
        <w:rPr>
          <w:rFonts w:eastAsia="黑体"/>
          <w:bCs/>
          <w:kern w:val="44"/>
          <w:sz w:val="30"/>
          <w:szCs w:val="30"/>
        </w:rPr>
      </w:pPr>
      <w:bookmarkStart w:id="7" w:name="_Toc42596191"/>
      <w:r>
        <w:rPr>
          <w:rFonts w:hint="eastAsia" w:eastAsia="黑体"/>
          <w:bCs/>
          <w:kern w:val="44"/>
          <w:sz w:val="30"/>
          <w:szCs w:val="30"/>
          <w:lang w:eastAsia="zh-CN"/>
        </w:rPr>
        <w:t>四</w:t>
      </w:r>
      <w:r>
        <w:rPr>
          <w:rFonts w:eastAsia="黑体"/>
          <w:bCs/>
          <w:kern w:val="44"/>
          <w:sz w:val="30"/>
          <w:szCs w:val="30"/>
        </w:rPr>
        <w:t>、</w:t>
      </w:r>
      <w:r>
        <w:rPr>
          <w:rFonts w:hint="eastAsia" w:eastAsia="黑体"/>
          <w:bCs/>
          <w:kern w:val="44"/>
          <w:sz w:val="30"/>
          <w:szCs w:val="30"/>
        </w:rPr>
        <w:t>相关</w:t>
      </w:r>
      <w:r>
        <w:rPr>
          <w:rFonts w:eastAsia="黑体"/>
          <w:bCs/>
          <w:kern w:val="44"/>
          <w:sz w:val="30"/>
          <w:szCs w:val="30"/>
        </w:rPr>
        <w:t>建议</w:t>
      </w:r>
      <w:bookmarkEnd w:id="7"/>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ind w:firstLine="602" w:firstLineChars="200"/>
        <w:textAlignment w:val="auto"/>
        <w:rPr>
          <w:rFonts w:hint="eastAsia" w:eastAsia="楷体"/>
          <w:sz w:val="30"/>
          <w:szCs w:val="30"/>
        </w:rPr>
      </w:pPr>
      <w:bookmarkStart w:id="8" w:name="_Toc29218"/>
      <w:bookmarkStart w:id="9" w:name="_Toc359523377"/>
      <w:r>
        <w:rPr>
          <w:rFonts w:hint="eastAsia" w:ascii="楷体" w:hAnsi="楷体" w:eastAsia="楷体" w:cs="楷体"/>
          <w:b/>
          <w:bCs w:val="0"/>
          <w:caps/>
          <w:sz w:val="30"/>
          <w:szCs w:val="30"/>
          <w:lang w:eastAsia="zh-Hans"/>
        </w:rPr>
        <w:t>（</w:t>
      </w:r>
      <w:r>
        <w:rPr>
          <w:rFonts w:hint="eastAsia" w:ascii="楷体" w:hAnsi="楷体" w:eastAsia="楷体" w:cs="楷体"/>
          <w:b/>
          <w:bCs w:val="0"/>
          <w:caps/>
          <w:sz w:val="30"/>
          <w:szCs w:val="30"/>
        </w:rPr>
        <w:t>一</w:t>
      </w:r>
      <w:r>
        <w:rPr>
          <w:rFonts w:hint="eastAsia" w:ascii="楷体" w:hAnsi="楷体" w:eastAsia="楷体" w:cs="楷体"/>
          <w:b/>
          <w:bCs w:val="0"/>
          <w:caps/>
          <w:sz w:val="30"/>
          <w:szCs w:val="30"/>
          <w:lang w:eastAsia="zh-Hans"/>
        </w:rPr>
        <w:t>）</w:t>
      </w:r>
      <w:r>
        <w:rPr>
          <w:rFonts w:hint="eastAsia" w:ascii="楷体" w:hAnsi="楷体" w:eastAsia="楷体" w:cs="楷体"/>
          <w:b/>
          <w:bCs w:val="0"/>
          <w:caps/>
          <w:sz w:val="30"/>
          <w:szCs w:val="30"/>
          <w:lang w:val="en-US" w:eastAsia="zh-CN"/>
        </w:rPr>
        <w:t>充分做好前期调研工作</w:t>
      </w:r>
      <w:r>
        <w:rPr>
          <w:rFonts w:hint="eastAsia" w:eastAsia="楷体"/>
          <w:sz w:val="30"/>
          <w:szCs w:val="30"/>
        </w:rPr>
        <w:t>，提升投资评估水平</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sz w:val="30"/>
          <w:szCs w:val="30"/>
        </w:rPr>
      </w:pPr>
      <w:r>
        <w:rPr>
          <w:rFonts w:hint="eastAsia" w:ascii="仿宋" w:hAnsi="仿宋" w:eastAsia="仿宋"/>
          <w:sz w:val="30"/>
          <w:szCs w:val="30"/>
        </w:rPr>
        <w:t>在投资项目初选、调研等初期阶段，充分借助专业咨询机构的行业知识储备，开展投资项目可行性研究，对拟投资项目的市场需求、资源条件等进行详细、周密、全面的调查研究和综合论证，明确项目的市场发展前景、技术上的先进性和可行性、财务上的实施可能性以及经济上的合理性等，为投资决策提供参考，提高投资项目的成功率。</w:t>
      </w:r>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ind w:firstLine="602" w:firstLineChars="200"/>
        <w:textAlignment w:val="auto"/>
        <w:rPr>
          <w:rFonts w:hint="eastAsia" w:eastAsia="楷体"/>
          <w:sz w:val="30"/>
          <w:szCs w:val="30"/>
        </w:rPr>
      </w:pPr>
      <w:r>
        <w:rPr>
          <w:rFonts w:hint="eastAsia" w:ascii="楷体" w:hAnsi="楷体" w:eastAsia="楷体" w:cs="楷体"/>
          <w:b/>
          <w:bCs w:val="0"/>
          <w:caps/>
          <w:sz w:val="30"/>
          <w:szCs w:val="30"/>
          <w:lang w:eastAsia="zh-Hans"/>
        </w:rPr>
        <w:t>（</w:t>
      </w:r>
      <w:r>
        <w:rPr>
          <w:rFonts w:hint="eastAsia" w:ascii="楷体" w:hAnsi="楷体" w:eastAsia="楷体" w:cs="楷体"/>
          <w:b/>
          <w:bCs w:val="0"/>
          <w:caps/>
          <w:sz w:val="30"/>
          <w:szCs w:val="30"/>
        </w:rPr>
        <w:t>二</w:t>
      </w:r>
      <w:r>
        <w:rPr>
          <w:rFonts w:hint="eastAsia" w:ascii="楷体" w:hAnsi="楷体" w:eastAsia="楷体" w:cs="楷体"/>
          <w:b/>
          <w:bCs w:val="0"/>
          <w:caps/>
          <w:sz w:val="30"/>
          <w:szCs w:val="30"/>
          <w:lang w:eastAsia="zh-Hans"/>
        </w:rPr>
        <w:t>）</w:t>
      </w:r>
      <w:bookmarkEnd w:id="8"/>
      <w:bookmarkEnd w:id="9"/>
      <w:r>
        <w:rPr>
          <w:rFonts w:hint="eastAsia" w:ascii="楷体" w:hAnsi="楷体" w:eastAsia="楷体" w:cs="楷体"/>
          <w:b/>
          <w:bCs/>
          <w:caps/>
          <w:sz w:val="30"/>
          <w:szCs w:val="30"/>
        </w:rPr>
        <w:t>完善管理制度，合理控制管理费用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textAlignment w:val="auto"/>
        <w:rPr>
          <w:rFonts w:hint="eastAsia"/>
          <w:lang w:eastAsia="zh-Hans"/>
        </w:rPr>
      </w:pPr>
      <w:r>
        <w:rPr>
          <w:rFonts w:hint="eastAsia" w:ascii="仿宋" w:hAnsi="仿宋" w:eastAsia="仿宋" w:cs="仿宋"/>
          <w:b w:val="0"/>
          <w:caps/>
          <w:sz w:val="30"/>
          <w:szCs w:val="30"/>
          <w:highlight w:val="none"/>
          <w:lang w:val="en-US" w:eastAsia="zh-CN"/>
        </w:rPr>
        <w:t>一是完善企业管理费用的支出、报销、入账相关制度，确保相关工作有条不紊的进行；二是完善管理费用支出的监管制度，对企业管理费用的支出进行全面的监管和审查，确保管理费用支出结果的精准性。</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02" w:firstLineChars="200"/>
        <w:textAlignment w:val="auto"/>
        <w:outlineLvl w:val="0"/>
        <w:rPr>
          <w:rFonts w:hint="eastAsia" w:ascii="楷体" w:hAnsi="楷体" w:eastAsia="楷体" w:cs="楷体"/>
          <w:b/>
          <w:bCs w:val="0"/>
          <w:caps/>
          <w:sz w:val="30"/>
          <w:szCs w:val="30"/>
        </w:rPr>
      </w:pPr>
      <w:r>
        <w:rPr>
          <w:rFonts w:hint="eastAsia" w:ascii="楷体" w:hAnsi="楷体" w:eastAsia="楷体" w:cs="楷体"/>
          <w:b/>
          <w:bCs w:val="0"/>
          <w:caps/>
          <w:sz w:val="30"/>
          <w:szCs w:val="30"/>
          <w:lang w:val="en-US" w:eastAsia="zh-CN"/>
        </w:rPr>
        <w:t>提升国有企业的风险控制水平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textAlignment w:val="auto"/>
        <w:outlineLvl w:val="9"/>
        <w:rPr>
          <w:rFonts w:hint="eastAsia" w:ascii="仿宋" w:hAnsi="仿宋" w:eastAsia="仿宋" w:cs="仿宋"/>
          <w:sz w:val="30"/>
          <w:szCs w:val="30"/>
          <w:lang w:val="zh-CN" w:eastAsia="zh-CN"/>
        </w:rPr>
      </w:pPr>
      <w:r>
        <w:rPr>
          <w:rFonts w:hint="eastAsia" w:ascii="仿宋" w:hAnsi="仿宋" w:eastAsia="仿宋" w:cs="仿宋"/>
          <w:sz w:val="30"/>
          <w:szCs w:val="30"/>
          <w:lang w:val="zh-CN" w:eastAsia="zh-CN"/>
        </w:rPr>
        <w:t>建议培养高水平的风险管理人员，引导各个人员积极参与到业务培训中或者聘请一些专业的导师进行授课，通过多种渠道来提高财务人员的专业水平和能力。还需要构建风险预警机制，结合能够发生的融资风险为其制定出有效的应对措施，保证将国有企业的风险控制在合理范围内。</w:t>
      </w:r>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serif">
    <w:altName w:val="微软雅黑"/>
    <w:panose1 w:val="020B0604020202020204"/>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32</w:t>
                          </w:r>
                          <w:r>
                            <w:rPr>
                              <w:sz w:val="18"/>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W7l30AAAAAIBAAAPAAAA&#10;AAAAAAEAIAAAACIAAABkcnMvZG93bnJldi54bWxQSwECFAAUAAAACACHTuJA3ZWNteQBAAC+AwAA&#10;DgAAAAAAAAABACAAAAAfAQAAZHJzL2Uyb0RvYy54bWxQSwUGAAAAAAYABgBZAQAAdQU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32</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right"/>
      <w:rPr>
        <w:rFonts w:hint="eastAsia"/>
      </w:rPr>
    </w:pPr>
    <w:r>
      <w:rPr>
        <w:rFonts w:hint="eastAsia"/>
      </w:rPr>
      <w:t>伊金霍洛旗文化旅游产业投资集团有限责任公司国有资本经营预算项目绩效评价报告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4DA5C0"/>
    <w:multiLevelType w:val="singleLevel"/>
    <w:tmpl w:val="434DA5C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172A27"/>
    <w:rsid w:val="00010517"/>
    <w:rsid w:val="00031159"/>
    <w:rsid w:val="00031348"/>
    <w:rsid w:val="00051A6C"/>
    <w:rsid w:val="00070477"/>
    <w:rsid w:val="000A1825"/>
    <w:rsid w:val="000A1F7E"/>
    <w:rsid w:val="000B5AE4"/>
    <w:rsid w:val="000D1B3A"/>
    <w:rsid w:val="000E483E"/>
    <w:rsid w:val="000F099F"/>
    <w:rsid w:val="000F1DBD"/>
    <w:rsid w:val="001006BD"/>
    <w:rsid w:val="0010173C"/>
    <w:rsid w:val="00120FDF"/>
    <w:rsid w:val="0012537D"/>
    <w:rsid w:val="00132748"/>
    <w:rsid w:val="00142311"/>
    <w:rsid w:val="00144436"/>
    <w:rsid w:val="00146FC8"/>
    <w:rsid w:val="00161F66"/>
    <w:rsid w:val="00170732"/>
    <w:rsid w:val="00172C3E"/>
    <w:rsid w:val="001750B0"/>
    <w:rsid w:val="001813BA"/>
    <w:rsid w:val="001A5184"/>
    <w:rsid w:val="001B2507"/>
    <w:rsid w:val="001E2363"/>
    <w:rsid w:val="001F1C93"/>
    <w:rsid w:val="001F5B78"/>
    <w:rsid w:val="0020597E"/>
    <w:rsid w:val="00213C6F"/>
    <w:rsid w:val="0022242A"/>
    <w:rsid w:val="00223A64"/>
    <w:rsid w:val="00225294"/>
    <w:rsid w:val="00230F47"/>
    <w:rsid w:val="00233D8D"/>
    <w:rsid w:val="002524BB"/>
    <w:rsid w:val="002663BB"/>
    <w:rsid w:val="00273CE0"/>
    <w:rsid w:val="00291FE6"/>
    <w:rsid w:val="00293DEA"/>
    <w:rsid w:val="002A3016"/>
    <w:rsid w:val="002B0A85"/>
    <w:rsid w:val="002D4534"/>
    <w:rsid w:val="002D65C6"/>
    <w:rsid w:val="002D6B03"/>
    <w:rsid w:val="002D7AAD"/>
    <w:rsid w:val="00304961"/>
    <w:rsid w:val="003148E7"/>
    <w:rsid w:val="00322680"/>
    <w:rsid w:val="00326FBC"/>
    <w:rsid w:val="00333E22"/>
    <w:rsid w:val="0034172A"/>
    <w:rsid w:val="00342339"/>
    <w:rsid w:val="00345562"/>
    <w:rsid w:val="003544E3"/>
    <w:rsid w:val="00357748"/>
    <w:rsid w:val="0036112B"/>
    <w:rsid w:val="00362314"/>
    <w:rsid w:val="003648E4"/>
    <w:rsid w:val="00365679"/>
    <w:rsid w:val="00372EAF"/>
    <w:rsid w:val="0037377A"/>
    <w:rsid w:val="00393A81"/>
    <w:rsid w:val="003A0CCC"/>
    <w:rsid w:val="003A6104"/>
    <w:rsid w:val="003A67AD"/>
    <w:rsid w:val="003D5876"/>
    <w:rsid w:val="003E4ABB"/>
    <w:rsid w:val="003F1F8C"/>
    <w:rsid w:val="003F604B"/>
    <w:rsid w:val="004225C5"/>
    <w:rsid w:val="0042795A"/>
    <w:rsid w:val="00435FAC"/>
    <w:rsid w:val="0044500C"/>
    <w:rsid w:val="00450EA4"/>
    <w:rsid w:val="00457C99"/>
    <w:rsid w:val="00470194"/>
    <w:rsid w:val="00473638"/>
    <w:rsid w:val="004905C2"/>
    <w:rsid w:val="00492630"/>
    <w:rsid w:val="004A11E7"/>
    <w:rsid w:val="004A2773"/>
    <w:rsid w:val="004B6DFC"/>
    <w:rsid w:val="004C7950"/>
    <w:rsid w:val="004E3B8B"/>
    <w:rsid w:val="004E4864"/>
    <w:rsid w:val="004F3C4B"/>
    <w:rsid w:val="0050750D"/>
    <w:rsid w:val="00520012"/>
    <w:rsid w:val="0052747F"/>
    <w:rsid w:val="00531132"/>
    <w:rsid w:val="005339D9"/>
    <w:rsid w:val="00536BBF"/>
    <w:rsid w:val="005572FA"/>
    <w:rsid w:val="00570F75"/>
    <w:rsid w:val="00584B52"/>
    <w:rsid w:val="00585063"/>
    <w:rsid w:val="00586714"/>
    <w:rsid w:val="005A2F1D"/>
    <w:rsid w:val="005A45CD"/>
    <w:rsid w:val="005A6007"/>
    <w:rsid w:val="005C7DBF"/>
    <w:rsid w:val="005E5052"/>
    <w:rsid w:val="005F6623"/>
    <w:rsid w:val="006016CE"/>
    <w:rsid w:val="00605E05"/>
    <w:rsid w:val="0062079B"/>
    <w:rsid w:val="00630741"/>
    <w:rsid w:val="006370E8"/>
    <w:rsid w:val="006A645D"/>
    <w:rsid w:val="006B2E0A"/>
    <w:rsid w:val="006C7B49"/>
    <w:rsid w:val="006E77C5"/>
    <w:rsid w:val="00703EA9"/>
    <w:rsid w:val="007051F0"/>
    <w:rsid w:val="00725354"/>
    <w:rsid w:val="0073455B"/>
    <w:rsid w:val="0075619A"/>
    <w:rsid w:val="00760F96"/>
    <w:rsid w:val="00771284"/>
    <w:rsid w:val="007740DA"/>
    <w:rsid w:val="007816FE"/>
    <w:rsid w:val="00783432"/>
    <w:rsid w:val="00787616"/>
    <w:rsid w:val="007B4641"/>
    <w:rsid w:val="007B5E22"/>
    <w:rsid w:val="007C0845"/>
    <w:rsid w:val="007D08AB"/>
    <w:rsid w:val="007D4EC0"/>
    <w:rsid w:val="007E0689"/>
    <w:rsid w:val="007E61CE"/>
    <w:rsid w:val="007F1EAC"/>
    <w:rsid w:val="007F3BB1"/>
    <w:rsid w:val="008260EB"/>
    <w:rsid w:val="00826960"/>
    <w:rsid w:val="008458C8"/>
    <w:rsid w:val="00861CA6"/>
    <w:rsid w:val="008671BC"/>
    <w:rsid w:val="008767F7"/>
    <w:rsid w:val="00890AB5"/>
    <w:rsid w:val="008A20F7"/>
    <w:rsid w:val="008A70BE"/>
    <w:rsid w:val="008B1A18"/>
    <w:rsid w:val="008B2B3E"/>
    <w:rsid w:val="008B69F0"/>
    <w:rsid w:val="008F0ECD"/>
    <w:rsid w:val="00912185"/>
    <w:rsid w:val="00914C1E"/>
    <w:rsid w:val="0091712A"/>
    <w:rsid w:val="00932A73"/>
    <w:rsid w:val="0094323B"/>
    <w:rsid w:val="00952C6F"/>
    <w:rsid w:val="00962B00"/>
    <w:rsid w:val="00972CA8"/>
    <w:rsid w:val="00991A14"/>
    <w:rsid w:val="00993569"/>
    <w:rsid w:val="00995A42"/>
    <w:rsid w:val="009A695A"/>
    <w:rsid w:val="009B0FA6"/>
    <w:rsid w:val="009C4244"/>
    <w:rsid w:val="009D28AB"/>
    <w:rsid w:val="009E5F69"/>
    <w:rsid w:val="009F6294"/>
    <w:rsid w:val="00A12403"/>
    <w:rsid w:val="00A21DCD"/>
    <w:rsid w:val="00A245A8"/>
    <w:rsid w:val="00A34439"/>
    <w:rsid w:val="00A4336B"/>
    <w:rsid w:val="00A456A2"/>
    <w:rsid w:val="00A514BB"/>
    <w:rsid w:val="00A67228"/>
    <w:rsid w:val="00A95A6C"/>
    <w:rsid w:val="00AC6BBC"/>
    <w:rsid w:val="00AE1E2C"/>
    <w:rsid w:val="00AE2FFE"/>
    <w:rsid w:val="00AF3813"/>
    <w:rsid w:val="00AF57E4"/>
    <w:rsid w:val="00B36FA0"/>
    <w:rsid w:val="00B4283B"/>
    <w:rsid w:val="00B511F0"/>
    <w:rsid w:val="00B512B7"/>
    <w:rsid w:val="00B536C5"/>
    <w:rsid w:val="00B63AD5"/>
    <w:rsid w:val="00B74830"/>
    <w:rsid w:val="00B7552F"/>
    <w:rsid w:val="00B77B95"/>
    <w:rsid w:val="00B90D45"/>
    <w:rsid w:val="00B939A3"/>
    <w:rsid w:val="00BB6C44"/>
    <w:rsid w:val="00BC6069"/>
    <w:rsid w:val="00BD5D17"/>
    <w:rsid w:val="00BF6A1A"/>
    <w:rsid w:val="00BF7A08"/>
    <w:rsid w:val="00C11869"/>
    <w:rsid w:val="00C12E6C"/>
    <w:rsid w:val="00C177D0"/>
    <w:rsid w:val="00C24218"/>
    <w:rsid w:val="00C4723F"/>
    <w:rsid w:val="00C81104"/>
    <w:rsid w:val="00C816EF"/>
    <w:rsid w:val="00C8670F"/>
    <w:rsid w:val="00CA0ADC"/>
    <w:rsid w:val="00CB1EB4"/>
    <w:rsid w:val="00CC52F1"/>
    <w:rsid w:val="00CC69C7"/>
    <w:rsid w:val="00CD6E95"/>
    <w:rsid w:val="00CE2F25"/>
    <w:rsid w:val="00CE6642"/>
    <w:rsid w:val="00CF05CF"/>
    <w:rsid w:val="00CF10AE"/>
    <w:rsid w:val="00CF43B4"/>
    <w:rsid w:val="00D301A6"/>
    <w:rsid w:val="00D331D4"/>
    <w:rsid w:val="00D6351B"/>
    <w:rsid w:val="00D94311"/>
    <w:rsid w:val="00D97867"/>
    <w:rsid w:val="00DB57B4"/>
    <w:rsid w:val="00DB59CD"/>
    <w:rsid w:val="00DD6806"/>
    <w:rsid w:val="00DE01DD"/>
    <w:rsid w:val="00DF7A06"/>
    <w:rsid w:val="00E07025"/>
    <w:rsid w:val="00E07907"/>
    <w:rsid w:val="00E162E4"/>
    <w:rsid w:val="00E244F5"/>
    <w:rsid w:val="00E26078"/>
    <w:rsid w:val="00E435E6"/>
    <w:rsid w:val="00E470C0"/>
    <w:rsid w:val="00E65FB9"/>
    <w:rsid w:val="00E825BD"/>
    <w:rsid w:val="00E959DD"/>
    <w:rsid w:val="00EA3F49"/>
    <w:rsid w:val="00EC77BD"/>
    <w:rsid w:val="00EF3DD4"/>
    <w:rsid w:val="00F3274B"/>
    <w:rsid w:val="00F34CD2"/>
    <w:rsid w:val="00F378C7"/>
    <w:rsid w:val="00F72D32"/>
    <w:rsid w:val="00F96CE7"/>
    <w:rsid w:val="00FB75C2"/>
    <w:rsid w:val="00FC09EC"/>
    <w:rsid w:val="00FC45E9"/>
    <w:rsid w:val="00FD04F0"/>
    <w:rsid w:val="00FD76F6"/>
    <w:rsid w:val="00FE6D54"/>
    <w:rsid w:val="00FF1764"/>
    <w:rsid w:val="0116455B"/>
    <w:rsid w:val="014D4677"/>
    <w:rsid w:val="01C16AC8"/>
    <w:rsid w:val="01EA44FF"/>
    <w:rsid w:val="01F36D2A"/>
    <w:rsid w:val="025339B9"/>
    <w:rsid w:val="02877CCA"/>
    <w:rsid w:val="02E80A44"/>
    <w:rsid w:val="036A23C8"/>
    <w:rsid w:val="036A7762"/>
    <w:rsid w:val="03982449"/>
    <w:rsid w:val="03AF33C7"/>
    <w:rsid w:val="04171668"/>
    <w:rsid w:val="043150C6"/>
    <w:rsid w:val="05042547"/>
    <w:rsid w:val="052B70BE"/>
    <w:rsid w:val="05DE55A9"/>
    <w:rsid w:val="0635758F"/>
    <w:rsid w:val="067C0DE7"/>
    <w:rsid w:val="069371C6"/>
    <w:rsid w:val="06C62F02"/>
    <w:rsid w:val="06F22278"/>
    <w:rsid w:val="075B126D"/>
    <w:rsid w:val="083F5B03"/>
    <w:rsid w:val="08566914"/>
    <w:rsid w:val="087002BD"/>
    <w:rsid w:val="087C7687"/>
    <w:rsid w:val="08A05E91"/>
    <w:rsid w:val="08C00B08"/>
    <w:rsid w:val="08C8178B"/>
    <w:rsid w:val="08E217B7"/>
    <w:rsid w:val="09371591"/>
    <w:rsid w:val="093A71C5"/>
    <w:rsid w:val="09C04C96"/>
    <w:rsid w:val="0A6C39B4"/>
    <w:rsid w:val="0AE3251E"/>
    <w:rsid w:val="0B3F3000"/>
    <w:rsid w:val="0B467AEB"/>
    <w:rsid w:val="0B4C2F1A"/>
    <w:rsid w:val="0B4E0D85"/>
    <w:rsid w:val="0B64718D"/>
    <w:rsid w:val="0B745EC1"/>
    <w:rsid w:val="0B767BF7"/>
    <w:rsid w:val="0B7B4BE3"/>
    <w:rsid w:val="0B8951B4"/>
    <w:rsid w:val="0B9C32CD"/>
    <w:rsid w:val="0BB5572C"/>
    <w:rsid w:val="0BE12066"/>
    <w:rsid w:val="0BE16D20"/>
    <w:rsid w:val="0C7E132A"/>
    <w:rsid w:val="0C9D04C2"/>
    <w:rsid w:val="0CA21D1B"/>
    <w:rsid w:val="0CC953FA"/>
    <w:rsid w:val="0CD411DB"/>
    <w:rsid w:val="0D420550"/>
    <w:rsid w:val="0D575338"/>
    <w:rsid w:val="0D84608A"/>
    <w:rsid w:val="0D9F5407"/>
    <w:rsid w:val="0EA3691A"/>
    <w:rsid w:val="0EA65872"/>
    <w:rsid w:val="0EBC4DCD"/>
    <w:rsid w:val="0F070F37"/>
    <w:rsid w:val="0F294B28"/>
    <w:rsid w:val="0F362BEE"/>
    <w:rsid w:val="0F452FB6"/>
    <w:rsid w:val="0F4C5157"/>
    <w:rsid w:val="0FD52407"/>
    <w:rsid w:val="10613C9B"/>
    <w:rsid w:val="106A31E0"/>
    <w:rsid w:val="11145021"/>
    <w:rsid w:val="11621E9A"/>
    <w:rsid w:val="11CD6166"/>
    <w:rsid w:val="123A6C55"/>
    <w:rsid w:val="124A3F39"/>
    <w:rsid w:val="12780A79"/>
    <w:rsid w:val="12865F21"/>
    <w:rsid w:val="12FD1AD8"/>
    <w:rsid w:val="12FF1416"/>
    <w:rsid w:val="13351681"/>
    <w:rsid w:val="134E5EC6"/>
    <w:rsid w:val="13775273"/>
    <w:rsid w:val="13AA46B7"/>
    <w:rsid w:val="13FC4CB4"/>
    <w:rsid w:val="149D44F8"/>
    <w:rsid w:val="14D65B2B"/>
    <w:rsid w:val="14F81F4A"/>
    <w:rsid w:val="15201EB5"/>
    <w:rsid w:val="157223B7"/>
    <w:rsid w:val="15B5537C"/>
    <w:rsid w:val="15C61F46"/>
    <w:rsid w:val="16175528"/>
    <w:rsid w:val="1629782A"/>
    <w:rsid w:val="167457BF"/>
    <w:rsid w:val="167B3E10"/>
    <w:rsid w:val="169721C5"/>
    <w:rsid w:val="1768590F"/>
    <w:rsid w:val="17AA6880"/>
    <w:rsid w:val="17BB144B"/>
    <w:rsid w:val="183C1C75"/>
    <w:rsid w:val="184A4F5D"/>
    <w:rsid w:val="18742A39"/>
    <w:rsid w:val="18843061"/>
    <w:rsid w:val="189270E7"/>
    <w:rsid w:val="18BD3D33"/>
    <w:rsid w:val="1A4E6CEE"/>
    <w:rsid w:val="1B1965F5"/>
    <w:rsid w:val="1B641966"/>
    <w:rsid w:val="1B8A6B2F"/>
    <w:rsid w:val="1B9B4505"/>
    <w:rsid w:val="1BC6267A"/>
    <w:rsid w:val="1BE17361"/>
    <w:rsid w:val="1C0839F8"/>
    <w:rsid w:val="1C2365D8"/>
    <w:rsid w:val="1C287436"/>
    <w:rsid w:val="1C666204"/>
    <w:rsid w:val="1D16363F"/>
    <w:rsid w:val="1D1B39CE"/>
    <w:rsid w:val="1D935BAD"/>
    <w:rsid w:val="1D995CBF"/>
    <w:rsid w:val="1DDE4E82"/>
    <w:rsid w:val="1E102231"/>
    <w:rsid w:val="1E106130"/>
    <w:rsid w:val="1E7E635E"/>
    <w:rsid w:val="1EAD35AF"/>
    <w:rsid w:val="1EC577FD"/>
    <w:rsid w:val="1EDB10BC"/>
    <w:rsid w:val="1F480EEB"/>
    <w:rsid w:val="1FE019BC"/>
    <w:rsid w:val="1FFE71C3"/>
    <w:rsid w:val="203D0BFB"/>
    <w:rsid w:val="20462ADE"/>
    <w:rsid w:val="205B230F"/>
    <w:rsid w:val="205C1E24"/>
    <w:rsid w:val="206C47EF"/>
    <w:rsid w:val="20EE7C74"/>
    <w:rsid w:val="21146958"/>
    <w:rsid w:val="214F3CB3"/>
    <w:rsid w:val="216713CE"/>
    <w:rsid w:val="21771570"/>
    <w:rsid w:val="21F11EB6"/>
    <w:rsid w:val="22264989"/>
    <w:rsid w:val="222C2865"/>
    <w:rsid w:val="22C61EA2"/>
    <w:rsid w:val="22F453DF"/>
    <w:rsid w:val="22FF7E7D"/>
    <w:rsid w:val="23042488"/>
    <w:rsid w:val="2328623E"/>
    <w:rsid w:val="23407DA5"/>
    <w:rsid w:val="234142EF"/>
    <w:rsid w:val="242C1BDE"/>
    <w:rsid w:val="245A5C05"/>
    <w:rsid w:val="247E5D01"/>
    <w:rsid w:val="24E601CC"/>
    <w:rsid w:val="24F55964"/>
    <w:rsid w:val="2520449C"/>
    <w:rsid w:val="252F4F0E"/>
    <w:rsid w:val="253467A8"/>
    <w:rsid w:val="254917C7"/>
    <w:rsid w:val="256C686C"/>
    <w:rsid w:val="259F19ED"/>
    <w:rsid w:val="25A96588"/>
    <w:rsid w:val="25E25EB3"/>
    <w:rsid w:val="25EB1945"/>
    <w:rsid w:val="262115CF"/>
    <w:rsid w:val="26614F39"/>
    <w:rsid w:val="268944C1"/>
    <w:rsid w:val="26BF6CF4"/>
    <w:rsid w:val="26ED516B"/>
    <w:rsid w:val="271B758F"/>
    <w:rsid w:val="27F06A03"/>
    <w:rsid w:val="28274C6A"/>
    <w:rsid w:val="282B1155"/>
    <w:rsid w:val="28353CD9"/>
    <w:rsid w:val="289868A7"/>
    <w:rsid w:val="289A2692"/>
    <w:rsid w:val="28F67D3D"/>
    <w:rsid w:val="29010282"/>
    <w:rsid w:val="2A697208"/>
    <w:rsid w:val="2AED7CD6"/>
    <w:rsid w:val="2AF968C5"/>
    <w:rsid w:val="2B2314F6"/>
    <w:rsid w:val="2BCE6D3C"/>
    <w:rsid w:val="2C0B05E0"/>
    <w:rsid w:val="2C373E83"/>
    <w:rsid w:val="2C7405D1"/>
    <w:rsid w:val="2CC868DD"/>
    <w:rsid w:val="2CD23429"/>
    <w:rsid w:val="2CDB2B0D"/>
    <w:rsid w:val="2D355424"/>
    <w:rsid w:val="2DE23367"/>
    <w:rsid w:val="2DED18F2"/>
    <w:rsid w:val="2E227EF5"/>
    <w:rsid w:val="2E3A7347"/>
    <w:rsid w:val="2E493B0E"/>
    <w:rsid w:val="2E561430"/>
    <w:rsid w:val="2EBD6A71"/>
    <w:rsid w:val="2ECE479A"/>
    <w:rsid w:val="2EE07B0D"/>
    <w:rsid w:val="2EF749AD"/>
    <w:rsid w:val="2F0D050F"/>
    <w:rsid w:val="2F177FAD"/>
    <w:rsid w:val="2F427063"/>
    <w:rsid w:val="2F5D606D"/>
    <w:rsid w:val="2F9B467C"/>
    <w:rsid w:val="300A061F"/>
    <w:rsid w:val="300D52D2"/>
    <w:rsid w:val="30197AAA"/>
    <w:rsid w:val="302525DF"/>
    <w:rsid w:val="302A08B9"/>
    <w:rsid w:val="30536D0B"/>
    <w:rsid w:val="305D1E35"/>
    <w:rsid w:val="306C3E57"/>
    <w:rsid w:val="30757CE3"/>
    <w:rsid w:val="308C21C7"/>
    <w:rsid w:val="30FE75F7"/>
    <w:rsid w:val="31004FA5"/>
    <w:rsid w:val="318F374A"/>
    <w:rsid w:val="31BB1A71"/>
    <w:rsid w:val="32C0264B"/>
    <w:rsid w:val="32C401BF"/>
    <w:rsid w:val="32E2412C"/>
    <w:rsid w:val="32FF701B"/>
    <w:rsid w:val="33B71BD3"/>
    <w:rsid w:val="33BA4A58"/>
    <w:rsid w:val="33EF79F1"/>
    <w:rsid w:val="340321F7"/>
    <w:rsid w:val="34343A54"/>
    <w:rsid w:val="345114C0"/>
    <w:rsid w:val="34677514"/>
    <w:rsid w:val="346A075D"/>
    <w:rsid w:val="346E3294"/>
    <w:rsid w:val="3502519D"/>
    <w:rsid w:val="35157500"/>
    <w:rsid w:val="353310A9"/>
    <w:rsid w:val="356911E6"/>
    <w:rsid w:val="357E1CD7"/>
    <w:rsid w:val="35806E7A"/>
    <w:rsid w:val="35935DF5"/>
    <w:rsid w:val="35F2584E"/>
    <w:rsid w:val="35F950FA"/>
    <w:rsid w:val="36513CAC"/>
    <w:rsid w:val="36B17BF1"/>
    <w:rsid w:val="36E97416"/>
    <w:rsid w:val="3703359E"/>
    <w:rsid w:val="37507D57"/>
    <w:rsid w:val="37710C45"/>
    <w:rsid w:val="377F0D27"/>
    <w:rsid w:val="37851863"/>
    <w:rsid w:val="379C4B28"/>
    <w:rsid w:val="379F064F"/>
    <w:rsid w:val="38145FA4"/>
    <w:rsid w:val="384B051F"/>
    <w:rsid w:val="387A13BD"/>
    <w:rsid w:val="38D549FA"/>
    <w:rsid w:val="38EB3A7B"/>
    <w:rsid w:val="38EC10BE"/>
    <w:rsid w:val="38EC3A07"/>
    <w:rsid w:val="3903438C"/>
    <w:rsid w:val="396F364F"/>
    <w:rsid w:val="3984334A"/>
    <w:rsid w:val="398A6D54"/>
    <w:rsid w:val="39BD07CD"/>
    <w:rsid w:val="39C80763"/>
    <w:rsid w:val="3A3335B7"/>
    <w:rsid w:val="3A6F6E99"/>
    <w:rsid w:val="3AB663CC"/>
    <w:rsid w:val="3AD1189A"/>
    <w:rsid w:val="3B415CBD"/>
    <w:rsid w:val="3B6D6BAA"/>
    <w:rsid w:val="3BDD52BF"/>
    <w:rsid w:val="3BE86D6D"/>
    <w:rsid w:val="3C1B787A"/>
    <w:rsid w:val="3C57046A"/>
    <w:rsid w:val="3C755230"/>
    <w:rsid w:val="3C9FEB83"/>
    <w:rsid w:val="3CAC5387"/>
    <w:rsid w:val="3CB55FD9"/>
    <w:rsid w:val="3CC179D1"/>
    <w:rsid w:val="3CCD4DB4"/>
    <w:rsid w:val="3CED6733"/>
    <w:rsid w:val="3D073351"/>
    <w:rsid w:val="3D355A2C"/>
    <w:rsid w:val="3D400B1F"/>
    <w:rsid w:val="3D5E45C9"/>
    <w:rsid w:val="3D704DB0"/>
    <w:rsid w:val="3DEB5EB8"/>
    <w:rsid w:val="3E1A3557"/>
    <w:rsid w:val="3E2262B8"/>
    <w:rsid w:val="3E304E87"/>
    <w:rsid w:val="3E3F7966"/>
    <w:rsid w:val="3E68743E"/>
    <w:rsid w:val="3E856CBB"/>
    <w:rsid w:val="3EBF5519"/>
    <w:rsid w:val="3FB64363"/>
    <w:rsid w:val="3FDE5AF2"/>
    <w:rsid w:val="403E3A69"/>
    <w:rsid w:val="40552625"/>
    <w:rsid w:val="40694DFC"/>
    <w:rsid w:val="41214BFD"/>
    <w:rsid w:val="416F7716"/>
    <w:rsid w:val="41E35DF5"/>
    <w:rsid w:val="420132A7"/>
    <w:rsid w:val="421824FB"/>
    <w:rsid w:val="42860122"/>
    <w:rsid w:val="42885D57"/>
    <w:rsid w:val="42DC7D90"/>
    <w:rsid w:val="42FF578F"/>
    <w:rsid w:val="434B5F61"/>
    <w:rsid w:val="437A4E3C"/>
    <w:rsid w:val="43D11879"/>
    <w:rsid w:val="43E520C1"/>
    <w:rsid w:val="44215270"/>
    <w:rsid w:val="446431A7"/>
    <w:rsid w:val="449C4424"/>
    <w:rsid w:val="44F7014F"/>
    <w:rsid w:val="44F76E9A"/>
    <w:rsid w:val="44FE168A"/>
    <w:rsid w:val="450B3BFA"/>
    <w:rsid w:val="453E18DA"/>
    <w:rsid w:val="45570695"/>
    <w:rsid w:val="46051EF7"/>
    <w:rsid w:val="46156884"/>
    <w:rsid w:val="464973A5"/>
    <w:rsid w:val="464D4809"/>
    <w:rsid w:val="46F875AC"/>
    <w:rsid w:val="472E3F97"/>
    <w:rsid w:val="475C757D"/>
    <w:rsid w:val="47A45C40"/>
    <w:rsid w:val="47B202C9"/>
    <w:rsid w:val="47C87B80"/>
    <w:rsid w:val="47E214FF"/>
    <w:rsid w:val="486F33C3"/>
    <w:rsid w:val="48884CC8"/>
    <w:rsid w:val="48945CB4"/>
    <w:rsid w:val="489F5472"/>
    <w:rsid w:val="48D21F75"/>
    <w:rsid w:val="48F76E20"/>
    <w:rsid w:val="49012FDB"/>
    <w:rsid w:val="49666217"/>
    <w:rsid w:val="497A620E"/>
    <w:rsid w:val="497E6F68"/>
    <w:rsid w:val="498018FC"/>
    <w:rsid w:val="49A34051"/>
    <w:rsid w:val="49D767A1"/>
    <w:rsid w:val="49ED412E"/>
    <w:rsid w:val="4A82297D"/>
    <w:rsid w:val="4AE427EC"/>
    <w:rsid w:val="4B0A2C46"/>
    <w:rsid w:val="4B6F293E"/>
    <w:rsid w:val="4B761263"/>
    <w:rsid w:val="4BCF1B8A"/>
    <w:rsid w:val="4C1550DF"/>
    <w:rsid w:val="4C9C570F"/>
    <w:rsid w:val="4CE60D9D"/>
    <w:rsid w:val="4D0B3BDE"/>
    <w:rsid w:val="4D8E624F"/>
    <w:rsid w:val="4DFB47C8"/>
    <w:rsid w:val="4E1460AC"/>
    <w:rsid w:val="4E5841D3"/>
    <w:rsid w:val="4EB3623F"/>
    <w:rsid w:val="4ED10C30"/>
    <w:rsid w:val="4EDA609C"/>
    <w:rsid w:val="4F797786"/>
    <w:rsid w:val="4F8553A5"/>
    <w:rsid w:val="4FBB01AF"/>
    <w:rsid w:val="506306CE"/>
    <w:rsid w:val="50663A65"/>
    <w:rsid w:val="50AC7814"/>
    <w:rsid w:val="50B90CFD"/>
    <w:rsid w:val="5117724C"/>
    <w:rsid w:val="51322275"/>
    <w:rsid w:val="5160543E"/>
    <w:rsid w:val="51E17303"/>
    <w:rsid w:val="521823EC"/>
    <w:rsid w:val="52CF59B1"/>
    <w:rsid w:val="52DB741E"/>
    <w:rsid w:val="53287AE8"/>
    <w:rsid w:val="532F5603"/>
    <w:rsid w:val="533ADBBF"/>
    <w:rsid w:val="534027FD"/>
    <w:rsid w:val="53767D7B"/>
    <w:rsid w:val="539D1358"/>
    <w:rsid w:val="54B55930"/>
    <w:rsid w:val="54D16D13"/>
    <w:rsid w:val="54D5698C"/>
    <w:rsid w:val="551203E2"/>
    <w:rsid w:val="55290A1B"/>
    <w:rsid w:val="553B1739"/>
    <w:rsid w:val="5569360C"/>
    <w:rsid w:val="55FA0B9A"/>
    <w:rsid w:val="561402D5"/>
    <w:rsid w:val="564C7A18"/>
    <w:rsid w:val="567D5ECD"/>
    <w:rsid w:val="57B123DF"/>
    <w:rsid w:val="57BB35E3"/>
    <w:rsid w:val="58125BA5"/>
    <w:rsid w:val="588E2476"/>
    <w:rsid w:val="59452BF1"/>
    <w:rsid w:val="59B22916"/>
    <w:rsid w:val="59D9147A"/>
    <w:rsid w:val="59FA5BE4"/>
    <w:rsid w:val="5A314CE7"/>
    <w:rsid w:val="5A490723"/>
    <w:rsid w:val="5ABD109B"/>
    <w:rsid w:val="5BF428F1"/>
    <w:rsid w:val="5C14225E"/>
    <w:rsid w:val="5C3757E7"/>
    <w:rsid w:val="5C491D3E"/>
    <w:rsid w:val="5C952629"/>
    <w:rsid w:val="5C9A0C9C"/>
    <w:rsid w:val="5CF27C8D"/>
    <w:rsid w:val="5D2E4BA1"/>
    <w:rsid w:val="5D442EFB"/>
    <w:rsid w:val="5D704629"/>
    <w:rsid w:val="5D9B4391"/>
    <w:rsid w:val="5DAB6262"/>
    <w:rsid w:val="5DBE37F8"/>
    <w:rsid w:val="5DEA37ED"/>
    <w:rsid w:val="5E1A6E03"/>
    <w:rsid w:val="5E6D7E26"/>
    <w:rsid w:val="5EAE041F"/>
    <w:rsid w:val="5F100A56"/>
    <w:rsid w:val="5F2B6F1B"/>
    <w:rsid w:val="5F7A21C4"/>
    <w:rsid w:val="5F994E18"/>
    <w:rsid w:val="601D0B09"/>
    <w:rsid w:val="60291888"/>
    <w:rsid w:val="60574443"/>
    <w:rsid w:val="609739EE"/>
    <w:rsid w:val="60FF489C"/>
    <w:rsid w:val="60FF4F56"/>
    <w:rsid w:val="610269A5"/>
    <w:rsid w:val="610619ED"/>
    <w:rsid w:val="610842F1"/>
    <w:rsid w:val="61194810"/>
    <w:rsid w:val="61694115"/>
    <w:rsid w:val="61A72414"/>
    <w:rsid w:val="61C16189"/>
    <w:rsid w:val="61EE5114"/>
    <w:rsid w:val="61FC71EF"/>
    <w:rsid w:val="620845A1"/>
    <w:rsid w:val="62196B81"/>
    <w:rsid w:val="62981268"/>
    <w:rsid w:val="629E08AD"/>
    <w:rsid w:val="62DE5FD2"/>
    <w:rsid w:val="634621C0"/>
    <w:rsid w:val="637C7027"/>
    <w:rsid w:val="63B612A0"/>
    <w:rsid w:val="646377B2"/>
    <w:rsid w:val="648F3AA8"/>
    <w:rsid w:val="64AA73DE"/>
    <w:rsid w:val="64F04D78"/>
    <w:rsid w:val="6533367E"/>
    <w:rsid w:val="65A372BD"/>
    <w:rsid w:val="65BE290C"/>
    <w:rsid w:val="65E03BBC"/>
    <w:rsid w:val="65E74BDC"/>
    <w:rsid w:val="660354C6"/>
    <w:rsid w:val="66087A21"/>
    <w:rsid w:val="666913E6"/>
    <w:rsid w:val="66782817"/>
    <w:rsid w:val="66EB7F78"/>
    <w:rsid w:val="66F474C0"/>
    <w:rsid w:val="679703A9"/>
    <w:rsid w:val="68175212"/>
    <w:rsid w:val="68727597"/>
    <w:rsid w:val="68DF61EC"/>
    <w:rsid w:val="69264D88"/>
    <w:rsid w:val="69E26B1F"/>
    <w:rsid w:val="6A3D1481"/>
    <w:rsid w:val="6A87126B"/>
    <w:rsid w:val="6A887954"/>
    <w:rsid w:val="6A8E26C8"/>
    <w:rsid w:val="6B000D3D"/>
    <w:rsid w:val="6B00290C"/>
    <w:rsid w:val="6B2D7B77"/>
    <w:rsid w:val="6B5F1F85"/>
    <w:rsid w:val="6B8270FD"/>
    <w:rsid w:val="6B8A5729"/>
    <w:rsid w:val="6BF95CAB"/>
    <w:rsid w:val="6BFE4D16"/>
    <w:rsid w:val="6C077337"/>
    <w:rsid w:val="6C0A65AA"/>
    <w:rsid w:val="6C406AD0"/>
    <w:rsid w:val="6C572562"/>
    <w:rsid w:val="6CAF619F"/>
    <w:rsid w:val="6CD23EAC"/>
    <w:rsid w:val="6D282002"/>
    <w:rsid w:val="6D5043D0"/>
    <w:rsid w:val="6DBB414A"/>
    <w:rsid w:val="6DBC6D3C"/>
    <w:rsid w:val="6DE23EE6"/>
    <w:rsid w:val="6E6F3058"/>
    <w:rsid w:val="6EB94D2B"/>
    <w:rsid w:val="6EC46274"/>
    <w:rsid w:val="6ED30F15"/>
    <w:rsid w:val="6EEF7CA5"/>
    <w:rsid w:val="6EF56810"/>
    <w:rsid w:val="6F093531"/>
    <w:rsid w:val="6F1E737C"/>
    <w:rsid w:val="6F536C03"/>
    <w:rsid w:val="6FB743EE"/>
    <w:rsid w:val="6FEA7A9C"/>
    <w:rsid w:val="700A4AFE"/>
    <w:rsid w:val="703E52E6"/>
    <w:rsid w:val="70734AD9"/>
    <w:rsid w:val="70E9031C"/>
    <w:rsid w:val="71071B51"/>
    <w:rsid w:val="7110284D"/>
    <w:rsid w:val="71331EE2"/>
    <w:rsid w:val="71506AC0"/>
    <w:rsid w:val="72313FED"/>
    <w:rsid w:val="72480C33"/>
    <w:rsid w:val="7274704E"/>
    <w:rsid w:val="72CD2B5D"/>
    <w:rsid w:val="72F70FC7"/>
    <w:rsid w:val="72FC50AA"/>
    <w:rsid w:val="733D7598"/>
    <w:rsid w:val="73694CBD"/>
    <w:rsid w:val="73870866"/>
    <w:rsid w:val="741F0DBF"/>
    <w:rsid w:val="74303A97"/>
    <w:rsid w:val="74824553"/>
    <w:rsid w:val="74A12790"/>
    <w:rsid w:val="751C2F65"/>
    <w:rsid w:val="7535551F"/>
    <w:rsid w:val="753D68A2"/>
    <w:rsid w:val="758559F1"/>
    <w:rsid w:val="75B85BDE"/>
    <w:rsid w:val="760E355A"/>
    <w:rsid w:val="76856AB9"/>
    <w:rsid w:val="768725EE"/>
    <w:rsid w:val="768A0573"/>
    <w:rsid w:val="76955C76"/>
    <w:rsid w:val="76957881"/>
    <w:rsid w:val="76CB4CC0"/>
    <w:rsid w:val="77013E9B"/>
    <w:rsid w:val="771A74DE"/>
    <w:rsid w:val="77302EC9"/>
    <w:rsid w:val="776E568D"/>
    <w:rsid w:val="7770402C"/>
    <w:rsid w:val="77930267"/>
    <w:rsid w:val="779D1B1D"/>
    <w:rsid w:val="784763DE"/>
    <w:rsid w:val="78CE53DF"/>
    <w:rsid w:val="78ED6DAD"/>
    <w:rsid w:val="791A14B9"/>
    <w:rsid w:val="79297BCF"/>
    <w:rsid w:val="7970602A"/>
    <w:rsid w:val="798F5005"/>
    <w:rsid w:val="79AB78A4"/>
    <w:rsid w:val="79F17AF1"/>
    <w:rsid w:val="7A023A6F"/>
    <w:rsid w:val="7A344700"/>
    <w:rsid w:val="7AC727D9"/>
    <w:rsid w:val="7ADC72D9"/>
    <w:rsid w:val="7B1D35F3"/>
    <w:rsid w:val="7B226246"/>
    <w:rsid w:val="7B5A14E8"/>
    <w:rsid w:val="7BBF2A6D"/>
    <w:rsid w:val="7BFD6A70"/>
    <w:rsid w:val="7C3C4651"/>
    <w:rsid w:val="7C751FB1"/>
    <w:rsid w:val="7C913FFA"/>
    <w:rsid w:val="7CA129C3"/>
    <w:rsid w:val="7D115FDD"/>
    <w:rsid w:val="7D2750B3"/>
    <w:rsid w:val="7D5B5DF8"/>
    <w:rsid w:val="7D6034E0"/>
    <w:rsid w:val="7D847772"/>
    <w:rsid w:val="7DBA17B2"/>
    <w:rsid w:val="7DCF1B39"/>
    <w:rsid w:val="7DED2A5C"/>
    <w:rsid w:val="7E1D267E"/>
    <w:rsid w:val="7E7713DD"/>
    <w:rsid w:val="7EE360E7"/>
    <w:rsid w:val="7F1C7CD6"/>
    <w:rsid w:val="7F1E2FAB"/>
    <w:rsid w:val="7F436797"/>
    <w:rsid w:val="7F4C6F18"/>
    <w:rsid w:val="7F6A1A59"/>
    <w:rsid w:val="7FD43F1B"/>
    <w:rsid w:val="ABFF953C"/>
    <w:rsid w:val="D7CE509D"/>
    <w:rsid w:val="DD7F5B04"/>
    <w:rsid w:val="DEFFAB89"/>
    <w:rsid w:val="DF929CE6"/>
    <w:rsid w:val="DFD76AA9"/>
    <w:rsid w:val="F1FF3FD4"/>
    <w:rsid w:val="F41F579C"/>
    <w:rsid w:val="FEBF811D"/>
    <w:rsid w:val="FF773C0A"/>
    <w:rsid w:val="FF7A9152"/>
    <w:rsid w:val="FF7FB0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36"/>
    <w:qFormat/>
    <w:uiPriority w:val="9"/>
    <w:pPr>
      <w:keepNext/>
      <w:keepLines/>
      <w:spacing w:before="260" w:after="260" w:line="416" w:lineRule="auto"/>
      <w:outlineLvl w:val="2"/>
    </w:pPr>
    <w:rPr>
      <w:b/>
      <w:bCs/>
      <w:kern w:val="0"/>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5">
    <w:name w:val="annotation text"/>
    <w:basedOn w:val="1"/>
    <w:link w:val="37"/>
    <w:unhideWhenUsed/>
    <w:qFormat/>
    <w:uiPriority w:val="99"/>
    <w:pPr>
      <w:jc w:val="left"/>
    </w:pPr>
    <w:rPr>
      <w:kern w:val="0"/>
      <w:sz w:val="20"/>
      <w:szCs w:val="20"/>
    </w:rPr>
  </w:style>
  <w:style w:type="paragraph" w:styleId="6">
    <w:name w:val="Body Text"/>
    <w:basedOn w:val="1"/>
    <w:unhideWhenUsed/>
    <w:qFormat/>
    <w:uiPriority w:val="0"/>
    <w:pPr>
      <w:spacing w:line="560" w:lineRule="exact"/>
      <w:ind w:firstLine="960" w:firstLineChars="200"/>
    </w:pPr>
    <w:rPr>
      <w:rFonts w:ascii="仿宋_GB2312" w:hAnsi="仿宋_GB2312" w:eastAsia="仿宋_GB2312"/>
      <w:sz w:val="30"/>
    </w:rPr>
  </w:style>
  <w:style w:type="paragraph" w:styleId="7">
    <w:name w:val="toc 3"/>
    <w:basedOn w:val="1"/>
    <w:next w:val="1"/>
    <w:unhideWhenUsed/>
    <w:qFormat/>
    <w:uiPriority w:val="39"/>
    <w:pPr>
      <w:ind w:left="840" w:leftChars="400"/>
    </w:pPr>
  </w:style>
  <w:style w:type="paragraph" w:styleId="8">
    <w:name w:val="Date"/>
    <w:basedOn w:val="1"/>
    <w:next w:val="1"/>
    <w:link w:val="38"/>
    <w:unhideWhenUsed/>
    <w:qFormat/>
    <w:uiPriority w:val="99"/>
    <w:pPr>
      <w:ind w:left="100" w:leftChars="2500"/>
    </w:pPr>
    <w:rPr>
      <w:kern w:val="0"/>
      <w:sz w:val="20"/>
      <w:szCs w:val="20"/>
    </w:rPr>
  </w:style>
  <w:style w:type="paragraph" w:styleId="9">
    <w:name w:val="Body Text Indent 2"/>
    <w:basedOn w:val="1"/>
    <w:qFormat/>
    <w:uiPriority w:val="0"/>
    <w:pPr>
      <w:spacing w:after="120" w:line="480" w:lineRule="auto"/>
      <w:ind w:left="420" w:leftChars="200"/>
    </w:pPr>
    <w:rPr>
      <w:rFonts w:ascii="宋体" w:eastAsia="宋体"/>
      <w:sz w:val="24"/>
      <w:szCs w:val="24"/>
    </w:rPr>
  </w:style>
  <w:style w:type="paragraph" w:styleId="10">
    <w:name w:val="Balloon Text"/>
    <w:basedOn w:val="1"/>
    <w:link w:val="39"/>
    <w:unhideWhenUsed/>
    <w:qFormat/>
    <w:uiPriority w:val="99"/>
    <w:rPr>
      <w:kern w:val="0"/>
      <w:sz w:val="18"/>
      <w:szCs w:val="18"/>
    </w:rPr>
  </w:style>
  <w:style w:type="paragraph" w:styleId="11">
    <w:name w:val="footer"/>
    <w:basedOn w:val="1"/>
    <w:link w:val="40"/>
    <w:unhideWhenUsed/>
    <w:qFormat/>
    <w:uiPriority w:val="99"/>
    <w:pPr>
      <w:tabs>
        <w:tab w:val="center" w:pos="4153"/>
        <w:tab w:val="right" w:pos="8306"/>
      </w:tabs>
      <w:snapToGrid w:val="0"/>
      <w:jc w:val="left"/>
    </w:pPr>
    <w:rPr>
      <w:kern w:val="0"/>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39"/>
    <w:pPr>
      <w:spacing w:before="360"/>
      <w:jc w:val="left"/>
    </w:pPr>
    <w:rPr>
      <w:rFonts w:ascii="Cambria" w:hAnsi="Cambria" w:eastAsia="仿宋_GB2312"/>
      <w:b/>
      <w:bCs/>
      <w:caps/>
      <w:w w:val="90"/>
      <w:sz w:val="24"/>
      <w:szCs w:val="24"/>
    </w:rPr>
  </w:style>
  <w:style w:type="paragraph" w:styleId="14">
    <w:name w:val="footnote text"/>
    <w:basedOn w:val="1"/>
    <w:link w:val="42"/>
    <w:unhideWhenUsed/>
    <w:qFormat/>
    <w:uiPriority w:val="99"/>
    <w:pPr>
      <w:snapToGrid w:val="0"/>
      <w:jc w:val="left"/>
    </w:pPr>
    <w:rPr>
      <w:kern w:val="0"/>
      <w:sz w:val="18"/>
      <w:szCs w:val="18"/>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43"/>
    <w:qFormat/>
    <w:uiPriority w:val="10"/>
    <w:pPr>
      <w:spacing w:before="240" w:after="60"/>
      <w:jc w:val="center"/>
      <w:outlineLvl w:val="0"/>
    </w:pPr>
    <w:rPr>
      <w:rFonts w:ascii="Calibri Light" w:hAnsi="Calibri Light"/>
      <w:b/>
      <w:bCs/>
      <w:kern w:val="0"/>
      <w:sz w:val="32"/>
      <w:szCs w:val="32"/>
    </w:rPr>
  </w:style>
  <w:style w:type="paragraph" w:styleId="18">
    <w:name w:val="annotation subject"/>
    <w:basedOn w:val="5"/>
    <w:next w:val="5"/>
    <w:link w:val="44"/>
    <w:unhideWhenUsed/>
    <w:qFormat/>
    <w:uiPriority w:val="99"/>
    <w:pPr>
      <w:spacing w:line="360" w:lineRule="auto"/>
    </w:pPr>
    <w:rPr>
      <w:rFonts w:ascii="Times New Roman" w:hAnsi="Times New Roman" w:eastAsia="仿宋_GB2312"/>
      <w:b/>
      <w:bCs/>
      <w:sz w:val="24"/>
    </w:rPr>
  </w:style>
  <w:style w:type="table" w:styleId="20">
    <w:name w:val="Table Grid"/>
    <w:basedOn w:val="1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rPr>
  </w:style>
  <w:style w:type="character" w:styleId="23">
    <w:name w:val="FollowedHyperlink"/>
    <w:unhideWhenUsed/>
    <w:qFormat/>
    <w:uiPriority w:val="99"/>
    <w:rPr>
      <w:color w:val="338DE6"/>
      <w:u w:val="none"/>
    </w:rPr>
  </w:style>
  <w:style w:type="character" w:styleId="24">
    <w:name w:val="Emphasis"/>
    <w:qFormat/>
    <w:uiPriority w:val="20"/>
  </w:style>
  <w:style w:type="character" w:styleId="25">
    <w:name w:val="HTML Definition"/>
    <w:unhideWhenUsed/>
    <w:qFormat/>
    <w:uiPriority w:val="99"/>
  </w:style>
  <w:style w:type="character" w:styleId="26">
    <w:name w:val="HTML Variable"/>
    <w:unhideWhenUsed/>
    <w:qFormat/>
    <w:uiPriority w:val="99"/>
  </w:style>
  <w:style w:type="character" w:styleId="27">
    <w:name w:val="Hyperlink"/>
    <w:qFormat/>
    <w:uiPriority w:val="99"/>
    <w:rPr>
      <w:rFonts w:cs="Times New Roman"/>
      <w:color w:val="0000FF"/>
      <w:u w:val="single"/>
    </w:rPr>
  </w:style>
  <w:style w:type="character" w:styleId="28">
    <w:name w:val="HTML Code"/>
    <w:unhideWhenUsed/>
    <w:qFormat/>
    <w:uiPriority w:val="99"/>
    <w:rPr>
      <w:rFonts w:ascii="serif" w:hAnsi="serif" w:eastAsia="serif" w:cs="serif"/>
      <w:sz w:val="21"/>
      <w:szCs w:val="21"/>
    </w:rPr>
  </w:style>
  <w:style w:type="character" w:styleId="29">
    <w:name w:val="annotation reference"/>
    <w:unhideWhenUsed/>
    <w:qFormat/>
    <w:uiPriority w:val="99"/>
    <w:rPr>
      <w:sz w:val="16"/>
      <w:szCs w:val="16"/>
    </w:rPr>
  </w:style>
  <w:style w:type="character" w:styleId="30">
    <w:name w:val="HTML Cite"/>
    <w:unhideWhenUsed/>
    <w:qFormat/>
    <w:uiPriority w:val="99"/>
  </w:style>
  <w:style w:type="character" w:styleId="31">
    <w:name w:val="footnote reference"/>
    <w:unhideWhenUsed/>
    <w:qFormat/>
    <w:uiPriority w:val="99"/>
    <w:rPr>
      <w:vertAlign w:val="superscript"/>
    </w:rPr>
  </w:style>
  <w:style w:type="character" w:styleId="32">
    <w:name w:val="HTML Keyboard"/>
    <w:unhideWhenUsed/>
    <w:qFormat/>
    <w:uiPriority w:val="99"/>
    <w:rPr>
      <w:rFonts w:hint="default" w:ascii="serif" w:hAnsi="serif" w:eastAsia="serif" w:cs="serif"/>
      <w:sz w:val="21"/>
      <w:szCs w:val="21"/>
    </w:rPr>
  </w:style>
  <w:style w:type="character" w:styleId="33">
    <w:name w:val="HTML Sample"/>
    <w:unhideWhenUsed/>
    <w:qFormat/>
    <w:uiPriority w:val="99"/>
    <w:rPr>
      <w:rFonts w:hint="default" w:ascii="serif" w:hAnsi="serif" w:eastAsia="serif" w:cs="serif"/>
      <w:sz w:val="21"/>
      <w:szCs w:val="21"/>
    </w:rPr>
  </w:style>
  <w:style w:type="character" w:customStyle="1" w:styleId="34">
    <w:name w:val="标题 1 字符"/>
    <w:link w:val="2"/>
    <w:qFormat/>
    <w:uiPriority w:val="9"/>
    <w:rPr>
      <w:rFonts w:ascii="Times New Roman" w:hAnsi="Times New Roman" w:eastAsia="宋体" w:cs="Times New Roman"/>
      <w:b/>
      <w:bCs/>
      <w:kern w:val="44"/>
      <w:sz w:val="44"/>
      <w:szCs w:val="44"/>
    </w:rPr>
  </w:style>
  <w:style w:type="character" w:customStyle="1" w:styleId="35">
    <w:name w:val="标题 2 字符"/>
    <w:link w:val="3"/>
    <w:qFormat/>
    <w:uiPriority w:val="9"/>
    <w:rPr>
      <w:rFonts w:ascii="Cambria" w:hAnsi="Cambria" w:eastAsia="宋体" w:cs="Times New Roman"/>
      <w:b/>
      <w:bCs/>
      <w:sz w:val="32"/>
      <w:szCs w:val="32"/>
    </w:rPr>
  </w:style>
  <w:style w:type="character" w:customStyle="1" w:styleId="36">
    <w:name w:val="标题 3 字符"/>
    <w:link w:val="4"/>
    <w:qFormat/>
    <w:uiPriority w:val="9"/>
    <w:rPr>
      <w:rFonts w:ascii="Calibri" w:hAnsi="Calibri" w:eastAsia="宋体" w:cs="Times New Roman"/>
      <w:b/>
      <w:bCs/>
      <w:sz w:val="32"/>
      <w:szCs w:val="32"/>
    </w:rPr>
  </w:style>
  <w:style w:type="character" w:customStyle="1" w:styleId="37">
    <w:name w:val="批注文字 字符"/>
    <w:link w:val="5"/>
    <w:qFormat/>
    <w:uiPriority w:val="99"/>
    <w:rPr>
      <w:rFonts w:ascii="Calibri" w:hAnsi="Calibri" w:eastAsia="宋体" w:cs="Times New Roman"/>
    </w:rPr>
  </w:style>
  <w:style w:type="character" w:customStyle="1" w:styleId="38">
    <w:name w:val="日期 字符"/>
    <w:link w:val="8"/>
    <w:semiHidden/>
    <w:qFormat/>
    <w:uiPriority w:val="99"/>
    <w:rPr>
      <w:rFonts w:ascii="Calibri" w:hAnsi="Calibri" w:eastAsia="宋体" w:cs="Times New Roman"/>
    </w:rPr>
  </w:style>
  <w:style w:type="character" w:customStyle="1" w:styleId="39">
    <w:name w:val="批注框文本 字符"/>
    <w:link w:val="10"/>
    <w:semiHidden/>
    <w:qFormat/>
    <w:uiPriority w:val="99"/>
    <w:rPr>
      <w:rFonts w:ascii="Calibri" w:hAnsi="Calibri" w:eastAsia="宋体" w:cs="Times New Roman"/>
      <w:sz w:val="18"/>
      <w:szCs w:val="18"/>
    </w:rPr>
  </w:style>
  <w:style w:type="character" w:customStyle="1" w:styleId="40">
    <w:name w:val="页脚 字符"/>
    <w:link w:val="11"/>
    <w:qFormat/>
    <w:uiPriority w:val="99"/>
    <w:rPr>
      <w:rFonts w:ascii="Calibri" w:hAnsi="Calibri" w:eastAsia="宋体" w:cs="Times New Roman"/>
      <w:sz w:val="18"/>
      <w:szCs w:val="18"/>
    </w:rPr>
  </w:style>
  <w:style w:type="character" w:customStyle="1" w:styleId="41">
    <w:name w:val="页眉 字符"/>
    <w:link w:val="12"/>
    <w:qFormat/>
    <w:uiPriority w:val="99"/>
    <w:rPr>
      <w:rFonts w:ascii="Calibri" w:hAnsi="Calibri" w:eastAsia="宋体" w:cs="Times New Roman"/>
      <w:sz w:val="18"/>
      <w:szCs w:val="18"/>
    </w:rPr>
  </w:style>
  <w:style w:type="character" w:customStyle="1" w:styleId="42">
    <w:name w:val="脚注文本 字符"/>
    <w:link w:val="14"/>
    <w:semiHidden/>
    <w:qFormat/>
    <w:uiPriority w:val="99"/>
    <w:rPr>
      <w:rFonts w:ascii="Calibri" w:hAnsi="Calibri" w:eastAsia="宋体" w:cs="Times New Roman"/>
      <w:sz w:val="18"/>
      <w:szCs w:val="18"/>
    </w:rPr>
  </w:style>
  <w:style w:type="character" w:customStyle="1" w:styleId="43">
    <w:name w:val="标题 字符"/>
    <w:link w:val="17"/>
    <w:qFormat/>
    <w:uiPriority w:val="10"/>
    <w:rPr>
      <w:rFonts w:ascii="Calibri Light" w:hAnsi="Calibri Light" w:eastAsia="宋体" w:cs="Times New Roman"/>
      <w:b/>
      <w:bCs/>
      <w:sz w:val="32"/>
      <w:szCs w:val="32"/>
    </w:rPr>
  </w:style>
  <w:style w:type="character" w:customStyle="1" w:styleId="44">
    <w:name w:val="批注主题 字符"/>
    <w:link w:val="18"/>
    <w:semiHidden/>
    <w:qFormat/>
    <w:uiPriority w:val="99"/>
    <w:rPr>
      <w:rFonts w:ascii="Times New Roman" w:hAnsi="Times New Roman" w:eastAsia="仿宋_GB2312" w:cs="Times New Roman"/>
      <w:b/>
      <w:bCs/>
      <w:sz w:val="24"/>
    </w:rPr>
  </w:style>
  <w:style w:type="character" w:customStyle="1" w:styleId="45">
    <w:name w:val="标题 1 Char"/>
    <w:link w:val="2"/>
    <w:qFormat/>
    <w:uiPriority w:val="9"/>
    <w:rPr>
      <w:rFonts w:ascii="Calibri" w:hAnsi="Calibri" w:eastAsia="宋体" w:cs="Times New Roman"/>
      <w:b/>
      <w:bCs/>
      <w:kern w:val="44"/>
      <w:sz w:val="44"/>
      <w:szCs w:val="44"/>
    </w:rPr>
  </w:style>
  <w:style w:type="character" w:customStyle="1" w:styleId="46">
    <w:name w:val="标题 Char1"/>
    <w:qFormat/>
    <w:uiPriority w:val="10"/>
    <w:rPr>
      <w:rFonts w:ascii="Cambria" w:hAnsi="Cambria" w:eastAsia="宋体" w:cs="Times New Roman"/>
      <w:b/>
      <w:bCs/>
      <w:sz w:val="32"/>
      <w:szCs w:val="32"/>
    </w:rPr>
  </w:style>
  <w:style w:type="character" w:customStyle="1" w:styleId="47">
    <w:name w:val="fontborder"/>
    <w:qFormat/>
    <w:uiPriority w:val="0"/>
    <w:rPr>
      <w:bdr w:val="single" w:color="000000" w:sz="4" w:space="0"/>
    </w:rPr>
  </w:style>
  <w:style w:type="character" w:customStyle="1" w:styleId="48">
    <w:name w:val="fontstrikethrough"/>
    <w:qFormat/>
    <w:uiPriority w:val="0"/>
    <w:rPr>
      <w:strike/>
    </w:rPr>
  </w:style>
  <w:style w:type="character" w:customStyle="1" w:styleId="49">
    <w:name w:val="font21"/>
    <w:qFormat/>
    <w:uiPriority w:val="0"/>
    <w:rPr>
      <w:rFonts w:hint="eastAsia" w:ascii="仿宋" w:hAnsi="仿宋" w:eastAsia="仿宋" w:cs="仿宋"/>
      <w:color w:val="000000"/>
      <w:sz w:val="28"/>
      <w:szCs w:val="28"/>
      <w:u w:val="none"/>
    </w:rPr>
  </w:style>
  <w:style w:type="character" w:customStyle="1" w:styleId="50">
    <w:name w:val="font61"/>
    <w:qFormat/>
    <w:uiPriority w:val="0"/>
    <w:rPr>
      <w:rFonts w:hint="eastAsia" w:ascii="宋体" w:hAnsi="宋体" w:eastAsia="宋体" w:cs="宋体"/>
      <w:color w:val="FF0000"/>
      <w:sz w:val="20"/>
      <w:szCs w:val="20"/>
      <w:u w:val="none"/>
    </w:rPr>
  </w:style>
  <w:style w:type="character" w:customStyle="1" w:styleId="51">
    <w:name w:val="批注文字 Char"/>
    <w:semiHidden/>
    <w:qFormat/>
    <w:uiPriority w:val="99"/>
    <w:rPr>
      <w:rFonts w:ascii="Times New Roman" w:hAnsi="Times New Roman" w:eastAsia="仿宋_GB2312"/>
      <w:sz w:val="24"/>
    </w:rPr>
  </w:style>
  <w:style w:type="character" w:customStyle="1" w:styleId="52">
    <w:name w:val="font41"/>
    <w:qFormat/>
    <w:uiPriority w:val="0"/>
    <w:rPr>
      <w:rFonts w:hint="eastAsia" w:ascii="仿宋" w:hAnsi="仿宋" w:eastAsia="仿宋" w:cs="仿宋"/>
      <w:color w:val="000000"/>
      <w:sz w:val="28"/>
      <w:szCs w:val="28"/>
      <w:u w:val="none"/>
    </w:rPr>
  </w:style>
  <w:style w:type="character" w:customStyle="1" w:styleId="53">
    <w:name w:val="font01"/>
    <w:qFormat/>
    <w:uiPriority w:val="0"/>
    <w:rPr>
      <w:rFonts w:hint="eastAsia" w:ascii="仿宋" w:hAnsi="仿宋" w:eastAsia="仿宋" w:cs="仿宋"/>
      <w:color w:val="000000"/>
      <w:sz w:val="28"/>
      <w:szCs w:val="28"/>
      <w:u w:val="none"/>
    </w:rPr>
  </w:style>
  <w:style w:type="character" w:customStyle="1" w:styleId="54">
    <w:name w:val="font11"/>
    <w:qFormat/>
    <w:uiPriority w:val="0"/>
    <w:rPr>
      <w:rFonts w:hint="eastAsia" w:ascii="仿宋" w:hAnsi="仿宋" w:eastAsia="仿宋" w:cs="仿宋"/>
      <w:color w:val="000000"/>
      <w:sz w:val="28"/>
      <w:szCs w:val="28"/>
      <w:u w:val="none"/>
    </w:rPr>
  </w:style>
  <w:style w:type="character" w:customStyle="1" w:styleId="55">
    <w:name w:val="Placeholder Text"/>
    <w:semiHidden/>
    <w:qFormat/>
    <w:uiPriority w:val="99"/>
    <w:rPr>
      <w:color w:val="808080"/>
    </w:rPr>
  </w:style>
  <w:style w:type="character" w:customStyle="1" w:styleId="56">
    <w:name w:val="font31"/>
    <w:qFormat/>
    <w:uiPriority w:val="0"/>
    <w:rPr>
      <w:rFonts w:hint="eastAsia" w:ascii="仿宋" w:hAnsi="仿宋" w:eastAsia="仿宋" w:cs="仿宋"/>
      <w:color w:val="000000"/>
      <w:sz w:val="28"/>
      <w:szCs w:val="28"/>
      <w:u w:val="none"/>
    </w:rPr>
  </w:style>
  <w:style w:type="paragraph" w:customStyle="1" w:styleId="57">
    <w:name w:val="_Style 3"/>
    <w:basedOn w:val="1"/>
    <w:next w:val="58"/>
    <w:unhideWhenUsed/>
    <w:qFormat/>
    <w:uiPriority w:val="99"/>
    <w:pPr>
      <w:spacing w:line="360" w:lineRule="auto"/>
      <w:ind w:firstLine="420" w:firstLineChars="200"/>
      <w:jc w:val="left"/>
    </w:pPr>
    <w:rPr>
      <w:rFonts w:ascii="Times New Roman" w:hAnsi="Times New Roman" w:eastAsia="仿宋"/>
      <w:sz w:val="32"/>
      <w:szCs w:val="24"/>
      <w:lang w:eastAsia="zh-TW"/>
    </w:rPr>
  </w:style>
  <w:style w:type="paragraph" w:customStyle="1" w:styleId="58">
    <w:name w:val="列表段落1"/>
    <w:basedOn w:val="1"/>
    <w:qFormat/>
    <w:uiPriority w:val="34"/>
    <w:pPr>
      <w:ind w:firstLine="420" w:firstLineChars="200"/>
    </w:pPr>
  </w:style>
  <w:style w:type="paragraph" w:customStyle="1" w:styleId="59">
    <w:name w:val="标题1"/>
    <w:basedOn w:val="1"/>
    <w:next w:val="1"/>
    <w:qFormat/>
    <w:uiPriority w:val="10"/>
    <w:pPr>
      <w:keepLines/>
      <w:spacing w:before="240" w:after="60" w:line="360" w:lineRule="auto"/>
      <w:jc w:val="left"/>
      <w:outlineLvl w:val="2"/>
    </w:pPr>
    <w:rPr>
      <w:rFonts w:ascii="Calibri Light" w:hAnsi="Calibri Light"/>
      <w:b/>
      <w:bCs/>
      <w:sz w:val="32"/>
      <w:szCs w:val="32"/>
    </w:rPr>
  </w:style>
  <w:style w:type="paragraph" w:customStyle="1" w:styleId="60">
    <w:name w:val="批注文字1"/>
    <w:basedOn w:val="1"/>
    <w:next w:val="5"/>
    <w:unhideWhenUsed/>
    <w:qFormat/>
    <w:uiPriority w:val="99"/>
    <w:pPr>
      <w:widowControl/>
      <w:spacing w:after="200" w:line="276" w:lineRule="auto"/>
      <w:jc w:val="left"/>
    </w:pPr>
  </w:style>
  <w:style w:type="paragraph" w:customStyle="1" w:styleId="61">
    <w:name w:val="List Paragraph"/>
    <w:basedOn w:val="1"/>
    <w:qFormat/>
    <w:uiPriority w:val="34"/>
    <w:pPr>
      <w:ind w:firstLine="420" w:firstLineChars="200"/>
    </w:pPr>
    <w:rPr>
      <w:rFonts w:ascii="Calibri" w:hAnsi="Calibri" w:eastAsia="宋体" w:cs="Times New Roman"/>
    </w:rPr>
  </w:style>
  <w:style w:type="table" w:customStyle="1" w:styleId="62">
    <w:name w:val="网格型1"/>
    <w:basedOn w:val="1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网格型2"/>
    <w:basedOn w:val="1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4">
    <w:name w:val="font101"/>
    <w:qFormat/>
    <w:uiPriority w:val="0"/>
    <w:rPr>
      <w:rFonts w:ascii="Arial" w:hAnsi="Arial" w:cs="Arial"/>
      <w:color w:val="000000"/>
      <w:sz w:val="21"/>
      <w:szCs w:val="21"/>
      <w:u w:val="none"/>
    </w:rPr>
  </w:style>
  <w:style w:type="character" w:customStyle="1" w:styleId="65">
    <w:name w:val="font112"/>
    <w:qFormat/>
    <w:uiPriority w:val="0"/>
    <w:rPr>
      <w:rFonts w:hint="eastAsia" w:ascii="宋体" w:hAnsi="宋体" w:eastAsia="宋体" w:cs="宋体"/>
      <w:color w:val="000000"/>
      <w:sz w:val="21"/>
      <w:szCs w:val="21"/>
      <w:u w:val="none"/>
    </w:rPr>
  </w:style>
  <w:style w:type="character" w:customStyle="1" w:styleId="66">
    <w:name w:val="font71"/>
    <w:qFormat/>
    <w:uiPriority w:val="0"/>
    <w:rPr>
      <w:rFonts w:hint="eastAsia" w:ascii="等线" w:hAnsi="等线" w:eastAsia="等线" w:cs="等线"/>
      <w:color w:val="000000"/>
      <w:sz w:val="21"/>
      <w:szCs w:val="21"/>
      <w:u w:val="none"/>
    </w:rPr>
  </w:style>
  <w:style w:type="character" w:customStyle="1" w:styleId="67">
    <w:name w:val="font91"/>
    <w:uiPriority w:val="0"/>
    <w:rPr>
      <w:rFonts w:ascii="Arial" w:hAnsi="Arial" w:cs="Arial"/>
      <w:color w:val="000000"/>
      <w:sz w:val="21"/>
      <w:szCs w:val="21"/>
      <w:u w:val="none"/>
    </w:rPr>
  </w:style>
  <w:style w:type="paragraph" w:customStyle="1" w:styleId="68">
    <w:name w:val="WPSOffice手动目录 1"/>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17606</Words>
  <Characters>19779</Characters>
  <Lines>155</Lines>
  <Paragraphs>43</Paragraphs>
  <TotalTime>5</TotalTime>
  <ScaleCrop>false</ScaleCrop>
  <LinksUpToDate>false</LinksUpToDate>
  <CharactersWithSpaces>19843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2023-06-06T08:56:00Z</dcterms:created>
  <dc:creator>admin</dc:creator>
  <cp:lastModifiedBy>杨勇</cp:lastModifiedBy>
  <cp:lastPrinted>2023-07-06T13:23:00Z</cp:lastPrinted>
  <dcterms:modified xsi:type="dcterms:W3CDTF">2023-10-17T03:47:49Z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2E62289D898B416F9408CA4E8451209D_13</vt:lpwstr>
  </property>
</Properties>
</file>