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639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伊金霍洛旗机关事务服务中心</w:t>
      </w:r>
    </w:p>
    <w:p w14:paraId="47A4EF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2023年度</w:t>
      </w:r>
      <w:r>
        <w:rPr>
          <w:rFonts w:hint="eastAsia" w:ascii="方正小标宋简体" w:hAnsi="方正小标宋简体" w:eastAsia="方正小标宋简体" w:cs="方正小标宋简体"/>
          <w:b w:val="0"/>
          <w:bCs w:val="0"/>
          <w:sz w:val="36"/>
          <w:szCs w:val="36"/>
          <w:lang w:eastAsia="zh-CN"/>
        </w:rPr>
        <w:t>部门整体支出绩效评价报告</w:t>
      </w:r>
      <w:r>
        <w:rPr>
          <w:rFonts w:hint="eastAsia" w:ascii="方正小标宋简体" w:hAnsi="方正小标宋简体" w:eastAsia="方正小标宋简体" w:cs="方正小标宋简体"/>
          <w:b w:val="0"/>
          <w:bCs w:val="0"/>
          <w:sz w:val="36"/>
          <w:szCs w:val="36"/>
          <w:lang w:val="en-US" w:eastAsia="zh-CN"/>
        </w:rPr>
        <w:t>简要版</w:t>
      </w:r>
    </w:p>
    <w:p w14:paraId="18BBC8E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华文中宋" w:hAnsi="华文中宋" w:eastAsia="华文中宋" w:cs="华文中宋"/>
          <w:b w:val="0"/>
          <w:bCs w:val="0"/>
          <w:sz w:val="2"/>
          <w:szCs w:val="2"/>
          <w:lang w:eastAsia="zh-CN"/>
        </w:rPr>
      </w:pPr>
    </w:p>
    <w:p w14:paraId="420DE860">
      <w:pPr>
        <w:pStyle w:val="2"/>
        <w:numPr>
          <w:ilvl w:val="0"/>
          <w:numId w:val="1"/>
        </w:numPr>
        <w:bidi w:val="0"/>
        <w:rPr>
          <w:rFonts w:hint="eastAsia"/>
          <w:lang w:val="en-US" w:eastAsia="zh-CN"/>
        </w:rPr>
      </w:pPr>
      <w:bookmarkStart w:id="0" w:name="_Toc30936"/>
      <w:bookmarkStart w:id="1" w:name="_Toc29296"/>
      <w:bookmarkStart w:id="2" w:name="_Toc25086"/>
      <w:r>
        <w:rPr>
          <w:rFonts w:hint="eastAsia"/>
          <w:lang w:val="en-US" w:eastAsia="zh-CN"/>
        </w:rPr>
        <w:t>基本情况</w:t>
      </w:r>
      <w:bookmarkEnd w:id="0"/>
      <w:bookmarkEnd w:id="1"/>
      <w:bookmarkEnd w:id="2"/>
    </w:p>
    <w:p w14:paraId="1199A1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_GB2312" w:hAnsi="楷体_GB2312" w:eastAsia="楷体_GB2312" w:cs="楷体_GB2312"/>
          <w:sz w:val="32"/>
          <w:szCs w:val="32"/>
          <w:lang w:val="en-US" w:eastAsia="zh-CN"/>
        </w:rPr>
      </w:pPr>
      <w:bookmarkStart w:id="3" w:name="_Toc29959"/>
      <w:bookmarkStart w:id="4" w:name="_Toc6765"/>
      <w:bookmarkStart w:id="5" w:name="_Toc842"/>
      <w:r>
        <w:rPr>
          <w:rFonts w:hint="eastAsia" w:ascii="楷体_GB2312" w:hAnsi="楷体_GB2312" w:eastAsia="楷体_GB2312" w:cs="楷体_GB2312"/>
          <w:sz w:val="32"/>
          <w:szCs w:val="32"/>
          <w:lang w:val="en-US" w:eastAsia="zh-CN"/>
        </w:rPr>
        <w:t>（一）部门概况</w:t>
      </w:r>
      <w:bookmarkEnd w:id="3"/>
      <w:bookmarkEnd w:id="4"/>
      <w:bookmarkEnd w:id="5"/>
    </w:p>
    <w:p w14:paraId="413173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伊金霍洛旗机关事务服务中心（伊金霍洛旗合作交流中心）是整合原伊金霍洛旗机关事务局和伊金霍洛旗接待办公室相关职能和人员编制而成。为旗人民政府直属公益一类事业单位，机构规格相当于正科级。</w:t>
      </w:r>
    </w:p>
    <w:p w14:paraId="298BFE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_GB2312" w:hAnsi="楷体_GB2312" w:eastAsia="楷体_GB2312" w:cs="楷体_GB2312"/>
          <w:sz w:val="32"/>
          <w:szCs w:val="32"/>
          <w:lang w:val="en-US" w:eastAsia="zh-CN"/>
        </w:rPr>
      </w:pPr>
      <w:bookmarkStart w:id="6" w:name="_Toc11655"/>
      <w:bookmarkStart w:id="7" w:name="_Toc27491"/>
      <w:bookmarkStart w:id="8" w:name="_Toc14287"/>
      <w:r>
        <w:rPr>
          <w:rFonts w:hint="eastAsia" w:ascii="楷体_GB2312" w:hAnsi="楷体_GB2312" w:eastAsia="楷体_GB2312" w:cs="楷体_GB2312"/>
          <w:sz w:val="32"/>
          <w:szCs w:val="32"/>
          <w:lang w:val="en-US" w:eastAsia="zh-CN"/>
        </w:rPr>
        <w:t>（二）部门职能、机构和人员</w:t>
      </w:r>
      <w:bookmarkEnd w:id="6"/>
      <w:bookmarkEnd w:id="7"/>
      <w:bookmarkEnd w:id="8"/>
    </w:p>
    <w:p w14:paraId="3754DA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1.部门职能</w:t>
      </w:r>
    </w:p>
    <w:p w14:paraId="13410D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伊金霍洛旗机关事务服务中心（伊金霍洛旗合作交流中心）贯彻落实党中央关于机关事务工作的方针政策以及自治区党委、市委、旗委相关决策部署，在履行职责过程中坚持和加强党的全面领导，坚决维护党中央权威和集中统一领导。主要职责是：</w:t>
      </w:r>
    </w:p>
    <w:p w14:paraId="3C4E9D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（1）参与拟订并组织实施全旗机关事务工作的规划、政策、制度，指导、监督全旗机关事务管理工作。</w:t>
      </w:r>
    </w:p>
    <w:p w14:paraId="022B74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（2）参与拟订全旗机关后勤体制改革政策、制度，确定机关后勤服务项目和定额标准并监督实施；为旗委、人大、政府、政协、纪委监委机关提供后勤保障服务。</w:t>
      </w:r>
    </w:p>
    <w:p w14:paraId="3B00CE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（3）贯彻落实中央八项规定及实施细则精神和自治区、市、旗相关配套规定，完善公务接待和合作交流工作机制，积极推进全旗公务接待和合作交流工作的制度化、规范化建设。</w:t>
      </w:r>
    </w:p>
    <w:p w14:paraId="3C4D8C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（4）承担旗内各重大活动及公务活动接待服务的联络协调、组织运转、服务保障工作。</w:t>
      </w:r>
    </w:p>
    <w:p w14:paraId="357216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（5）承担全旗各类大型会议的后勤服务保障工作。</w:t>
      </w:r>
    </w:p>
    <w:p w14:paraId="672DF4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（6）承担推进、指导、协调全旗公共机构节能减排工作。</w:t>
      </w:r>
    </w:p>
    <w:p w14:paraId="559446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（7）承担全旗办公用房地产管理工作；承担办公用房的规划编制、权属登记、使用调配、处置维修等工作；对全旗办公用房建设提出初审意见。</w:t>
      </w:r>
    </w:p>
    <w:p w14:paraId="08D2F6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（8）承担全旗党政机关和事业单位公务用车编制管理工作；承担旗本级公务用车的更新、调配、处置和集中统一管理工作。</w:t>
      </w:r>
    </w:p>
    <w:p w14:paraId="5EAB07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（9）承担旗直集中办公区、宿舍区后勤服务保障物业管理等工作。</w:t>
      </w:r>
    </w:p>
    <w:p w14:paraId="143FE7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（10）承担大型企业、金融机构，党政考察团组、政府经贸团组到伊金霍洛旗的公务接待和合作交流的服务保障工作，承担旗领导同志会见、签约等活动安排的联络协调、组织运转、服务保障工作。</w:t>
      </w:r>
    </w:p>
    <w:p w14:paraId="5400E1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（11）按规定统筹协调旗本级党政机关公务接待和合作交流相关工作，指导全旗公务接待和合作交流工作并开展业务指导、培训等相关工作。</w:t>
      </w:r>
    </w:p>
    <w:p w14:paraId="536B07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（12）完成旗委、旗政府交办的其他任务。</w:t>
      </w:r>
    </w:p>
    <w:p w14:paraId="299D6C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2.机构设置和人员情况</w:t>
      </w:r>
    </w:p>
    <w:p w14:paraId="6F4F2F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伊金霍洛旗机关事务服务中心(伊金霍洛旗合作交流中心)设7个内设机构：</w:t>
      </w:r>
    </w:p>
    <w:p w14:paraId="00D8BE4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办公室。承担日常工作运转和综合协调工作，负责文电处理、会议组织、档案管理、财务管理、经费管理、会计管理、内部审计、机要通信、安全保密、政务公开、车辆管理、印章管理及采购工作。</w:t>
      </w:r>
    </w:p>
    <w:p w14:paraId="1CE5EFD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房产基建管理股。承担全旗办公用房地产管理工作，办公用房的规划编制、权属登记、使用调配、处置维修等工作。承担中心资产管理及处置工作。</w:t>
      </w:r>
    </w:p>
    <w:p w14:paraId="6FECB3C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公务用车管理股。承担旗公务用车管理工作领导小组办公室工作；承担旗本级公务用车的更新、调配、处置和集中统一管理等工作。</w:t>
      </w:r>
    </w:p>
    <w:p w14:paraId="5BED026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公共机构节能管理股。承担旗公共机构节能减排领导小组办公室工作；承担推进、指导、协调全旗公共机构节能减排工作。</w:t>
      </w:r>
    </w:p>
    <w:p w14:paraId="7F5428F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合作交流室。承担旗委、人大、政府、政协、纪委监委机关公务接待服务工作；承担旗内各重大活动及公务活动接待服务的联络协调、组织运转、服务保障工作。</w:t>
      </w:r>
    </w:p>
    <w:p w14:paraId="58734E3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餐饮服务室。承担党政大楼集中办公区及旗内各重大活动和公共活动的餐饮服务工作，制定餐饮服务管理制度并组织实施。</w:t>
      </w:r>
    </w:p>
    <w:p w14:paraId="4E5B75E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物业管理室。承担旗直集中办公区的安全保卫、交通管理、治安和消防监督等物业管理工作；承担全旗各类会议会务的服务工作。</w:t>
      </w:r>
    </w:p>
    <w:p w14:paraId="694D7C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伊金霍洛旗机关事务服务中心(伊金霍洛旗合作交流中心)人员情况：</w:t>
      </w:r>
    </w:p>
    <w:p w14:paraId="016B3A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该单位共有员工48名，其中：核定事业编制36名。编制内人员设主任1名（正科级），副主任2名（副科级）。编制内实有人数35名，空编数1名。编制外人员8名、社工5名。</w:t>
      </w:r>
    </w:p>
    <w:p w14:paraId="63A8A8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_GB2312" w:hAnsi="楷体_GB2312" w:eastAsia="楷体_GB2312" w:cs="楷体_GB2312"/>
          <w:sz w:val="32"/>
          <w:szCs w:val="32"/>
          <w:lang w:val="en-US" w:eastAsia="zh-CN"/>
        </w:rPr>
      </w:pPr>
      <w:bookmarkStart w:id="9" w:name="_Toc10167"/>
      <w:bookmarkStart w:id="10" w:name="_Toc25325"/>
      <w:bookmarkStart w:id="11" w:name="_Toc32633"/>
      <w:r>
        <w:rPr>
          <w:rFonts w:hint="eastAsia" w:ascii="楷体_GB2312" w:hAnsi="楷体_GB2312" w:eastAsia="楷体_GB2312" w:cs="楷体_GB2312"/>
          <w:sz w:val="32"/>
          <w:szCs w:val="32"/>
          <w:lang w:val="en-US" w:eastAsia="zh-CN"/>
        </w:rPr>
        <w:t>（三）年度工作计划及重点工作任务情况</w:t>
      </w:r>
      <w:bookmarkEnd w:id="9"/>
      <w:bookmarkEnd w:id="10"/>
      <w:bookmarkEnd w:id="11"/>
    </w:p>
    <w:p w14:paraId="12B7DB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1.完善体制机制，实现统一集中管理</w:t>
      </w:r>
    </w:p>
    <w:p w14:paraId="7FDAE9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继续巩固已有工作成果，不断总结经验、对党政机关办公用房坚持从严配置、集约使用、规范管理，不断完善实体化平台集中管理，加强信息化建设，强化电子监控；对全旗符合条件的办公用房实施统一规划制度、统一权属管理、统一配置管理、统一维修管理、统一物业规范、统一处置利用等六个“统一”管理机制。对全旗事业单位公务用车加装电子定位系统并接入公车管理平台；对全旗行政事业单位（包括参公单位，执法执勤车辆除外）公务用车全部实行集中统一管理，完善统一车辆权属、统一保障方式、统一经费管理、统一处置管理等四个“统一”管理机制，优化资源配置流程，提升服务保障水平，减轻财政负担。</w:t>
      </w:r>
    </w:p>
    <w:p w14:paraId="5FAA06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2.降低能源消耗，强化节能管理工作</w:t>
      </w:r>
    </w:p>
    <w:p w14:paraId="52EAE0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继续以创建节约型公共机构示范单位为契机，依据“十四五”公共机构节能工作规划，持续推进全旗各类公共机构的节能减排工作。全方位开展节能宣传，积极参与国家公共机构节能宣传周系列活动，引导全旗各公共机构采取多种措施开展节能宣传。对全旗集中办公区域配置垃圾分类装置，加大宣传力度，有效推动公共机构垃圾分类工作。对全旗集中办公区域加装二级计量智能水电表，实现水电使用数字化管理，有效推动能耗管控精确化，每季度对各单位能源消耗情况进行对比分析，年底对节能工作进行总结评估，让节能减排的效果看得见，提高公共机构能源利用的效率。</w:t>
      </w:r>
    </w:p>
    <w:p w14:paraId="6E9615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3.规范接待流程，提升服务保障水平</w:t>
      </w:r>
    </w:p>
    <w:p w14:paraId="6127A0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健全和完善已有的规章制度，严格标准，不碰“红线”，规范程序，细化环节，不断提高公务接待工作标准化、程序化、制度化水平，逐步建立完整的接待工作制度体系。加强接待礼仪培训，制定全面详细的培训计划，有序提升接待人员的礼仪素养。进一步做好大型活动和重要会议的接待服务工作，要结合大型活动自身规律和特色，科学策划、精心组织、周密安排，及时总结，加以传承。</w:t>
      </w:r>
    </w:p>
    <w:p w14:paraId="5069EB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4.提高服务质量，有效制止餐饮浪费</w:t>
      </w:r>
    </w:p>
    <w:p w14:paraId="0C8440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餐饮服务的规范化管理，科学设立岗位、合理设置工资结构、健全各项制度，完善餐厅各岗位工作职责及操作流程规范，加强对食堂的监督检查，精细化管理各岗位的履职情况，切实提升食堂保障水平。持续做好制止餐饮浪费工作，把厉行节俭贯穿到采购、加工、就餐、厨余处理等全流程。</w:t>
      </w:r>
    </w:p>
    <w:p w14:paraId="1D8CBE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5.规范物业管理，提升物业服务品质</w:t>
      </w:r>
    </w:p>
    <w:p w14:paraId="1384A0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继续深化机关事务社会化水平，重新招标选择服务质量、水平优秀的物业服务公司承担各集中办公区域的物业服务工作。完善保洁、安保、会服、维修、餐饮等各类物业标准，加大对物业公司的监管力度，规范物业管理，提升物业品质。强化物管队伍建设，加强员工日常教育管理，认真抓好专业知识培训，制定规范化的工作流程，切实提高从业人员专业水平。</w:t>
      </w:r>
    </w:p>
    <w:p w14:paraId="1B89EE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_GB2312" w:hAnsi="楷体_GB2312" w:eastAsia="楷体_GB2312" w:cs="楷体_GB2312"/>
          <w:sz w:val="32"/>
          <w:szCs w:val="32"/>
          <w:lang w:val="en-US" w:eastAsia="zh-CN"/>
        </w:rPr>
      </w:pPr>
      <w:bookmarkStart w:id="12" w:name="_Toc16070"/>
      <w:bookmarkStart w:id="13" w:name="_Toc21639"/>
      <w:bookmarkStart w:id="14" w:name="_Toc1791"/>
      <w:r>
        <w:rPr>
          <w:rFonts w:hint="eastAsia" w:ascii="楷体_GB2312" w:hAnsi="楷体_GB2312" w:eastAsia="楷体_GB2312" w:cs="楷体_GB2312"/>
          <w:sz w:val="32"/>
          <w:szCs w:val="32"/>
          <w:lang w:val="en-US" w:eastAsia="zh-CN"/>
        </w:rPr>
        <w:t>（四）部门收入支出和资产</w:t>
      </w:r>
      <w:bookmarkEnd w:id="12"/>
      <w:bookmarkEnd w:id="13"/>
      <w:bookmarkEnd w:id="14"/>
    </w:p>
    <w:p w14:paraId="2F7CD7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1.部门资金收入情况</w:t>
      </w:r>
    </w:p>
    <w:p w14:paraId="581D4D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伊金霍洛旗机关事务服务中心在2023年度部门资金总收入及上年结转结余共计5,712.72万元，其中：一般公共预算财政拨款收入5,712.72万元，年初结转结余0.00万元。</w:t>
      </w:r>
    </w:p>
    <w:p w14:paraId="63D6D3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2.部门资金支出情况</w:t>
      </w:r>
    </w:p>
    <w:p w14:paraId="6E2C06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伊金霍洛旗机关事务服务中心在2023年度部门资金总支出及年末结转结余共计5,712.72万元，按照支出性质分类：基本支出4,656.99万元，占全年支出的81.52%；项目支出1,055.73万元，占全年支出的18.48%；年末结转和结余0.00万元。伊金霍洛旗机关事务服务中心在2023年度财政资金收入支出具体情况见下表1： </w:t>
      </w:r>
    </w:p>
    <w:p w14:paraId="0494E39D">
      <w:pPr>
        <w:keepNext/>
        <w:keepLines/>
        <w:pageBreakBefore w:val="0"/>
        <w:widowControl w:val="0"/>
        <w:numPr>
          <w:ilvl w:val="0"/>
          <w:numId w:val="0"/>
        </w:numPr>
        <w:kinsoku/>
        <w:wordWrap/>
        <w:overflowPunct/>
        <w:topLinePunct w:val="0"/>
        <w:autoSpaceDE/>
        <w:autoSpaceDN/>
        <w:bidi w:val="0"/>
        <w:adjustRightInd/>
        <w:snapToGrid/>
        <w:spacing w:after="157" w:afterLines="50"/>
        <w:ind w:left="105" w:leftChars="50"/>
        <w:jc w:val="righ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表1：2023年财政资金收入支出表     单位：万元</w:t>
      </w:r>
    </w:p>
    <w:tbl>
      <w:tblPr>
        <w:tblStyle w:val="4"/>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7"/>
        <w:gridCol w:w="1773"/>
        <w:gridCol w:w="1773"/>
        <w:gridCol w:w="1775"/>
      </w:tblGrid>
      <w:tr w14:paraId="0A1B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78" w:type="dxa"/>
            <w:gridSpan w:val="4"/>
            <w:tcBorders>
              <w:tl2br w:val="nil"/>
              <w:tr2bl w:val="nil"/>
            </w:tcBorders>
            <w:vAlign w:val="center"/>
          </w:tcPr>
          <w:p w14:paraId="795DF7A4">
            <w:pPr>
              <w:keepNext/>
              <w:keepLines/>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收入</w:t>
            </w:r>
          </w:p>
        </w:tc>
      </w:tr>
      <w:tr w14:paraId="7BE0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7" w:type="dxa"/>
            <w:tcBorders>
              <w:tl2br w:val="nil"/>
              <w:tr2bl w:val="nil"/>
            </w:tcBorders>
            <w:vAlign w:val="center"/>
          </w:tcPr>
          <w:p w14:paraId="53E29D81">
            <w:pPr>
              <w:keepNext/>
              <w:keepLines/>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项目</w:t>
            </w:r>
          </w:p>
        </w:tc>
        <w:tc>
          <w:tcPr>
            <w:tcW w:w="1773" w:type="dxa"/>
            <w:tcBorders>
              <w:tl2br w:val="nil"/>
              <w:tr2bl w:val="nil"/>
            </w:tcBorders>
            <w:vAlign w:val="center"/>
          </w:tcPr>
          <w:p w14:paraId="6B374116">
            <w:pPr>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年初预算数</w:t>
            </w:r>
          </w:p>
        </w:tc>
        <w:tc>
          <w:tcPr>
            <w:tcW w:w="1773" w:type="dxa"/>
            <w:tcBorders>
              <w:tl2br w:val="nil"/>
              <w:tr2bl w:val="nil"/>
            </w:tcBorders>
            <w:vAlign w:val="center"/>
          </w:tcPr>
          <w:p w14:paraId="75EC1212">
            <w:pPr>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全年预算数</w:t>
            </w:r>
          </w:p>
        </w:tc>
        <w:tc>
          <w:tcPr>
            <w:tcW w:w="1775" w:type="dxa"/>
            <w:tcBorders>
              <w:tl2br w:val="nil"/>
              <w:tr2bl w:val="nil"/>
            </w:tcBorders>
            <w:vAlign w:val="center"/>
          </w:tcPr>
          <w:p w14:paraId="4C03B525">
            <w:pPr>
              <w:keepNext/>
              <w:keepLines/>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决算数</w:t>
            </w:r>
          </w:p>
        </w:tc>
      </w:tr>
      <w:tr w14:paraId="4203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7" w:type="dxa"/>
            <w:tcBorders>
              <w:tl2br w:val="nil"/>
              <w:tr2bl w:val="nil"/>
            </w:tcBorders>
            <w:vAlign w:val="center"/>
          </w:tcPr>
          <w:p w14:paraId="60E2C3BA">
            <w:pPr>
              <w:numPr>
                <w:ilvl w:val="0"/>
                <w:numId w:val="0"/>
              </w:numPr>
              <w:jc w:val="both"/>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一、一般公共预算财政拨款收入</w:t>
            </w:r>
          </w:p>
        </w:tc>
        <w:tc>
          <w:tcPr>
            <w:tcW w:w="1773" w:type="dxa"/>
            <w:tcBorders>
              <w:tl2br w:val="nil"/>
              <w:tr2bl w:val="nil"/>
            </w:tcBorders>
            <w:vAlign w:val="center"/>
          </w:tcPr>
          <w:p w14:paraId="764D6FD7">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5,063.39</w:t>
            </w:r>
          </w:p>
        </w:tc>
        <w:tc>
          <w:tcPr>
            <w:tcW w:w="1773" w:type="dxa"/>
            <w:tcBorders>
              <w:tl2br w:val="nil"/>
              <w:tr2bl w:val="nil"/>
            </w:tcBorders>
            <w:vAlign w:val="center"/>
          </w:tcPr>
          <w:p w14:paraId="5D54C61D">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6,313.60</w:t>
            </w:r>
          </w:p>
        </w:tc>
        <w:tc>
          <w:tcPr>
            <w:tcW w:w="1775" w:type="dxa"/>
            <w:tcBorders>
              <w:tl2br w:val="nil"/>
              <w:tr2bl w:val="nil"/>
            </w:tcBorders>
            <w:vAlign w:val="center"/>
          </w:tcPr>
          <w:p w14:paraId="03468841">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5,712.72</w:t>
            </w:r>
          </w:p>
        </w:tc>
      </w:tr>
      <w:tr w14:paraId="11AD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7" w:type="dxa"/>
            <w:tcBorders>
              <w:tl2br w:val="nil"/>
              <w:tr2bl w:val="nil"/>
            </w:tcBorders>
            <w:vAlign w:val="center"/>
          </w:tcPr>
          <w:p w14:paraId="7412F25F">
            <w:pPr>
              <w:numPr>
                <w:ilvl w:val="0"/>
                <w:numId w:val="0"/>
              </w:numPr>
              <w:jc w:val="both"/>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二、政府性基金预算财政拨款收入</w:t>
            </w:r>
          </w:p>
        </w:tc>
        <w:tc>
          <w:tcPr>
            <w:tcW w:w="1773" w:type="dxa"/>
            <w:tcBorders>
              <w:tl2br w:val="nil"/>
              <w:tr2bl w:val="nil"/>
            </w:tcBorders>
            <w:vAlign w:val="center"/>
          </w:tcPr>
          <w:p w14:paraId="343E6D24">
            <w:pPr>
              <w:numPr>
                <w:ilvl w:val="0"/>
                <w:numId w:val="0"/>
              </w:numPr>
              <w:jc w:val="center"/>
              <w:rPr>
                <w:rFonts w:hint="eastAsia" w:ascii="仿宋_GB2312" w:hAnsi="仿宋_GB2312" w:eastAsia="仿宋_GB2312" w:cs="仿宋_GB2312"/>
                <w:sz w:val="20"/>
                <w:szCs w:val="20"/>
                <w:vertAlign w:val="baseline"/>
                <w:lang w:val="en-US" w:eastAsia="zh-CN"/>
              </w:rPr>
            </w:pPr>
          </w:p>
        </w:tc>
        <w:tc>
          <w:tcPr>
            <w:tcW w:w="1773" w:type="dxa"/>
            <w:tcBorders>
              <w:tl2br w:val="nil"/>
              <w:tr2bl w:val="nil"/>
            </w:tcBorders>
            <w:vAlign w:val="center"/>
          </w:tcPr>
          <w:p w14:paraId="2BF82729">
            <w:pPr>
              <w:numPr>
                <w:ilvl w:val="0"/>
                <w:numId w:val="0"/>
              </w:numPr>
              <w:jc w:val="center"/>
              <w:rPr>
                <w:rFonts w:hint="eastAsia" w:ascii="仿宋_GB2312" w:hAnsi="仿宋_GB2312" w:eastAsia="仿宋_GB2312" w:cs="仿宋_GB2312"/>
                <w:sz w:val="20"/>
                <w:szCs w:val="20"/>
                <w:vertAlign w:val="baseline"/>
                <w:lang w:val="en-US" w:eastAsia="zh-CN"/>
              </w:rPr>
            </w:pPr>
          </w:p>
        </w:tc>
        <w:tc>
          <w:tcPr>
            <w:tcW w:w="1775" w:type="dxa"/>
            <w:tcBorders>
              <w:tl2br w:val="nil"/>
              <w:tr2bl w:val="nil"/>
            </w:tcBorders>
            <w:vAlign w:val="center"/>
          </w:tcPr>
          <w:p w14:paraId="3F2C1932">
            <w:pPr>
              <w:numPr>
                <w:ilvl w:val="0"/>
                <w:numId w:val="0"/>
              </w:numPr>
              <w:jc w:val="center"/>
              <w:rPr>
                <w:rFonts w:hint="eastAsia" w:ascii="仿宋_GB2312" w:hAnsi="仿宋_GB2312" w:eastAsia="仿宋_GB2312" w:cs="仿宋_GB2312"/>
                <w:sz w:val="20"/>
                <w:szCs w:val="20"/>
                <w:vertAlign w:val="baseline"/>
                <w:lang w:val="en-US" w:eastAsia="zh-CN"/>
              </w:rPr>
            </w:pPr>
          </w:p>
        </w:tc>
      </w:tr>
      <w:tr w14:paraId="6F5B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7" w:type="dxa"/>
            <w:tcBorders>
              <w:tl2br w:val="nil"/>
              <w:tr2bl w:val="nil"/>
            </w:tcBorders>
            <w:vAlign w:val="center"/>
          </w:tcPr>
          <w:p w14:paraId="33B99AD2">
            <w:pPr>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项目</w:t>
            </w:r>
          </w:p>
        </w:tc>
        <w:tc>
          <w:tcPr>
            <w:tcW w:w="1773" w:type="dxa"/>
            <w:tcBorders>
              <w:tl2br w:val="nil"/>
              <w:tr2bl w:val="nil"/>
            </w:tcBorders>
            <w:vAlign w:val="center"/>
          </w:tcPr>
          <w:p w14:paraId="07FB67C3">
            <w:pPr>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年初预算数</w:t>
            </w:r>
          </w:p>
        </w:tc>
        <w:tc>
          <w:tcPr>
            <w:tcW w:w="1773" w:type="dxa"/>
            <w:tcBorders>
              <w:tl2br w:val="nil"/>
              <w:tr2bl w:val="nil"/>
            </w:tcBorders>
            <w:vAlign w:val="center"/>
          </w:tcPr>
          <w:p w14:paraId="5E748AA4">
            <w:pPr>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全年预算数</w:t>
            </w:r>
          </w:p>
        </w:tc>
        <w:tc>
          <w:tcPr>
            <w:tcW w:w="1775" w:type="dxa"/>
            <w:tcBorders>
              <w:tl2br w:val="nil"/>
              <w:tr2bl w:val="nil"/>
            </w:tcBorders>
            <w:vAlign w:val="center"/>
          </w:tcPr>
          <w:p w14:paraId="4034195A">
            <w:pPr>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决算数</w:t>
            </w:r>
          </w:p>
        </w:tc>
      </w:tr>
      <w:tr w14:paraId="3057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7" w:type="dxa"/>
            <w:tcBorders>
              <w:tl2br w:val="nil"/>
              <w:tr2bl w:val="nil"/>
            </w:tcBorders>
            <w:vAlign w:val="center"/>
          </w:tcPr>
          <w:p w14:paraId="3574E061">
            <w:pPr>
              <w:numPr>
                <w:ilvl w:val="0"/>
                <w:numId w:val="0"/>
              </w:numPr>
              <w:ind w:left="0" w:leftChars="0" w:firstLine="0" w:firstLineChars="0"/>
              <w:jc w:val="both"/>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三、上级补助收入</w:t>
            </w:r>
          </w:p>
        </w:tc>
        <w:tc>
          <w:tcPr>
            <w:tcW w:w="1773" w:type="dxa"/>
            <w:tcBorders>
              <w:tl2br w:val="nil"/>
              <w:tr2bl w:val="nil"/>
            </w:tcBorders>
            <w:vAlign w:val="center"/>
          </w:tcPr>
          <w:p w14:paraId="2A32DA1D">
            <w:pPr>
              <w:numPr>
                <w:ilvl w:val="0"/>
                <w:numId w:val="0"/>
              </w:numPr>
              <w:ind w:left="0" w:leftChars="0" w:firstLine="0" w:firstLineChars="0"/>
              <w:jc w:val="center"/>
              <w:rPr>
                <w:rFonts w:hint="eastAsia" w:ascii="仿宋_GB2312" w:hAnsi="仿宋_GB2312" w:eastAsia="仿宋_GB2312" w:cs="仿宋_GB2312"/>
                <w:sz w:val="20"/>
                <w:szCs w:val="20"/>
                <w:vertAlign w:val="baseline"/>
                <w:lang w:val="en-US" w:eastAsia="zh-CN"/>
              </w:rPr>
            </w:pPr>
          </w:p>
        </w:tc>
        <w:tc>
          <w:tcPr>
            <w:tcW w:w="1773" w:type="dxa"/>
            <w:tcBorders>
              <w:tl2br w:val="nil"/>
              <w:tr2bl w:val="nil"/>
            </w:tcBorders>
            <w:vAlign w:val="center"/>
          </w:tcPr>
          <w:p w14:paraId="354FB3EB">
            <w:pPr>
              <w:numPr>
                <w:ilvl w:val="0"/>
                <w:numId w:val="0"/>
              </w:numPr>
              <w:ind w:left="0" w:leftChars="0" w:firstLine="0" w:firstLineChars="0"/>
              <w:jc w:val="center"/>
              <w:rPr>
                <w:rFonts w:hint="eastAsia" w:ascii="仿宋_GB2312" w:hAnsi="仿宋_GB2312" w:eastAsia="仿宋_GB2312" w:cs="仿宋_GB2312"/>
                <w:sz w:val="20"/>
                <w:szCs w:val="20"/>
                <w:vertAlign w:val="baseline"/>
                <w:lang w:val="en-US" w:eastAsia="zh-CN"/>
              </w:rPr>
            </w:pPr>
          </w:p>
        </w:tc>
        <w:tc>
          <w:tcPr>
            <w:tcW w:w="1775" w:type="dxa"/>
            <w:tcBorders>
              <w:tl2br w:val="nil"/>
              <w:tr2bl w:val="nil"/>
            </w:tcBorders>
            <w:vAlign w:val="center"/>
          </w:tcPr>
          <w:p w14:paraId="28FA61C0">
            <w:pPr>
              <w:numPr>
                <w:ilvl w:val="0"/>
                <w:numId w:val="0"/>
              </w:numPr>
              <w:ind w:left="0" w:leftChars="0" w:firstLine="0" w:firstLineChars="0"/>
              <w:jc w:val="center"/>
              <w:rPr>
                <w:rFonts w:hint="eastAsia" w:ascii="仿宋_GB2312" w:hAnsi="仿宋_GB2312" w:eastAsia="仿宋_GB2312" w:cs="仿宋_GB2312"/>
                <w:sz w:val="20"/>
                <w:szCs w:val="20"/>
                <w:vertAlign w:val="baseline"/>
                <w:lang w:val="en-US" w:eastAsia="zh-CN"/>
              </w:rPr>
            </w:pPr>
          </w:p>
        </w:tc>
      </w:tr>
      <w:tr w14:paraId="2C7E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7" w:type="dxa"/>
            <w:tcBorders>
              <w:tl2br w:val="nil"/>
              <w:tr2bl w:val="nil"/>
            </w:tcBorders>
            <w:vAlign w:val="center"/>
          </w:tcPr>
          <w:p w14:paraId="128C689D">
            <w:pPr>
              <w:numPr>
                <w:ilvl w:val="0"/>
                <w:numId w:val="0"/>
              </w:numPr>
              <w:ind w:left="0" w:leftChars="0" w:firstLine="0" w:firstLineChars="0"/>
              <w:jc w:val="both"/>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四、其他收入</w:t>
            </w:r>
          </w:p>
        </w:tc>
        <w:tc>
          <w:tcPr>
            <w:tcW w:w="1773" w:type="dxa"/>
            <w:tcBorders>
              <w:tl2br w:val="nil"/>
              <w:tr2bl w:val="nil"/>
            </w:tcBorders>
            <w:vAlign w:val="center"/>
          </w:tcPr>
          <w:p w14:paraId="632063F3">
            <w:pPr>
              <w:numPr>
                <w:ilvl w:val="0"/>
                <w:numId w:val="0"/>
              </w:numPr>
              <w:ind w:left="0" w:leftChars="0" w:firstLine="0" w:firstLineChars="0"/>
              <w:jc w:val="center"/>
              <w:rPr>
                <w:rFonts w:hint="eastAsia" w:ascii="仿宋_GB2312" w:hAnsi="仿宋_GB2312" w:eastAsia="仿宋_GB2312" w:cs="仿宋_GB2312"/>
                <w:sz w:val="20"/>
                <w:szCs w:val="20"/>
                <w:vertAlign w:val="baseline"/>
                <w:lang w:val="en-US" w:eastAsia="zh-CN"/>
              </w:rPr>
            </w:pPr>
          </w:p>
        </w:tc>
        <w:tc>
          <w:tcPr>
            <w:tcW w:w="1773" w:type="dxa"/>
            <w:tcBorders>
              <w:tl2br w:val="nil"/>
              <w:tr2bl w:val="nil"/>
            </w:tcBorders>
            <w:vAlign w:val="center"/>
          </w:tcPr>
          <w:p w14:paraId="6FB49B77">
            <w:pPr>
              <w:numPr>
                <w:ilvl w:val="0"/>
                <w:numId w:val="0"/>
              </w:numPr>
              <w:ind w:left="0" w:leftChars="0" w:firstLine="0" w:firstLineChars="0"/>
              <w:jc w:val="center"/>
              <w:rPr>
                <w:rFonts w:hint="eastAsia" w:ascii="仿宋_GB2312" w:hAnsi="仿宋_GB2312" w:eastAsia="仿宋_GB2312" w:cs="仿宋_GB2312"/>
                <w:sz w:val="20"/>
                <w:szCs w:val="20"/>
                <w:vertAlign w:val="baseline"/>
                <w:lang w:val="en-US" w:eastAsia="zh-CN"/>
              </w:rPr>
            </w:pPr>
          </w:p>
        </w:tc>
        <w:tc>
          <w:tcPr>
            <w:tcW w:w="1775" w:type="dxa"/>
            <w:tcBorders>
              <w:tl2br w:val="nil"/>
              <w:tr2bl w:val="nil"/>
            </w:tcBorders>
            <w:vAlign w:val="center"/>
          </w:tcPr>
          <w:p w14:paraId="538D54BA">
            <w:pPr>
              <w:numPr>
                <w:ilvl w:val="0"/>
                <w:numId w:val="0"/>
              </w:numPr>
              <w:ind w:left="0" w:leftChars="0" w:firstLine="0" w:firstLineChars="0"/>
              <w:jc w:val="center"/>
              <w:rPr>
                <w:rFonts w:hint="eastAsia" w:ascii="仿宋_GB2312" w:hAnsi="仿宋_GB2312" w:eastAsia="仿宋_GB2312" w:cs="仿宋_GB2312"/>
                <w:sz w:val="20"/>
                <w:szCs w:val="20"/>
                <w:vertAlign w:val="baseline"/>
                <w:lang w:val="en-US" w:eastAsia="zh-CN"/>
              </w:rPr>
            </w:pPr>
          </w:p>
        </w:tc>
      </w:tr>
      <w:tr w14:paraId="07E2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7" w:type="dxa"/>
            <w:tcBorders>
              <w:tl2br w:val="nil"/>
              <w:tr2bl w:val="nil"/>
            </w:tcBorders>
            <w:vAlign w:val="center"/>
          </w:tcPr>
          <w:p w14:paraId="51DBCA8A">
            <w:pPr>
              <w:numPr>
                <w:ilvl w:val="0"/>
                <w:numId w:val="0"/>
              </w:numPr>
              <w:jc w:val="both"/>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本年收入合计</w:t>
            </w:r>
          </w:p>
        </w:tc>
        <w:tc>
          <w:tcPr>
            <w:tcW w:w="1773" w:type="dxa"/>
            <w:tcBorders>
              <w:tl2br w:val="nil"/>
              <w:tr2bl w:val="nil"/>
            </w:tcBorders>
            <w:vAlign w:val="center"/>
          </w:tcPr>
          <w:p w14:paraId="6C203292">
            <w:pPr>
              <w:numPr>
                <w:ilvl w:val="0"/>
                <w:numId w:val="0"/>
              </w:numPr>
              <w:ind w:left="0" w:leftChars="0" w:firstLine="0" w:firstLineChars="0"/>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5,063.39</w:t>
            </w:r>
          </w:p>
        </w:tc>
        <w:tc>
          <w:tcPr>
            <w:tcW w:w="1773" w:type="dxa"/>
            <w:tcBorders>
              <w:tl2br w:val="nil"/>
              <w:tr2bl w:val="nil"/>
            </w:tcBorders>
            <w:vAlign w:val="center"/>
          </w:tcPr>
          <w:p w14:paraId="7A4C3E5A">
            <w:pPr>
              <w:numPr>
                <w:ilvl w:val="0"/>
                <w:numId w:val="0"/>
              </w:numPr>
              <w:ind w:left="0" w:leftChars="0" w:firstLine="0" w:firstLineChars="0"/>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6,313.60</w:t>
            </w:r>
          </w:p>
        </w:tc>
        <w:tc>
          <w:tcPr>
            <w:tcW w:w="1775" w:type="dxa"/>
            <w:tcBorders>
              <w:tl2br w:val="nil"/>
              <w:tr2bl w:val="nil"/>
            </w:tcBorders>
            <w:vAlign w:val="center"/>
          </w:tcPr>
          <w:p w14:paraId="39735A41">
            <w:pPr>
              <w:numPr>
                <w:ilvl w:val="0"/>
                <w:numId w:val="0"/>
              </w:numPr>
              <w:ind w:left="0" w:leftChars="0" w:firstLine="0" w:firstLineChars="0"/>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5,712.72</w:t>
            </w:r>
          </w:p>
        </w:tc>
      </w:tr>
      <w:tr w14:paraId="21A6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7" w:type="dxa"/>
            <w:tcBorders>
              <w:tl2br w:val="nil"/>
              <w:tr2bl w:val="nil"/>
            </w:tcBorders>
            <w:vAlign w:val="center"/>
          </w:tcPr>
          <w:p w14:paraId="6646FA4A">
            <w:pPr>
              <w:numPr>
                <w:ilvl w:val="0"/>
                <w:numId w:val="0"/>
              </w:numPr>
              <w:jc w:val="both"/>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年初结转和结余</w:t>
            </w:r>
          </w:p>
        </w:tc>
        <w:tc>
          <w:tcPr>
            <w:tcW w:w="1773" w:type="dxa"/>
            <w:tcBorders>
              <w:tl2br w:val="nil"/>
              <w:tr2bl w:val="nil"/>
            </w:tcBorders>
            <w:vAlign w:val="center"/>
          </w:tcPr>
          <w:p w14:paraId="07E7050A">
            <w:pPr>
              <w:numPr>
                <w:ilvl w:val="0"/>
                <w:numId w:val="0"/>
              </w:numPr>
              <w:jc w:val="center"/>
              <w:rPr>
                <w:rFonts w:hint="eastAsia" w:ascii="仿宋_GB2312" w:hAnsi="仿宋_GB2312" w:eastAsia="仿宋_GB2312" w:cs="仿宋_GB2312"/>
                <w:sz w:val="20"/>
                <w:szCs w:val="20"/>
                <w:vertAlign w:val="baseline"/>
                <w:lang w:val="en-US" w:eastAsia="zh-CN"/>
              </w:rPr>
            </w:pPr>
          </w:p>
        </w:tc>
        <w:tc>
          <w:tcPr>
            <w:tcW w:w="1773" w:type="dxa"/>
            <w:tcBorders>
              <w:tl2br w:val="nil"/>
              <w:tr2bl w:val="nil"/>
            </w:tcBorders>
            <w:vAlign w:val="center"/>
          </w:tcPr>
          <w:p w14:paraId="590FA6FD">
            <w:pPr>
              <w:numPr>
                <w:ilvl w:val="0"/>
                <w:numId w:val="0"/>
              </w:numPr>
              <w:jc w:val="center"/>
              <w:rPr>
                <w:rFonts w:hint="eastAsia" w:ascii="仿宋_GB2312" w:hAnsi="仿宋_GB2312" w:eastAsia="仿宋_GB2312" w:cs="仿宋_GB2312"/>
                <w:sz w:val="20"/>
                <w:szCs w:val="20"/>
                <w:vertAlign w:val="baseline"/>
                <w:lang w:val="en-US" w:eastAsia="zh-CN"/>
              </w:rPr>
            </w:pPr>
          </w:p>
        </w:tc>
        <w:tc>
          <w:tcPr>
            <w:tcW w:w="1775" w:type="dxa"/>
            <w:tcBorders>
              <w:tl2br w:val="nil"/>
              <w:tr2bl w:val="nil"/>
            </w:tcBorders>
            <w:vAlign w:val="center"/>
          </w:tcPr>
          <w:p w14:paraId="29F86D1E">
            <w:pPr>
              <w:numPr>
                <w:ilvl w:val="0"/>
                <w:numId w:val="0"/>
              </w:numPr>
              <w:jc w:val="center"/>
              <w:rPr>
                <w:rFonts w:hint="eastAsia" w:ascii="仿宋_GB2312" w:hAnsi="仿宋_GB2312" w:eastAsia="仿宋_GB2312" w:cs="仿宋_GB2312"/>
                <w:sz w:val="20"/>
                <w:szCs w:val="20"/>
                <w:vertAlign w:val="baseline"/>
                <w:lang w:val="en-US" w:eastAsia="zh-CN"/>
              </w:rPr>
            </w:pPr>
          </w:p>
        </w:tc>
      </w:tr>
      <w:tr w14:paraId="7818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7" w:type="dxa"/>
            <w:tcBorders>
              <w:tl2br w:val="nil"/>
              <w:tr2bl w:val="nil"/>
            </w:tcBorders>
            <w:vAlign w:val="center"/>
          </w:tcPr>
          <w:p w14:paraId="2ADF4AAB">
            <w:pPr>
              <w:numPr>
                <w:ilvl w:val="0"/>
                <w:numId w:val="0"/>
              </w:numPr>
              <w:jc w:val="both"/>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收入总计</w:t>
            </w:r>
          </w:p>
        </w:tc>
        <w:tc>
          <w:tcPr>
            <w:tcW w:w="1773" w:type="dxa"/>
            <w:tcBorders>
              <w:tl2br w:val="nil"/>
              <w:tr2bl w:val="nil"/>
            </w:tcBorders>
            <w:vAlign w:val="center"/>
          </w:tcPr>
          <w:p w14:paraId="66FF7375">
            <w:pPr>
              <w:numPr>
                <w:ilvl w:val="0"/>
                <w:numId w:val="0"/>
              </w:numPr>
              <w:ind w:left="0" w:leftChars="0" w:firstLine="0" w:firstLineChars="0"/>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5,063.39</w:t>
            </w:r>
          </w:p>
        </w:tc>
        <w:tc>
          <w:tcPr>
            <w:tcW w:w="1773" w:type="dxa"/>
            <w:tcBorders>
              <w:tl2br w:val="nil"/>
              <w:tr2bl w:val="nil"/>
            </w:tcBorders>
            <w:vAlign w:val="center"/>
          </w:tcPr>
          <w:p w14:paraId="50AEC755">
            <w:pPr>
              <w:numPr>
                <w:ilvl w:val="0"/>
                <w:numId w:val="0"/>
              </w:numPr>
              <w:ind w:left="0" w:leftChars="0" w:firstLine="0" w:firstLineChars="0"/>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6,313.60</w:t>
            </w:r>
          </w:p>
        </w:tc>
        <w:tc>
          <w:tcPr>
            <w:tcW w:w="1775" w:type="dxa"/>
            <w:tcBorders>
              <w:tl2br w:val="nil"/>
              <w:tr2bl w:val="nil"/>
            </w:tcBorders>
            <w:vAlign w:val="center"/>
          </w:tcPr>
          <w:p w14:paraId="37A1B3FA">
            <w:pPr>
              <w:numPr>
                <w:ilvl w:val="0"/>
                <w:numId w:val="0"/>
              </w:numPr>
              <w:ind w:left="0" w:leftChars="0" w:firstLine="0" w:firstLineChars="0"/>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5,712.72</w:t>
            </w:r>
          </w:p>
        </w:tc>
      </w:tr>
      <w:tr w14:paraId="63B5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78" w:type="dxa"/>
            <w:gridSpan w:val="4"/>
            <w:tcBorders>
              <w:tl2br w:val="nil"/>
              <w:tr2bl w:val="nil"/>
            </w:tcBorders>
            <w:vAlign w:val="center"/>
          </w:tcPr>
          <w:p w14:paraId="060F45AD">
            <w:pPr>
              <w:numPr>
                <w:ilvl w:val="0"/>
                <w:numId w:val="0"/>
              </w:numPr>
              <w:ind w:left="0" w:leftChars="0" w:firstLine="0" w:firstLineChars="0"/>
              <w:jc w:val="center"/>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支出</w:t>
            </w:r>
          </w:p>
        </w:tc>
      </w:tr>
      <w:tr w14:paraId="635E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7" w:type="dxa"/>
            <w:tcBorders>
              <w:tl2br w:val="nil"/>
              <w:tr2bl w:val="nil"/>
            </w:tcBorders>
            <w:vAlign w:val="center"/>
          </w:tcPr>
          <w:p w14:paraId="3EA07B38">
            <w:pPr>
              <w:numPr>
                <w:ilvl w:val="0"/>
                <w:numId w:val="0"/>
              </w:numPr>
              <w:ind w:left="0" w:leftChars="0" w:firstLine="0" w:firstLineChars="0"/>
              <w:jc w:val="center"/>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项目</w:t>
            </w:r>
          </w:p>
        </w:tc>
        <w:tc>
          <w:tcPr>
            <w:tcW w:w="1773" w:type="dxa"/>
            <w:tcBorders>
              <w:tl2br w:val="nil"/>
              <w:tr2bl w:val="nil"/>
            </w:tcBorders>
            <w:vAlign w:val="center"/>
          </w:tcPr>
          <w:p w14:paraId="4E6C5CEF">
            <w:pPr>
              <w:numPr>
                <w:ilvl w:val="0"/>
                <w:numId w:val="0"/>
              </w:numPr>
              <w:ind w:left="0" w:leftChars="0" w:firstLine="0" w:firstLineChars="0"/>
              <w:jc w:val="center"/>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年初预算数</w:t>
            </w:r>
          </w:p>
        </w:tc>
        <w:tc>
          <w:tcPr>
            <w:tcW w:w="1773" w:type="dxa"/>
            <w:tcBorders>
              <w:tl2br w:val="nil"/>
              <w:tr2bl w:val="nil"/>
            </w:tcBorders>
            <w:vAlign w:val="center"/>
          </w:tcPr>
          <w:p w14:paraId="72C7CD97">
            <w:pPr>
              <w:numPr>
                <w:ilvl w:val="0"/>
                <w:numId w:val="0"/>
              </w:numPr>
              <w:ind w:left="0" w:leftChars="0" w:firstLine="0" w:firstLineChars="0"/>
              <w:jc w:val="center"/>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全年预算数</w:t>
            </w:r>
          </w:p>
        </w:tc>
        <w:tc>
          <w:tcPr>
            <w:tcW w:w="1775" w:type="dxa"/>
            <w:tcBorders>
              <w:tl2br w:val="nil"/>
              <w:tr2bl w:val="nil"/>
            </w:tcBorders>
            <w:vAlign w:val="center"/>
          </w:tcPr>
          <w:p w14:paraId="037D0EEF">
            <w:pPr>
              <w:numPr>
                <w:ilvl w:val="0"/>
                <w:numId w:val="0"/>
              </w:numPr>
              <w:ind w:left="0" w:leftChars="0" w:firstLine="0" w:firstLineChars="0"/>
              <w:jc w:val="center"/>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决算数</w:t>
            </w:r>
          </w:p>
        </w:tc>
      </w:tr>
      <w:tr w14:paraId="536B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7" w:type="dxa"/>
            <w:tcBorders>
              <w:tl2br w:val="nil"/>
              <w:tr2bl w:val="nil"/>
            </w:tcBorders>
            <w:vAlign w:val="center"/>
          </w:tcPr>
          <w:p w14:paraId="239A649E">
            <w:pPr>
              <w:numPr>
                <w:ilvl w:val="0"/>
                <w:numId w:val="0"/>
              </w:numPr>
              <w:ind w:left="0" w:leftChars="0" w:firstLine="0" w:firstLineChars="0"/>
              <w:jc w:val="both"/>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一、基本支出</w:t>
            </w:r>
          </w:p>
        </w:tc>
        <w:tc>
          <w:tcPr>
            <w:tcW w:w="1773" w:type="dxa"/>
            <w:tcBorders>
              <w:tl2br w:val="nil"/>
              <w:tr2bl w:val="nil"/>
            </w:tcBorders>
            <w:vAlign w:val="center"/>
          </w:tcPr>
          <w:p w14:paraId="2F9A0F43">
            <w:pPr>
              <w:numPr>
                <w:ilvl w:val="0"/>
                <w:numId w:val="0"/>
              </w:numPr>
              <w:ind w:left="0" w:leftChars="0" w:firstLine="0" w:firstLineChars="0"/>
              <w:jc w:val="center"/>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4,993.18</w:t>
            </w:r>
          </w:p>
        </w:tc>
        <w:tc>
          <w:tcPr>
            <w:tcW w:w="1773" w:type="dxa"/>
            <w:tcBorders>
              <w:tl2br w:val="nil"/>
              <w:tr2bl w:val="nil"/>
            </w:tcBorders>
            <w:vAlign w:val="center"/>
          </w:tcPr>
          <w:p w14:paraId="342E2B4D">
            <w:pPr>
              <w:numPr>
                <w:ilvl w:val="0"/>
                <w:numId w:val="0"/>
              </w:numPr>
              <w:ind w:left="0" w:leftChars="0" w:firstLine="0" w:firstLineChars="0"/>
              <w:jc w:val="center"/>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5,058.70</w:t>
            </w:r>
          </w:p>
        </w:tc>
        <w:tc>
          <w:tcPr>
            <w:tcW w:w="1775" w:type="dxa"/>
            <w:tcBorders>
              <w:tl2br w:val="nil"/>
              <w:tr2bl w:val="nil"/>
            </w:tcBorders>
            <w:vAlign w:val="center"/>
          </w:tcPr>
          <w:p w14:paraId="250EB594">
            <w:pPr>
              <w:numPr>
                <w:ilvl w:val="0"/>
                <w:numId w:val="0"/>
              </w:numPr>
              <w:ind w:left="0" w:leftChars="0" w:firstLine="0" w:firstLineChars="0"/>
              <w:jc w:val="center"/>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4,656.99</w:t>
            </w:r>
          </w:p>
        </w:tc>
      </w:tr>
      <w:tr w14:paraId="08F0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7" w:type="dxa"/>
            <w:tcBorders>
              <w:tl2br w:val="nil"/>
              <w:tr2bl w:val="nil"/>
            </w:tcBorders>
            <w:vAlign w:val="center"/>
          </w:tcPr>
          <w:p w14:paraId="04A8BB7D">
            <w:pPr>
              <w:numPr>
                <w:ilvl w:val="0"/>
                <w:numId w:val="0"/>
              </w:numPr>
              <w:ind w:left="0" w:leftChars="0" w:firstLine="0" w:firstLineChars="0"/>
              <w:jc w:val="both"/>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（一）人员经费</w:t>
            </w:r>
          </w:p>
        </w:tc>
        <w:tc>
          <w:tcPr>
            <w:tcW w:w="1773" w:type="dxa"/>
            <w:tcBorders>
              <w:tl2br w:val="nil"/>
              <w:tr2bl w:val="nil"/>
            </w:tcBorders>
            <w:vAlign w:val="center"/>
          </w:tcPr>
          <w:p w14:paraId="0610C316">
            <w:pPr>
              <w:numPr>
                <w:ilvl w:val="0"/>
                <w:numId w:val="0"/>
              </w:numPr>
              <w:ind w:left="0" w:leftChars="0" w:firstLine="0" w:firstLineChars="0"/>
              <w:jc w:val="center"/>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724.14</w:t>
            </w:r>
          </w:p>
        </w:tc>
        <w:tc>
          <w:tcPr>
            <w:tcW w:w="1773" w:type="dxa"/>
            <w:tcBorders>
              <w:tl2br w:val="nil"/>
              <w:tr2bl w:val="nil"/>
            </w:tcBorders>
            <w:vAlign w:val="center"/>
          </w:tcPr>
          <w:p w14:paraId="639ECD09">
            <w:pPr>
              <w:numPr>
                <w:ilvl w:val="0"/>
                <w:numId w:val="0"/>
              </w:numPr>
              <w:ind w:left="0" w:leftChars="0" w:firstLine="0" w:firstLineChars="0"/>
              <w:jc w:val="center"/>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836.70</w:t>
            </w:r>
          </w:p>
        </w:tc>
        <w:tc>
          <w:tcPr>
            <w:tcW w:w="1775" w:type="dxa"/>
            <w:tcBorders>
              <w:tl2br w:val="nil"/>
              <w:tr2bl w:val="nil"/>
            </w:tcBorders>
            <w:vAlign w:val="center"/>
          </w:tcPr>
          <w:p w14:paraId="18141419">
            <w:pPr>
              <w:numPr>
                <w:ilvl w:val="0"/>
                <w:numId w:val="0"/>
              </w:numPr>
              <w:ind w:left="0" w:leftChars="0" w:firstLine="0" w:firstLineChars="0"/>
              <w:jc w:val="center"/>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820.13</w:t>
            </w:r>
          </w:p>
        </w:tc>
      </w:tr>
      <w:tr w14:paraId="08EC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7" w:type="dxa"/>
            <w:tcBorders>
              <w:tl2br w:val="nil"/>
              <w:tr2bl w:val="nil"/>
            </w:tcBorders>
            <w:vAlign w:val="center"/>
          </w:tcPr>
          <w:p w14:paraId="417DB4C7">
            <w:pPr>
              <w:numPr>
                <w:ilvl w:val="0"/>
                <w:numId w:val="0"/>
              </w:numPr>
              <w:ind w:left="0" w:leftChars="0" w:firstLine="0" w:firstLineChars="0"/>
              <w:jc w:val="both"/>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（二）公用经费</w:t>
            </w:r>
          </w:p>
        </w:tc>
        <w:tc>
          <w:tcPr>
            <w:tcW w:w="1773" w:type="dxa"/>
            <w:tcBorders>
              <w:tl2br w:val="nil"/>
              <w:tr2bl w:val="nil"/>
            </w:tcBorders>
            <w:vAlign w:val="center"/>
          </w:tcPr>
          <w:p w14:paraId="6CAB64F2">
            <w:pPr>
              <w:numPr>
                <w:ilvl w:val="0"/>
                <w:numId w:val="0"/>
              </w:numPr>
              <w:ind w:left="0" w:leftChars="0" w:firstLine="0" w:firstLineChars="0"/>
              <w:jc w:val="center"/>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4,269.04</w:t>
            </w:r>
          </w:p>
        </w:tc>
        <w:tc>
          <w:tcPr>
            <w:tcW w:w="1773" w:type="dxa"/>
            <w:tcBorders>
              <w:tl2br w:val="nil"/>
              <w:tr2bl w:val="nil"/>
            </w:tcBorders>
            <w:vAlign w:val="center"/>
          </w:tcPr>
          <w:p w14:paraId="25843938">
            <w:pPr>
              <w:numPr>
                <w:ilvl w:val="0"/>
                <w:numId w:val="0"/>
              </w:numPr>
              <w:ind w:left="0" w:leftChars="0" w:firstLine="0" w:firstLineChars="0"/>
              <w:jc w:val="center"/>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4,222.00</w:t>
            </w:r>
          </w:p>
        </w:tc>
        <w:tc>
          <w:tcPr>
            <w:tcW w:w="1775" w:type="dxa"/>
            <w:tcBorders>
              <w:tl2br w:val="nil"/>
              <w:tr2bl w:val="nil"/>
            </w:tcBorders>
            <w:vAlign w:val="center"/>
          </w:tcPr>
          <w:p w14:paraId="08EABC1B">
            <w:pPr>
              <w:numPr>
                <w:ilvl w:val="0"/>
                <w:numId w:val="0"/>
              </w:numPr>
              <w:ind w:left="0" w:leftChars="0" w:firstLine="0" w:firstLineChars="0"/>
              <w:jc w:val="center"/>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3,836.86</w:t>
            </w:r>
          </w:p>
        </w:tc>
      </w:tr>
      <w:tr w14:paraId="4F3C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7" w:type="dxa"/>
            <w:tcBorders>
              <w:tl2br w:val="nil"/>
              <w:tr2bl w:val="nil"/>
            </w:tcBorders>
            <w:vAlign w:val="center"/>
          </w:tcPr>
          <w:p w14:paraId="40712964">
            <w:pPr>
              <w:numPr>
                <w:ilvl w:val="0"/>
                <w:numId w:val="0"/>
              </w:numPr>
              <w:ind w:left="0" w:leftChars="0" w:firstLine="0" w:firstLineChars="0"/>
              <w:jc w:val="both"/>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二、项目支出</w:t>
            </w:r>
          </w:p>
        </w:tc>
        <w:tc>
          <w:tcPr>
            <w:tcW w:w="1773" w:type="dxa"/>
            <w:tcBorders>
              <w:tl2br w:val="nil"/>
              <w:tr2bl w:val="nil"/>
            </w:tcBorders>
            <w:vAlign w:val="center"/>
          </w:tcPr>
          <w:p w14:paraId="46A60D14">
            <w:pPr>
              <w:numPr>
                <w:ilvl w:val="0"/>
                <w:numId w:val="0"/>
              </w:numPr>
              <w:ind w:left="0" w:leftChars="0" w:firstLine="0" w:firstLineChars="0"/>
              <w:jc w:val="center"/>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70.20</w:t>
            </w:r>
          </w:p>
        </w:tc>
        <w:tc>
          <w:tcPr>
            <w:tcW w:w="1773" w:type="dxa"/>
            <w:tcBorders>
              <w:tl2br w:val="nil"/>
              <w:tr2bl w:val="nil"/>
            </w:tcBorders>
            <w:vAlign w:val="center"/>
          </w:tcPr>
          <w:p w14:paraId="1A5EBA53">
            <w:pPr>
              <w:numPr>
                <w:ilvl w:val="0"/>
                <w:numId w:val="0"/>
              </w:numPr>
              <w:ind w:left="0" w:leftChars="0" w:firstLine="0" w:firstLineChars="0"/>
              <w:jc w:val="center"/>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1,254.89</w:t>
            </w:r>
          </w:p>
        </w:tc>
        <w:tc>
          <w:tcPr>
            <w:tcW w:w="1775" w:type="dxa"/>
            <w:tcBorders>
              <w:tl2br w:val="nil"/>
              <w:tr2bl w:val="nil"/>
            </w:tcBorders>
            <w:vAlign w:val="center"/>
          </w:tcPr>
          <w:p w14:paraId="3E7337F1">
            <w:pPr>
              <w:numPr>
                <w:ilvl w:val="0"/>
                <w:numId w:val="0"/>
              </w:numPr>
              <w:ind w:left="0" w:leftChars="0" w:firstLine="0" w:firstLineChars="0"/>
              <w:jc w:val="center"/>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1,055.73</w:t>
            </w:r>
          </w:p>
        </w:tc>
      </w:tr>
      <w:tr w14:paraId="1C94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7" w:type="dxa"/>
            <w:tcBorders>
              <w:tl2br w:val="nil"/>
              <w:tr2bl w:val="nil"/>
            </w:tcBorders>
            <w:vAlign w:val="center"/>
          </w:tcPr>
          <w:p w14:paraId="0C9ACBAE">
            <w:pPr>
              <w:numPr>
                <w:ilvl w:val="0"/>
                <w:numId w:val="0"/>
              </w:numPr>
              <w:ind w:left="0" w:leftChars="0" w:firstLine="0" w:firstLineChars="0"/>
              <w:jc w:val="both"/>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本年支出合计</w:t>
            </w:r>
          </w:p>
        </w:tc>
        <w:tc>
          <w:tcPr>
            <w:tcW w:w="1773" w:type="dxa"/>
            <w:tcBorders>
              <w:tl2br w:val="nil"/>
              <w:tr2bl w:val="nil"/>
            </w:tcBorders>
            <w:vAlign w:val="center"/>
          </w:tcPr>
          <w:p w14:paraId="6FFDBB0A">
            <w:pPr>
              <w:numPr>
                <w:ilvl w:val="0"/>
                <w:numId w:val="0"/>
              </w:numPr>
              <w:ind w:left="0" w:leftChars="0" w:firstLine="0" w:firstLineChars="0"/>
              <w:jc w:val="center"/>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fldChar w:fldCharType="begin"/>
            </w:r>
            <w:r>
              <w:rPr>
                <w:rFonts w:hint="eastAsia" w:ascii="仿宋_GB2312" w:hAnsi="仿宋_GB2312" w:eastAsia="仿宋_GB2312" w:cs="仿宋_GB2312"/>
                <w:sz w:val="20"/>
                <w:szCs w:val="20"/>
                <w:vertAlign w:val="baseline"/>
                <w:lang w:val="en-US" w:eastAsia="zh-CN"/>
              </w:rPr>
              <w:instrText xml:space="preserve"> = sum(F6:F7) \* MERGEFORMAT </w:instrText>
            </w:r>
            <w:r>
              <w:rPr>
                <w:rFonts w:hint="eastAsia" w:ascii="仿宋_GB2312" w:hAnsi="仿宋_GB2312" w:eastAsia="仿宋_GB2312" w:cs="仿宋_GB2312"/>
                <w:sz w:val="20"/>
                <w:szCs w:val="20"/>
                <w:vertAlign w:val="baseline"/>
                <w:lang w:val="en-US" w:eastAsia="zh-CN"/>
              </w:rPr>
              <w:fldChar w:fldCharType="separate"/>
            </w:r>
            <w:r>
              <w:rPr>
                <w:rFonts w:hint="eastAsia" w:ascii="仿宋_GB2312" w:hAnsi="仿宋_GB2312" w:eastAsia="仿宋_GB2312" w:cs="仿宋_GB2312"/>
                <w:sz w:val="20"/>
                <w:szCs w:val="20"/>
                <w:vertAlign w:val="baseline"/>
                <w:lang w:val="en-US" w:eastAsia="zh-CN"/>
              </w:rPr>
              <w:t>5,063.38</w:t>
            </w:r>
            <w:r>
              <w:rPr>
                <w:rFonts w:hint="eastAsia" w:ascii="仿宋_GB2312" w:hAnsi="仿宋_GB2312" w:eastAsia="仿宋_GB2312" w:cs="仿宋_GB2312"/>
                <w:sz w:val="20"/>
                <w:szCs w:val="20"/>
                <w:vertAlign w:val="baseline"/>
                <w:lang w:val="en-US" w:eastAsia="zh-CN"/>
              </w:rPr>
              <w:fldChar w:fldCharType="end"/>
            </w:r>
          </w:p>
        </w:tc>
        <w:tc>
          <w:tcPr>
            <w:tcW w:w="1773" w:type="dxa"/>
            <w:tcBorders>
              <w:tl2br w:val="nil"/>
              <w:tr2bl w:val="nil"/>
            </w:tcBorders>
            <w:vAlign w:val="center"/>
          </w:tcPr>
          <w:p w14:paraId="1A4BD575">
            <w:pPr>
              <w:numPr>
                <w:ilvl w:val="0"/>
                <w:numId w:val="0"/>
              </w:numPr>
              <w:ind w:left="0" w:leftChars="0" w:firstLine="0" w:firstLineChars="0"/>
              <w:jc w:val="center"/>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fldChar w:fldCharType="begin"/>
            </w:r>
            <w:r>
              <w:rPr>
                <w:rFonts w:hint="eastAsia" w:ascii="仿宋_GB2312" w:hAnsi="仿宋_GB2312" w:eastAsia="仿宋_GB2312" w:cs="仿宋_GB2312"/>
                <w:sz w:val="20"/>
                <w:szCs w:val="20"/>
                <w:vertAlign w:val="baseline"/>
                <w:lang w:val="en-US" w:eastAsia="zh-CN"/>
              </w:rPr>
              <w:instrText xml:space="preserve"> = sum(G6:G7) \* MERGEFORMAT </w:instrText>
            </w:r>
            <w:r>
              <w:rPr>
                <w:rFonts w:hint="eastAsia" w:ascii="仿宋_GB2312" w:hAnsi="仿宋_GB2312" w:eastAsia="仿宋_GB2312" w:cs="仿宋_GB2312"/>
                <w:sz w:val="20"/>
                <w:szCs w:val="20"/>
                <w:vertAlign w:val="baseline"/>
                <w:lang w:val="en-US" w:eastAsia="zh-CN"/>
              </w:rPr>
              <w:fldChar w:fldCharType="separate"/>
            </w:r>
            <w:r>
              <w:rPr>
                <w:rFonts w:hint="eastAsia" w:ascii="仿宋_GB2312" w:hAnsi="仿宋_GB2312" w:eastAsia="仿宋_GB2312" w:cs="仿宋_GB2312"/>
                <w:sz w:val="20"/>
                <w:szCs w:val="20"/>
                <w:vertAlign w:val="baseline"/>
                <w:lang w:val="en-US" w:eastAsia="zh-CN"/>
              </w:rPr>
              <w:t>6,313.59</w:t>
            </w:r>
            <w:r>
              <w:rPr>
                <w:rFonts w:hint="eastAsia" w:ascii="仿宋_GB2312" w:hAnsi="仿宋_GB2312" w:eastAsia="仿宋_GB2312" w:cs="仿宋_GB2312"/>
                <w:sz w:val="20"/>
                <w:szCs w:val="20"/>
                <w:vertAlign w:val="baseline"/>
                <w:lang w:val="en-US" w:eastAsia="zh-CN"/>
              </w:rPr>
              <w:fldChar w:fldCharType="end"/>
            </w:r>
          </w:p>
        </w:tc>
        <w:tc>
          <w:tcPr>
            <w:tcW w:w="1775" w:type="dxa"/>
            <w:tcBorders>
              <w:tl2br w:val="nil"/>
              <w:tr2bl w:val="nil"/>
            </w:tcBorders>
            <w:vAlign w:val="center"/>
          </w:tcPr>
          <w:p w14:paraId="3CC5B47E">
            <w:pPr>
              <w:numPr>
                <w:ilvl w:val="0"/>
                <w:numId w:val="0"/>
              </w:numPr>
              <w:ind w:left="0" w:leftChars="0" w:firstLine="0" w:firstLineChars="0"/>
              <w:jc w:val="center"/>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fldChar w:fldCharType="begin"/>
            </w:r>
            <w:r>
              <w:rPr>
                <w:rFonts w:hint="eastAsia" w:ascii="仿宋_GB2312" w:hAnsi="仿宋_GB2312" w:eastAsia="仿宋_GB2312" w:cs="仿宋_GB2312"/>
                <w:sz w:val="20"/>
                <w:szCs w:val="20"/>
                <w:vertAlign w:val="baseline"/>
                <w:lang w:val="en-US" w:eastAsia="zh-CN"/>
              </w:rPr>
              <w:instrText xml:space="preserve"> = sum(H6:H7) \* MERGEFORMAT </w:instrText>
            </w:r>
            <w:r>
              <w:rPr>
                <w:rFonts w:hint="eastAsia" w:ascii="仿宋_GB2312" w:hAnsi="仿宋_GB2312" w:eastAsia="仿宋_GB2312" w:cs="仿宋_GB2312"/>
                <w:sz w:val="20"/>
                <w:szCs w:val="20"/>
                <w:vertAlign w:val="baseline"/>
                <w:lang w:val="en-US" w:eastAsia="zh-CN"/>
              </w:rPr>
              <w:fldChar w:fldCharType="separate"/>
            </w:r>
            <w:r>
              <w:rPr>
                <w:rFonts w:hint="eastAsia" w:ascii="仿宋_GB2312" w:hAnsi="仿宋_GB2312" w:eastAsia="仿宋_GB2312" w:cs="仿宋_GB2312"/>
                <w:sz w:val="20"/>
                <w:szCs w:val="20"/>
                <w:vertAlign w:val="baseline"/>
                <w:lang w:val="en-US" w:eastAsia="zh-CN"/>
              </w:rPr>
              <w:t>5,712.72</w:t>
            </w:r>
            <w:r>
              <w:rPr>
                <w:rFonts w:hint="eastAsia" w:ascii="仿宋_GB2312" w:hAnsi="仿宋_GB2312" w:eastAsia="仿宋_GB2312" w:cs="仿宋_GB2312"/>
                <w:sz w:val="20"/>
                <w:szCs w:val="20"/>
                <w:vertAlign w:val="baseline"/>
                <w:lang w:val="en-US" w:eastAsia="zh-CN"/>
              </w:rPr>
              <w:fldChar w:fldCharType="end"/>
            </w:r>
          </w:p>
        </w:tc>
      </w:tr>
      <w:tr w14:paraId="23AB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7" w:type="dxa"/>
            <w:tcBorders>
              <w:tl2br w:val="nil"/>
              <w:tr2bl w:val="nil"/>
            </w:tcBorders>
            <w:vAlign w:val="center"/>
          </w:tcPr>
          <w:p w14:paraId="42523D92">
            <w:pPr>
              <w:numPr>
                <w:ilvl w:val="0"/>
                <w:numId w:val="0"/>
              </w:numPr>
              <w:ind w:left="0" w:leftChars="0" w:firstLine="0" w:firstLineChars="0"/>
              <w:jc w:val="both"/>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年末结转和结余</w:t>
            </w:r>
          </w:p>
        </w:tc>
        <w:tc>
          <w:tcPr>
            <w:tcW w:w="1773" w:type="dxa"/>
            <w:tcBorders>
              <w:tl2br w:val="nil"/>
              <w:tr2bl w:val="nil"/>
            </w:tcBorders>
            <w:vAlign w:val="center"/>
          </w:tcPr>
          <w:p w14:paraId="559835A0">
            <w:pPr>
              <w:numPr>
                <w:ilvl w:val="0"/>
                <w:numId w:val="0"/>
              </w:numPr>
              <w:ind w:left="0" w:leftChars="0" w:firstLine="0" w:firstLineChars="0"/>
              <w:jc w:val="center"/>
              <w:rPr>
                <w:rFonts w:hint="eastAsia" w:ascii="仿宋_GB2312" w:hAnsi="仿宋_GB2312" w:eastAsia="仿宋_GB2312" w:cs="仿宋_GB2312"/>
                <w:kern w:val="2"/>
                <w:sz w:val="20"/>
                <w:szCs w:val="20"/>
                <w:vertAlign w:val="baseline"/>
                <w:lang w:val="en-US" w:eastAsia="zh-CN" w:bidi="ar-SA"/>
              </w:rPr>
            </w:pPr>
          </w:p>
        </w:tc>
        <w:tc>
          <w:tcPr>
            <w:tcW w:w="1773" w:type="dxa"/>
            <w:tcBorders>
              <w:tl2br w:val="nil"/>
              <w:tr2bl w:val="nil"/>
            </w:tcBorders>
            <w:vAlign w:val="center"/>
          </w:tcPr>
          <w:p w14:paraId="17B599F2">
            <w:pPr>
              <w:numPr>
                <w:ilvl w:val="0"/>
                <w:numId w:val="0"/>
              </w:numPr>
              <w:ind w:left="0" w:leftChars="0" w:firstLine="0" w:firstLineChars="0"/>
              <w:jc w:val="center"/>
              <w:rPr>
                <w:rFonts w:hint="eastAsia" w:ascii="仿宋_GB2312" w:hAnsi="仿宋_GB2312" w:eastAsia="仿宋_GB2312" w:cs="仿宋_GB2312"/>
                <w:kern w:val="2"/>
                <w:sz w:val="20"/>
                <w:szCs w:val="20"/>
                <w:vertAlign w:val="baseline"/>
                <w:lang w:val="en-US" w:eastAsia="zh-CN" w:bidi="ar-SA"/>
              </w:rPr>
            </w:pPr>
          </w:p>
        </w:tc>
        <w:tc>
          <w:tcPr>
            <w:tcW w:w="1775" w:type="dxa"/>
            <w:tcBorders>
              <w:tl2br w:val="nil"/>
              <w:tr2bl w:val="nil"/>
            </w:tcBorders>
            <w:vAlign w:val="center"/>
          </w:tcPr>
          <w:p w14:paraId="4C5866E5">
            <w:pPr>
              <w:numPr>
                <w:ilvl w:val="0"/>
                <w:numId w:val="0"/>
              </w:numPr>
              <w:ind w:left="0" w:leftChars="0" w:firstLine="0" w:firstLineChars="0"/>
              <w:jc w:val="center"/>
              <w:rPr>
                <w:rFonts w:hint="eastAsia" w:ascii="仿宋_GB2312" w:hAnsi="仿宋_GB2312" w:eastAsia="仿宋_GB2312" w:cs="仿宋_GB2312"/>
                <w:kern w:val="2"/>
                <w:sz w:val="20"/>
                <w:szCs w:val="20"/>
                <w:vertAlign w:val="baseline"/>
                <w:lang w:val="en-US" w:eastAsia="zh-CN" w:bidi="ar-SA"/>
              </w:rPr>
            </w:pPr>
          </w:p>
        </w:tc>
      </w:tr>
      <w:tr w14:paraId="0CD2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Borders>
              <w:tl2br w:val="nil"/>
              <w:tr2bl w:val="nil"/>
            </w:tcBorders>
            <w:vAlign w:val="center"/>
          </w:tcPr>
          <w:p w14:paraId="569FE4EB">
            <w:pPr>
              <w:numPr>
                <w:ilvl w:val="0"/>
                <w:numId w:val="0"/>
              </w:numPr>
              <w:ind w:left="0" w:leftChars="0" w:firstLine="0" w:firstLineChars="0"/>
              <w:jc w:val="both"/>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支出总计</w:t>
            </w:r>
          </w:p>
        </w:tc>
        <w:tc>
          <w:tcPr>
            <w:tcW w:w="0" w:type="auto"/>
            <w:tcBorders>
              <w:tl2br w:val="nil"/>
              <w:tr2bl w:val="nil"/>
            </w:tcBorders>
            <w:vAlign w:val="center"/>
          </w:tcPr>
          <w:p w14:paraId="08ECEE83">
            <w:pPr>
              <w:numPr>
                <w:ilvl w:val="0"/>
                <w:numId w:val="0"/>
              </w:numPr>
              <w:ind w:left="0" w:leftChars="0" w:firstLine="0" w:firstLineChars="0"/>
              <w:jc w:val="center"/>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fldChar w:fldCharType="begin"/>
            </w:r>
            <w:r>
              <w:rPr>
                <w:rFonts w:hint="eastAsia" w:ascii="仿宋_GB2312" w:hAnsi="仿宋_GB2312" w:eastAsia="仿宋_GB2312" w:cs="仿宋_GB2312"/>
                <w:sz w:val="20"/>
                <w:szCs w:val="20"/>
                <w:vertAlign w:val="baseline"/>
                <w:lang w:val="en-US" w:eastAsia="zh-CN"/>
              </w:rPr>
              <w:instrText xml:space="preserve"> = sum(F6:F7) \* MERGEFORMAT </w:instrText>
            </w:r>
            <w:r>
              <w:rPr>
                <w:rFonts w:hint="eastAsia" w:ascii="仿宋_GB2312" w:hAnsi="仿宋_GB2312" w:eastAsia="仿宋_GB2312" w:cs="仿宋_GB2312"/>
                <w:sz w:val="20"/>
                <w:szCs w:val="20"/>
                <w:vertAlign w:val="baseline"/>
                <w:lang w:val="en-US" w:eastAsia="zh-CN"/>
              </w:rPr>
              <w:fldChar w:fldCharType="separate"/>
            </w:r>
            <w:r>
              <w:rPr>
                <w:rFonts w:hint="eastAsia" w:ascii="仿宋_GB2312" w:hAnsi="仿宋_GB2312" w:eastAsia="仿宋_GB2312" w:cs="仿宋_GB2312"/>
                <w:sz w:val="20"/>
                <w:szCs w:val="20"/>
                <w:vertAlign w:val="baseline"/>
                <w:lang w:val="en-US" w:eastAsia="zh-CN"/>
              </w:rPr>
              <w:t>5,063.38</w:t>
            </w:r>
            <w:r>
              <w:rPr>
                <w:rFonts w:hint="eastAsia" w:ascii="仿宋_GB2312" w:hAnsi="仿宋_GB2312" w:eastAsia="仿宋_GB2312" w:cs="仿宋_GB2312"/>
                <w:sz w:val="20"/>
                <w:szCs w:val="20"/>
                <w:vertAlign w:val="baseline"/>
                <w:lang w:val="en-US" w:eastAsia="zh-CN"/>
              </w:rPr>
              <w:fldChar w:fldCharType="end"/>
            </w:r>
          </w:p>
        </w:tc>
        <w:tc>
          <w:tcPr>
            <w:tcW w:w="0" w:type="auto"/>
            <w:tcBorders>
              <w:tl2br w:val="nil"/>
              <w:tr2bl w:val="nil"/>
            </w:tcBorders>
            <w:vAlign w:val="center"/>
          </w:tcPr>
          <w:p w14:paraId="52EB1EC7">
            <w:pPr>
              <w:numPr>
                <w:ilvl w:val="0"/>
                <w:numId w:val="0"/>
              </w:numPr>
              <w:ind w:left="0" w:leftChars="0" w:firstLine="0" w:firstLineChars="0"/>
              <w:jc w:val="center"/>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fldChar w:fldCharType="begin"/>
            </w:r>
            <w:r>
              <w:rPr>
                <w:rFonts w:hint="eastAsia" w:ascii="仿宋_GB2312" w:hAnsi="仿宋_GB2312" w:eastAsia="仿宋_GB2312" w:cs="仿宋_GB2312"/>
                <w:sz w:val="20"/>
                <w:szCs w:val="20"/>
                <w:vertAlign w:val="baseline"/>
                <w:lang w:val="en-US" w:eastAsia="zh-CN"/>
              </w:rPr>
              <w:instrText xml:space="preserve"> = sum(G6:G7) \* MERGEFORMAT </w:instrText>
            </w:r>
            <w:r>
              <w:rPr>
                <w:rFonts w:hint="eastAsia" w:ascii="仿宋_GB2312" w:hAnsi="仿宋_GB2312" w:eastAsia="仿宋_GB2312" w:cs="仿宋_GB2312"/>
                <w:sz w:val="20"/>
                <w:szCs w:val="20"/>
                <w:vertAlign w:val="baseline"/>
                <w:lang w:val="en-US" w:eastAsia="zh-CN"/>
              </w:rPr>
              <w:fldChar w:fldCharType="separate"/>
            </w:r>
            <w:r>
              <w:rPr>
                <w:rFonts w:hint="eastAsia" w:ascii="仿宋_GB2312" w:hAnsi="仿宋_GB2312" w:eastAsia="仿宋_GB2312" w:cs="仿宋_GB2312"/>
                <w:sz w:val="20"/>
                <w:szCs w:val="20"/>
                <w:vertAlign w:val="baseline"/>
                <w:lang w:val="en-US" w:eastAsia="zh-CN"/>
              </w:rPr>
              <w:t>6,313.59</w:t>
            </w:r>
            <w:r>
              <w:rPr>
                <w:rFonts w:hint="eastAsia" w:ascii="仿宋_GB2312" w:hAnsi="仿宋_GB2312" w:eastAsia="仿宋_GB2312" w:cs="仿宋_GB2312"/>
                <w:sz w:val="20"/>
                <w:szCs w:val="20"/>
                <w:vertAlign w:val="baseline"/>
                <w:lang w:val="en-US" w:eastAsia="zh-CN"/>
              </w:rPr>
              <w:fldChar w:fldCharType="end"/>
            </w:r>
          </w:p>
        </w:tc>
        <w:tc>
          <w:tcPr>
            <w:tcW w:w="0" w:type="auto"/>
            <w:tcBorders>
              <w:tl2br w:val="nil"/>
              <w:tr2bl w:val="nil"/>
            </w:tcBorders>
            <w:vAlign w:val="center"/>
          </w:tcPr>
          <w:p w14:paraId="29492C67">
            <w:pPr>
              <w:numPr>
                <w:ilvl w:val="0"/>
                <w:numId w:val="0"/>
              </w:numPr>
              <w:ind w:left="0" w:leftChars="0" w:firstLine="0" w:firstLineChars="0"/>
              <w:jc w:val="center"/>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fldChar w:fldCharType="begin"/>
            </w:r>
            <w:r>
              <w:rPr>
                <w:rFonts w:hint="eastAsia" w:ascii="仿宋_GB2312" w:hAnsi="仿宋_GB2312" w:eastAsia="仿宋_GB2312" w:cs="仿宋_GB2312"/>
                <w:sz w:val="20"/>
                <w:szCs w:val="20"/>
                <w:vertAlign w:val="baseline"/>
                <w:lang w:val="en-US" w:eastAsia="zh-CN"/>
              </w:rPr>
              <w:instrText xml:space="preserve"> = sum(H6:H7) \* MERGEFORMAT </w:instrText>
            </w:r>
            <w:r>
              <w:rPr>
                <w:rFonts w:hint="eastAsia" w:ascii="仿宋_GB2312" w:hAnsi="仿宋_GB2312" w:eastAsia="仿宋_GB2312" w:cs="仿宋_GB2312"/>
                <w:sz w:val="20"/>
                <w:szCs w:val="20"/>
                <w:vertAlign w:val="baseline"/>
                <w:lang w:val="en-US" w:eastAsia="zh-CN"/>
              </w:rPr>
              <w:fldChar w:fldCharType="separate"/>
            </w:r>
            <w:r>
              <w:rPr>
                <w:rFonts w:hint="eastAsia" w:ascii="仿宋_GB2312" w:hAnsi="仿宋_GB2312" w:eastAsia="仿宋_GB2312" w:cs="仿宋_GB2312"/>
                <w:sz w:val="20"/>
                <w:szCs w:val="20"/>
                <w:vertAlign w:val="baseline"/>
                <w:lang w:val="en-US" w:eastAsia="zh-CN"/>
              </w:rPr>
              <w:t>5,712.72</w:t>
            </w:r>
            <w:r>
              <w:rPr>
                <w:rFonts w:hint="eastAsia" w:ascii="仿宋_GB2312" w:hAnsi="仿宋_GB2312" w:eastAsia="仿宋_GB2312" w:cs="仿宋_GB2312"/>
                <w:sz w:val="20"/>
                <w:szCs w:val="20"/>
                <w:vertAlign w:val="baseline"/>
                <w:lang w:val="en-US" w:eastAsia="zh-CN"/>
              </w:rPr>
              <w:fldChar w:fldCharType="end"/>
            </w:r>
          </w:p>
        </w:tc>
      </w:tr>
    </w:tbl>
    <w:p w14:paraId="2779A6B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基本支出情况</w:t>
      </w:r>
    </w:p>
    <w:p w14:paraId="767CA7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2023年伊金霍洛旗机关事务服务中心基本支出4,656.99万元，其中：人员经费实际支出820.13万元，公用经费实际支出3,836.86万元。</w:t>
      </w:r>
      <w:r>
        <w:rPr>
          <w:rFonts w:hint="eastAsia" w:ascii="仿宋_GB2312" w:hAnsi="仿宋_GB2312" w:eastAsia="仿宋_GB2312" w:cs="仿宋_GB2312"/>
          <w:color w:val="auto"/>
          <w:sz w:val="32"/>
          <w:szCs w:val="32"/>
          <w:highlight w:val="none"/>
          <w:lang w:val="en-US" w:eastAsia="zh-CN"/>
        </w:rPr>
        <w:t>该单位上年度基本支出为3,174.44万元，其中：人员经费实际支出750.99万元，2023年较上年增加69.14万元，</w:t>
      </w:r>
      <w:r>
        <w:rPr>
          <w:rFonts w:hint="eastAsia" w:ascii="仿宋_GB2312" w:hAnsi="仿宋_GB2312" w:eastAsia="仿宋_GB2312" w:cs="仿宋_GB2312"/>
          <w:sz w:val="32"/>
          <w:szCs w:val="32"/>
          <w:highlight w:val="none"/>
          <w:lang w:val="en-US" w:eastAsia="zh-CN"/>
        </w:rPr>
        <w:t>主要原因为2023年人员工资普遍上调，故人员经费增加。公用经费实际支出3,174.44万元，2023年较上年增加662.42万元，主要原因为2023年度物业费到期，根据市场价格询价后重新进行招标，价格高于上年物业费上涨幅度较大，其他运行成本也有小幅增加，导致公用经费整体上浮。</w:t>
      </w:r>
    </w:p>
    <w:p w14:paraId="3041C0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（2）项目支出情况</w:t>
      </w:r>
    </w:p>
    <w:p w14:paraId="42E015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仿宋_GB2312" w:hAnsi="仿宋_GB2312" w:eastAsia="仿宋_GB2312" w:cs="仿宋_GB2312"/>
          <w:sz w:val="32"/>
          <w:szCs w:val="32"/>
          <w:lang w:val="en-US" w:eastAsia="zh-CN"/>
        </w:rPr>
        <w:t>2023年伊金霍洛旗机关事务服务中心共计实施11个项目，项目年初预算金额为70.20万元，实际支出金额1,055.73万元，预算执行率为100.00%。具体项目支出情况如下表2：</w:t>
      </w:r>
    </w:p>
    <w:p w14:paraId="50BAF99B">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105" w:leftChars="50"/>
        <w:jc w:val="righ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表2：2023年度项目支出明细       单位：万元</w:t>
      </w:r>
    </w:p>
    <w:tbl>
      <w:tblPr>
        <w:tblStyle w:val="4"/>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4812"/>
        <w:gridCol w:w="1455"/>
        <w:gridCol w:w="1455"/>
      </w:tblGrid>
      <w:tr w14:paraId="0152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917" w:type="dxa"/>
            <w:tcBorders>
              <w:tl2br w:val="nil"/>
              <w:tr2bl w:val="nil"/>
            </w:tcBorders>
            <w:vAlign w:val="center"/>
          </w:tcPr>
          <w:p w14:paraId="5C90AB62">
            <w:pPr>
              <w:numPr>
                <w:ilvl w:val="0"/>
                <w:numId w:val="0"/>
              </w:numPr>
              <w:jc w:val="center"/>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序号</w:t>
            </w:r>
          </w:p>
        </w:tc>
        <w:tc>
          <w:tcPr>
            <w:tcW w:w="4812" w:type="dxa"/>
            <w:tcBorders>
              <w:tl2br w:val="nil"/>
              <w:tr2bl w:val="nil"/>
            </w:tcBorders>
            <w:vAlign w:val="center"/>
          </w:tcPr>
          <w:p w14:paraId="4A889E53">
            <w:pPr>
              <w:numPr>
                <w:ilvl w:val="0"/>
                <w:numId w:val="0"/>
              </w:numPr>
              <w:jc w:val="center"/>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项目名称</w:t>
            </w:r>
          </w:p>
        </w:tc>
        <w:tc>
          <w:tcPr>
            <w:tcW w:w="1455" w:type="dxa"/>
            <w:tcBorders>
              <w:tl2br w:val="nil"/>
              <w:tr2bl w:val="nil"/>
            </w:tcBorders>
            <w:vAlign w:val="center"/>
          </w:tcPr>
          <w:p w14:paraId="6891E765">
            <w:pPr>
              <w:numPr>
                <w:ilvl w:val="0"/>
                <w:numId w:val="0"/>
              </w:numPr>
              <w:jc w:val="center"/>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highlight w:val="none"/>
                <w:vertAlign w:val="baseline"/>
                <w:lang w:val="en-US" w:eastAsia="zh-CN"/>
              </w:rPr>
              <w:t>预算金额</w:t>
            </w:r>
          </w:p>
        </w:tc>
        <w:tc>
          <w:tcPr>
            <w:tcW w:w="1455" w:type="dxa"/>
            <w:tcBorders>
              <w:tl2br w:val="nil"/>
              <w:tr2bl w:val="nil"/>
            </w:tcBorders>
            <w:vAlign w:val="center"/>
          </w:tcPr>
          <w:p w14:paraId="381AE158">
            <w:pPr>
              <w:numPr>
                <w:ilvl w:val="0"/>
                <w:numId w:val="0"/>
              </w:numPr>
              <w:jc w:val="center"/>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支出金额</w:t>
            </w:r>
          </w:p>
        </w:tc>
      </w:tr>
      <w:tr w14:paraId="5DA1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tcBorders>
              <w:tl2br w:val="nil"/>
              <w:tr2bl w:val="nil"/>
            </w:tcBorders>
            <w:vAlign w:val="center"/>
          </w:tcPr>
          <w:p w14:paraId="51C0A28C">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1</w:t>
            </w:r>
          </w:p>
        </w:tc>
        <w:tc>
          <w:tcPr>
            <w:tcW w:w="4812" w:type="dxa"/>
            <w:tcBorders>
              <w:tl2br w:val="nil"/>
              <w:tr2bl w:val="nil"/>
            </w:tcBorders>
            <w:vAlign w:val="center"/>
          </w:tcPr>
          <w:p w14:paraId="416A2F14">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北斗定位系统维护费</w:t>
            </w:r>
          </w:p>
        </w:tc>
        <w:tc>
          <w:tcPr>
            <w:tcW w:w="1455" w:type="dxa"/>
            <w:tcBorders>
              <w:tl2br w:val="nil"/>
              <w:tr2bl w:val="nil"/>
            </w:tcBorders>
            <w:vAlign w:val="center"/>
          </w:tcPr>
          <w:p w14:paraId="75CFF16A">
            <w:pPr>
              <w:numPr>
                <w:ilvl w:val="0"/>
                <w:numId w:val="0"/>
              </w:numPr>
              <w:jc w:val="center"/>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15.00</w:t>
            </w:r>
          </w:p>
        </w:tc>
        <w:tc>
          <w:tcPr>
            <w:tcW w:w="1455" w:type="dxa"/>
            <w:tcBorders>
              <w:tl2br w:val="nil"/>
              <w:tr2bl w:val="nil"/>
            </w:tcBorders>
            <w:vAlign w:val="center"/>
          </w:tcPr>
          <w:p w14:paraId="4AE1F34A">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14.51</w:t>
            </w:r>
          </w:p>
        </w:tc>
      </w:tr>
      <w:tr w14:paraId="2191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tcBorders>
              <w:tl2br w:val="nil"/>
              <w:tr2bl w:val="nil"/>
            </w:tcBorders>
            <w:vAlign w:val="center"/>
          </w:tcPr>
          <w:p w14:paraId="04BD08DE">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2</w:t>
            </w:r>
          </w:p>
        </w:tc>
        <w:tc>
          <w:tcPr>
            <w:tcW w:w="4812" w:type="dxa"/>
            <w:tcBorders>
              <w:tl2br w:val="nil"/>
              <w:tr2bl w:val="nil"/>
            </w:tcBorders>
            <w:vAlign w:val="center"/>
          </w:tcPr>
          <w:p w14:paraId="54E90176">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2022年8-12月保安服务费</w:t>
            </w:r>
          </w:p>
        </w:tc>
        <w:tc>
          <w:tcPr>
            <w:tcW w:w="1455" w:type="dxa"/>
            <w:tcBorders>
              <w:tl2br w:val="nil"/>
              <w:tr2bl w:val="nil"/>
            </w:tcBorders>
            <w:vAlign w:val="center"/>
          </w:tcPr>
          <w:p w14:paraId="232B7AB4">
            <w:pPr>
              <w:numPr>
                <w:ilvl w:val="0"/>
                <w:numId w:val="0"/>
              </w:numPr>
              <w:jc w:val="center"/>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30.40</w:t>
            </w:r>
          </w:p>
        </w:tc>
        <w:tc>
          <w:tcPr>
            <w:tcW w:w="1455" w:type="dxa"/>
            <w:tcBorders>
              <w:tl2br w:val="nil"/>
              <w:tr2bl w:val="nil"/>
            </w:tcBorders>
            <w:vAlign w:val="center"/>
          </w:tcPr>
          <w:p w14:paraId="1FF5E29B">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30.40</w:t>
            </w:r>
          </w:p>
        </w:tc>
      </w:tr>
      <w:tr w14:paraId="1E5F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tcBorders>
              <w:tl2br w:val="nil"/>
              <w:tr2bl w:val="nil"/>
            </w:tcBorders>
            <w:vAlign w:val="center"/>
          </w:tcPr>
          <w:p w14:paraId="506A0728">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3</w:t>
            </w:r>
          </w:p>
        </w:tc>
        <w:tc>
          <w:tcPr>
            <w:tcW w:w="4812" w:type="dxa"/>
            <w:tcBorders>
              <w:tl2br w:val="nil"/>
              <w:tr2bl w:val="nil"/>
            </w:tcBorders>
            <w:vAlign w:val="center"/>
          </w:tcPr>
          <w:p w14:paraId="237C5F6F">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春节慰问费</w:t>
            </w:r>
          </w:p>
        </w:tc>
        <w:tc>
          <w:tcPr>
            <w:tcW w:w="1455" w:type="dxa"/>
            <w:tcBorders>
              <w:tl2br w:val="nil"/>
              <w:tr2bl w:val="nil"/>
            </w:tcBorders>
            <w:vAlign w:val="center"/>
          </w:tcPr>
          <w:p w14:paraId="3E47ABC9">
            <w:pPr>
              <w:numPr>
                <w:ilvl w:val="0"/>
                <w:numId w:val="0"/>
              </w:numPr>
              <w:jc w:val="center"/>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24.80</w:t>
            </w:r>
          </w:p>
        </w:tc>
        <w:tc>
          <w:tcPr>
            <w:tcW w:w="1455" w:type="dxa"/>
            <w:tcBorders>
              <w:tl2br w:val="nil"/>
              <w:tr2bl w:val="nil"/>
            </w:tcBorders>
            <w:vAlign w:val="center"/>
          </w:tcPr>
          <w:p w14:paraId="2054C9D5">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24.66</w:t>
            </w:r>
          </w:p>
        </w:tc>
      </w:tr>
      <w:tr w14:paraId="371D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17" w:type="dxa"/>
            <w:tcBorders>
              <w:tl2br w:val="nil"/>
              <w:tr2bl w:val="nil"/>
            </w:tcBorders>
            <w:vAlign w:val="center"/>
          </w:tcPr>
          <w:p w14:paraId="79D2A947">
            <w:pPr>
              <w:numPr>
                <w:ilvl w:val="0"/>
                <w:numId w:val="0"/>
              </w:numPr>
              <w:jc w:val="center"/>
              <w:rPr>
                <w:rFonts w:hint="eastAsia" w:ascii="仿宋_GB2312" w:hAnsi="仿宋_GB2312" w:eastAsia="仿宋_GB2312" w:cs="仿宋_GB2312"/>
                <w:sz w:val="20"/>
                <w:szCs w:val="20"/>
                <w:highlight w:val="none"/>
                <w:vertAlign w:val="baseline"/>
                <w:lang w:val="en-US" w:eastAsia="zh-CN"/>
              </w:rPr>
            </w:pPr>
            <w:r>
              <w:rPr>
                <w:rFonts w:hint="eastAsia" w:ascii="仿宋_GB2312" w:hAnsi="仿宋_GB2312" w:eastAsia="仿宋_GB2312" w:cs="仿宋_GB2312"/>
                <w:sz w:val="20"/>
                <w:szCs w:val="20"/>
                <w:highlight w:val="none"/>
                <w:vertAlign w:val="baseline"/>
                <w:lang w:val="en-US" w:eastAsia="zh-CN"/>
              </w:rPr>
              <w:t>4</w:t>
            </w:r>
          </w:p>
        </w:tc>
        <w:tc>
          <w:tcPr>
            <w:tcW w:w="4812" w:type="dxa"/>
            <w:tcBorders>
              <w:tl2br w:val="nil"/>
              <w:tr2bl w:val="nil"/>
            </w:tcBorders>
            <w:vAlign w:val="center"/>
          </w:tcPr>
          <w:p w14:paraId="182465ED">
            <w:pPr>
              <w:numPr>
                <w:ilvl w:val="0"/>
                <w:numId w:val="0"/>
              </w:numPr>
              <w:jc w:val="center"/>
              <w:rPr>
                <w:rFonts w:hint="eastAsia" w:ascii="仿宋_GB2312" w:hAnsi="仿宋_GB2312" w:eastAsia="仿宋_GB2312" w:cs="仿宋_GB2312"/>
                <w:sz w:val="20"/>
                <w:szCs w:val="20"/>
                <w:highlight w:val="none"/>
                <w:vertAlign w:val="baseline"/>
                <w:lang w:val="en-US" w:eastAsia="zh-CN"/>
              </w:rPr>
            </w:pPr>
            <w:r>
              <w:rPr>
                <w:rFonts w:hint="eastAsia" w:ascii="仿宋_GB2312" w:hAnsi="仿宋_GB2312" w:eastAsia="仿宋_GB2312" w:cs="仿宋_GB2312"/>
                <w:sz w:val="20"/>
                <w:szCs w:val="20"/>
                <w:highlight w:val="none"/>
                <w:vertAlign w:val="baseline"/>
                <w:lang w:val="en-US" w:eastAsia="zh-CN"/>
              </w:rPr>
              <w:t>党政大楼及附属多功能改造费用</w:t>
            </w:r>
          </w:p>
        </w:tc>
        <w:tc>
          <w:tcPr>
            <w:tcW w:w="1455" w:type="dxa"/>
            <w:tcBorders>
              <w:tl2br w:val="nil"/>
              <w:tr2bl w:val="nil"/>
            </w:tcBorders>
            <w:vAlign w:val="center"/>
          </w:tcPr>
          <w:p w14:paraId="6060E622">
            <w:pPr>
              <w:numPr>
                <w:ilvl w:val="0"/>
                <w:numId w:val="0"/>
              </w:numPr>
              <w:jc w:val="center"/>
              <w:rPr>
                <w:rFonts w:hint="default" w:ascii="仿宋_GB2312" w:hAnsi="仿宋_GB2312" w:eastAsia="仿宋_GB2312" w:cs="仿宋_GB2312"/>
                <w:sz w:val="20"/>
                <w:szCs w:val="20"/>
                <w:highlight w:val="none"/>
                <w:vertAlign w:val="baseline"/>
                <w:lang w:val="en-US" w:eastAsia="zh-CN"/>
              </w:rPr>
            </w:pPr>
            <w:r>
              <w:rPr>
                <w:rFonts w:hint="eastAsia" w:ascii="仿宋_GB2312" w:hAnsi="仿宋_GB2312" w:eastAsia="仿宋_GB2312" w:cs="仿宋_GB2312"/>
                <w:sz w:val="20"/>
                <w:szCs w:val="20"/>
                <w:highlight w:val="none"/>
                <w:vertAlign w:val="baseline"/>
                <w:lang w:val="en-US" w:eastAsia="zh-CN"/>
              </w:rPr>
              <w:t>-</w:t>
            </w:r>
          </w:p>
        </w:tc>
        <w:tc>
          <w:tcPr>
            <w:tcW w:w="1455" w:type="dxa"/>
            <w:tcBorders>
              <w:tl2br w:val="nil"/>
              <w:tr2bl w:val="nil"/>
            </w:tcBorders>
            <w:vAlign w:val="center"/>
          </w:tcPr>
          <w:p w14:paraId="3D62FE9B">
            <w:pPr>
              <w:numPr>
                <w:ilvl w:val="0"/>
                <w:numId w:val="0"/>
              </w:numPr>
              <w:jc w:val="center"/>
              <w:rPr>
                <w:rFonts w:hint="eastAsia" w:ascii="仿宋_GB2312" w:hAnsi="仿宋_GB2312" w:eastAsia="仿宋_GB2312" w:cs="仿宋_GB2312"/>
                <w:sz w:val="20"/>
                <w:szCs w:val="20"/>
                <w:highlight w:val="none"/>
                <w:vertAlign w:val="baseline"/>
                <w:lang w:val="en-US" w:eastAsia="zh-CN"/>
              </w:rPr>
            </w:pPr>
            <w:r>
              <w:rPr>
                <w:rFonts w:hint="eastAsia" w:ascii="仿宋_GB2312" w:hAnsi="仿宋_GB2312" w:eastAsia="仿宋_GB2312" w:cs="仿宋_GB2312"/>
                <w:sz w:val="20"/>
                <w:szCs w:val="20"/>
                <w:highlight w:val="none"/>
                <w:vertAlign w:val="baseline"/>
                <w:lang w:val="en-US" w:eastAsia="zh-CN"/>
              </w:rPr>
              <w:t>474.00</w:t>
            </w:r>
          </w:p>
        </w:tc>
      </w:tr>
      <w:tr w14:paraId="1A7F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tcBorders>
              <w:tl2br w:val="nil"/>
              <w:tr2bl w:val="nil"/>
            </w:tcBorders>
            <w:vAlign w:val="center"/>
          </w:tcPr>
          <w:p w14:paraId="750EAC54">
            <w:pPr>
              <w:numPr>
                <w:ilvl w:val="0"/>
                <w:numId w:val="0"/>
              </w:numPr>
              <w:jc w:val="center"/>
              <w:rPr>
                <w:rFonts w:hint="eastAsia" w:ascii="仿宋_GB2312" w:hAnsi="仿宋_GB2312" w:eastAsia="仿宋_GB2312" w:cs="仿宋_GB2312"/>
                <w:sz w:val="20"/>
                <w:szCs w:val="20"/>
                <w:highlight w:val="none"/>
                <w:vertAlign w:val="baseline"/>
                <w:lang w:val="en-US" w:eastAsia="zh-CN"/>
              </w:rPr>
            </w:pPr>
            <w:r>
              <w:rPr>
                <w:rFonts w:hint="eastAsia" w:ascii="仿宋_GB2312" w:hAnsi="仿宋_GB2312" w:eastAsia="仿宋_GB2312" w:cs="仿宋_GB2312"/>
                <w:sz w:val="20"/>
                <w:szCs w:val="20"/>
                <w:highlight w:val="none"/>
                <w:vertAlign w:val="baseline"/>
                <w:lang w:val="en-US" w:eastAsia="zh-CN"/>
              </w:rPr>
              <w:t>5</w:t>
            </w:r>
          </w:p>
        </w:tc>
        <w:tc>
          <w:tcPr>
            <w:tcW w:w="4812" w:type="dxa"/>
            <w:tcBorders>
              <w:tl2br w:val="nil"/>
              <w:tr2bl w:val="nil"/>
            </w:tcBorders>
            <w:vAlign w:val="center"/>
          </w:tcPr>
          <w:p w14:paraId="250993D4">
            <w:pPr>
              <w:numPr>
                <w:ilvl w:val="0"/>
                <w:numId w:val="0"/>
              </w:numPr>
              <w:jc w:val="center"/>
              <w:rPr>
                <w:rFonts w:hint="eastAsia" w:ascii="仿宋_GB2312" w:hAnsi="仿宋_GB2312" w:eastAsia="仿宋_GB2312" w:cs="仿宋_GB2312"/>
                <w:sz w:val="20"/>
                <w:szCs w:val="20"/>
                <w:highlight w:val="none"/>
                <w:vertAlign w:val="baseline"/>
                <w:lang w:val="en-US" w:eastAsia="zh-CN"/>
              </w:rPr>
            </w:pPr>
            <w:r>
              <w:rPr>
                <w:rFonts w:hint="eastAsia" w:ascii="仿宋_GB2312" w:hAnsi="仿宋_GB2312" w:eastAsia="仿宋_GB2312" w:cs="仿宋_GB2312"/>
                <w:sz w:val="20"/>
                <w:szCs w:val="20"/>
                <w:highlight w:val="none"/>
                <w:vertAlign w:val="baseline"/>
                <w:lang w:val="en-US" w:eastAsia="zh-CN"/>
              </w:rPr>
              <w:t>保安服务费（2021年8月-2022年7月）</w:t>
            </w:r>
          </w:p>
        </w:tc>
        <w:tc>
          <w:tcPr>
            <w:tcW w:w="1455" w:type="dxa"/>
            <w:tcBorders>
              <w:tl2br w:val="nil"/>
              <w:tr2bl w:val="nil"/>
            </w:tcBorders>
            <w:vAlign w:val="center"/>
          </w:tcPr>
          <w:p w14:paraId="574CD7C4">
            <w:pPr>
              <w:numPr>
                <w:ilvl w:val="0"/>
                <w:numId w:val="0"/>
              </w:numPr>
              <w:jc w:val="center"/>
              <w:rPr>
                <w:rFonts w:hint="default" w:ascii="仿宋_GB2312" w:hAnsi="仿宋_GB2312" w:eastAsia="仿宋_GB2312" w:cs="仿宋_GB2312"/>
                <w:sz w:val="20"/>
                <w:szCs w:val="20"/>
                <w:highlight w:val="none"/>
                <w:vertAlign w:val="baseline"/>
                <w:lang w:val="en-US" w:eastAsia="zh-CN"/>
              </w:rPr>
            </w:pPr>
            <w:r>
              <w:rPr>
                <w:rFonts w:hint="eastAsia" w:ascii="仿宋_GB2312" w:hAnsi="仿宋_GB2312" w:eastAsia="仿宋_GB2312" w:cs="仿宋_GB2312"/>
                <w:sz w:val="20"/>
                <w:szCs w:val="20"/>
                <w:highlight w:val="none"/>
                <w:vertAlign w:val="baseline"/>
                <w:lang w:val="en-US" w:eastAsia="zh-CN"/>
              </w:rPr>
              <w:t>-</w:t>
            </w:r>
          </w:p>
        </w:tc>
        <w:tc>
          <w:tcPr>
            <w:tcW w:w="1455" w:type="dxa"/>
            <w:tcBorders>
              <w:tl2br w:val="nil"/>
              <w:tr2bl w:val="nil"/>
            </w:tcBorders>
            <w:vAlign w:val="center"/>
          </w:tcPr>
          <w:p w14:paraId="235F4A16">
            <w:pPr>
              <w:numPr>
                <w:ilvl w:val="0"/>
                <w:numId w:val="0"/>
              </w:numPr>
              <w:jc w:val="center"/>
              <w:rPr>
                <w:rFonts w:hint="eastAsia" w:ascii="仿宋_GB2312" w:hAnsi="仿宋_GB2312" w:eastAsia="仿宋_GB2312" w:cs="仿宋_GB2312"/>
                <w:sz w:val="20"/>
                <w:szCs w:val="20"/>
                <w:highlight w:val="none"/>
                <w:vertAlign w:val="baseline"/>
                <w:lang w:val="en-US" w:eastAsia="zh-CN"/>
              </w:rPr>
            </w:pPr>
            <w:r>
              <w:rPr>
                <w:rFonts w:hint="eastAsia" w:ascii="仿宋_GB2312" w:hAnsi="仿宋_GB2312" w:eastAsia="仿宋_GB2312" w:cs="仿宋_GB2312"/>
                <w:sz w:val="20"/>
                <w:szCs w:val="20"/>
                <w:highlight w:val="none"/>
                <w:vertAlign w:val="baseline"/>
                <w:lang w:val="en-US" w:eastAsia="zh-CN"/>
              </w:rPr>
              <w:t>73.04</w:t>
            </w:r>
          </w:p>
        </w:tc>
      </w:tr>
      <w:tr w14:paraId="0561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tcBorders>
              <w:tl2br w:val="nil"/>
              <w:tr2bl w:val="nil"/>
            </w:tcBorders>
            <w:vAlign w:val="center"/>
          </w:tcPr>
          <w:p w14:paraId="54A326FF">
            <w:pPr>
              <w:numPr>
                <w:ilvl w:val="0"/>
                <w:numId w:val="0"/>
              </w:numPr>
              <w:jc w:val="center"/>
              <w:rPr>
                <w:rFonts w:hint="eastAsia" w:ascii="仿宋_GB2312" w:hAnsi="仿宋_GB2312" w:eastAsia="仿宋_GB2312" w:cs="仿宋_GB2312"/>
                <w:sz w:val="20"/>
                <w:szCs w:val="20"/>
                <w:highlight w:val="none"/>
                <w:vertAlign w:val="baseline"/>
                <w:lang w:val="en-US" w:eastAsia="zh-CN"/>
              </w:rPr>
            </w:pPr>
            <w:r>
              <w:rPr>
                <w:rFonts w:hint="eastAsia" w:ascii="仿宋_GB2312" w:hAnsi="仿宋_GB2312" w:eastAsia="仿宋_GB2312" w:cs="仿宋_GB2312"/>
                <w:sz w:val="20"/>
                <w:szCs w:val="20"/>
                <w:highlight w:val="none"/>
                <w:vertAlign w:val="baseline"/>
                <w:lang w:val="en-US" w:eastAsia="zh-CN"/>
              </w:rPr>
              <w:t>6</w:t>
            </w:r>
          </w:p>
        </w:tc>
        <w:tc>
          <w:tcPr>
            <w:tcW w:w="4812" w:type="dxa"/>
            <w:tcBorders>
              <w:tl2br w:val="nil"/>
              <w:tr2bl w:val="nil"/>
            </w:tcBorders>
            <w:vAlign w:val="center"/>
          </w:tcPr>
          <w:p w14:paraId="0F57BCD1">
            <w:pPr>
              <w:numPr>
                <w:ilvl w:val="0"/>
                <w:numId w:val="0"/>
              </w:numPr>
              <w:jc w:val="center"/>
              <w:rPr>
                <w:rFonts w:hint="eastAsia" w:ascii="仿宋_GB2312" w:hAnsi="仿宋_GB2312" w:eastAsia="仿宋_GB2312" w:cs="仿宋_GB2312"/>
                <w:sz w:val="20"/>
                <w:szCs w:val="20"/>
                <w:highlight w:val="none"/>
                <w:vertAlign w:val="baseline"/>
                <w:lang w:val="en-US" w:eastAsia="zh-CN"/>
              </w:rPr>
            </w:pPr>
            <w:r>
              <w:rPr>
                <w:rFonts w:hint="eastAsia" w:ascii="仿宋_GB2312" w:hAnsi="仿宋_GB2312" w:eastAsia="仿宋_GB2312" w:cs="仿宋_GB2312"/>
                <w:sz w:val="20"/>
                <w:szCs w:val="20"/>
                <w:highlight w:val="none"/>
                <w:vertAlign w:val="baseline"/>
                <w:lang w:val="en-US" w:eastAsia="zh-CN"/>
              </w:rPr>
              <w:t>创城经费</w:t>
            </w:r>
          </w:p>
        </w:tc>
        <w:tc>
          <w:tcPr>
            <w:tcW w:w="1455" w:type="dxa"/>
            <w:tcBorders>
              <w:tl2br w:val="nil"/>
              <w:tr2bl w:val="nil"/>
            </w:tcBorders>
            <w:vAlign w:val="center"/>
          </w:tcPr>
          <w:p w14:paraId="1EF0ADA8">
            <w:pPr>
              <w:numPr>
                <w:ilvl w:val="0"/>
                <w:numId w:val="0"/>
              </w:numPr>
              <w:jc w:val="center"/>
              <w:rPr>
                <w:rFonts w:hint="default" w:ascii="仿宋_GB2312" w:hAnsi="仿宋_GB2312" w:eastAsia="仿宋_GB2312" w:cs="仿宋_GB2312"/>
                <w:sz w:val="20"/>
                <w:szCs w:val="20"/>
                <w:highlight w:val="none"/>
                <w:vertAlign w:val="baseline"/>
                <w:lang w:val="en-US" w:eastAsia="zh-CN"/>
              </w:rPr>
            </w:pPr>
            <w:r>
              <w:rPr>
                <w:rFonts w:hint="eastAsia" w:ascii="仿宋_GB2312" w:hAnsi="仿宋_GB2312" w:eastAsia="仿宋_GB2312" w:cs="仿宋_GB2312"/>
                <w:sz w:val="20"/>
                <w:szCs w:val="20"/>
                <w:highlight w:val="none"/>
                <w:vertAlign w:val="baseline"/>
                <w:lang w:val="en-US" w:eastAsia="zh-CN"/>
              </w:rPr>
              <w:t>-</w:t>
            </w:r>
          </w:p>
        </w:tc>
        <w:tc>
          <w:tcPr>
            <w:tcW w:w="1455" w:type="dxa"/>
            <w:tcBorders>
              <w:tl2br w:val="nil"/>
              <w:tr2bl w:val="nil"/>
            </w:tcBorders>
            <w:vAlign w:val="center"/>
          </w:tcPr>
          <w:p w14:paraId="7BF25E7D">
            <w:pPr>
              <w:numPr>
                <w:ilvl w:val="0"/>
                <w:numId w:val="0"/>
              </w:numPr>
              <w:jc w:val="center"/>
              <w:rPr>
                <w:rFonts w:hint="eastAsia" w:ascii="仿宋_GB2312" w:hAnsi="仿宋_GB2312" w:eastAsia="仿宋_GB2312" w:cs="仿宋_GB2312"/>
                <w:sz w:val="20"/>
                <w:szCs w:val="20"/>
                <w:highlight w:val="none"/>
                <w:vertAlign w:val="baseline"/>
                <w:lang w:val="en-US" w:eastAsia="zh-CN"/>
              </w:rPr>
            </w:pPr>
            <w:r>
              <w:rPr>
                <w:rFonts w:hint="eastAsia" w:ascii="仿宋_GB2312" w:hAnsi="仿宋_GB2312" w:eastAsia="仿宋_GB2312" w:cs="仿宋_GB2312"/>
                <w:sz w:val="20"/>
                <w:szCs w:val="20"/>
                <w:highlight w:val="none"/>
                <w:vertAlign w:val="baseline"/>
                <w:lang w:val="en-US" w:eastAsia="zh-CN"/>
              </w:rPr>
              <w:t>0.61</w:t>
            </w:r>
          </w:p>
        </w:tc>
      </w:tr>
      <w:tr w14:paraId="0DC9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tcBorders>
              <w:tl2br w:val="nil"/>
              <w:tr2bl w:val="nil"/>
            </w:tcBorders>
            <w:vAlign w:val="center"/>
          </w:tcPr>
          <w:p w14:paraId="12D2A579">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7</w:t>
            </w:r>
          </w:p>
        </w:tc>
        <w:tc>
          <w:tcPr>
            <w:tcW w:w="4812" w:type="dxa"/>
            <w:tcBorders>
              <w:tl2br w:val="nil"/>
              <w:tr2bl w:val="nil"/>
            </w:tcBorders>
            <w:vAlign w:val="center"/>
          </w:tcPr>
          <w:p w14:paraId="096623AD">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北配楼楼顶防水维修</w:t>
            </w:r>
          </w:p>
        </w:tc>
        <w:tc>
          <w:tcPr>
            <w:tcW w:w="1455" w:type="dxa"/>
            <w:tcBorders>
              <w:tl2br w:val="nil"/>
              <w:tr2bl w:val="nil"/>
            </w:tcBorders>
            <w:vAlign w:val="center"/>
          </w:tcPr>
          <w:p w14:paraId="2C7D5370">
            <w:pPr>
              <w:numPr>
                <w:ilvl w:val="0"/>
                <w:numId w:val="0"/>
              </w:numPr>
              <w:jc w:val="center"/>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w:t>
            </w:r>
          </w:p>
        </w:tc>
        <w:tc>
          <w:tcPr>
            <w:tcW w:w="1455" w:type="dxa"/>
            <w:tcBorders>
              <w:tl2br w:val="nil"/>
              <w:tr2bl w:val="nil"/>
            </w:tcBorders>
            <w:vAlign w:val="center"/>
          </w:tcPr>
          <w:p w14:paraId="4560AEB2">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52.50</w:t>
            </w:r>
          </w:p>
        </w:tc>
      </w:tr>
      <w:tr w14:paraId="6B0A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tcBorders>
              <w:tl2br w:val="nil"/>
              <w:tr2bl w:val="nil"/>
            </w:tcBorders>
            <w:vAlign w:val="center"/>
          </w:tcPr>
          <w:p w14:paraId="7E06886B">
            <w:pPr>
              <w:numPr>
                <w:ilvl w:val="0"/>
                <w:numId w:val="0"/>
              </w:numPr>
              <w:jc w:val="center"/>
              <w:rPr>
                <w:rFonts w:hint="eastAsia" w:ascii="仿宋_GB2312" w:hAnsi="仿宋_GB2312" w:eastAsia="仿宋_GB2312" w:cs="仿宋_GB2312"/>
                <w:sz w:val="20"/>
                <w:szCs w:val="20"/>
                <w:highlight w:val="none"/>
                <w:vertAlign w:val="baseline"/>
                <w:lang w:val="en-US" w:eastAsia="zh-CN"/>
              </w:rPr>
            </w:pPr>
            <w:r>
              <w:rPr>
                <w:rFonts w:hint="eastAsia" w:ascii="仿宋_GB2312" w:hAnsi="仿宋_GB2312" w:eastAsia="仿宋_GB2312" w:cs="仿宋_GB2312"/>
                <w:sz w:val="20"/>
                <w:szCs w:val="20"/>
                <w:highlight w:val="none"/>
                <w:vertAlign w:val="baseline"/>
                <w:lang w:val="en-US" w:eastAsia="zh-CN"/>
              </w:rPr>
              <w:t>8</w:t>
            </w:r>
          </w:p>
        </w:tc>
        <w:tc>
          <w:tcPr>
            <w:tcW w:w="4812" w:type="dxa"/>
            <w:tcBorders>
              <w:tl2br w:val="nil"/>
              <w:tr2bl w:val="nil"/>
            </w:tcBorders>
            <w:vAlign w:val="center"/>
          </w:tcPr>
          <w:p w14:paraId="5A033D0B">
            <w:pPr>
              <w:numPr>
                <w:ilvl w:val="0"/>
                <w:numId w:val="0"/>
              </w:numPr>
              <w:jc w:val="center"/>
              <w:rPr>
                <w:rFonts w:hint="eastAsia" w:ascii="仿宋_GB2312" w:hAnsi="仿宋_GB2312" w:eastAsia="仿宋_GB2312" w:cs="仿宋_GB2312"/>
                <w:sz w:val="20"/>
                <w:szCs w:val="20"/>
                <w:highlight w:val="none"/>
                <w:vertAlign w:val="baseline"/>
                <w:lang w:val="en-US" w:eastAsia="zh-CN"/>
              </w:rPr>
            </w:pPr>
            <w:r>
              <w:rPr>
                <w:rFonts w:hint="eastAsia" w:ascii="仿宋_GB2312" w:hAnsi="仿宋_GB2312" w:eastAsia="仿宋_GB2312" w:cs="仿宋_GB2312"/>
                <w:sz w:val="20"/>
                <w:szCs w:val="20"/>
                <w:highlight w:val="none"/>
                <w:vertAlign w:val="baseline"/>
                <w:lang w:val="en-US" w:eastAsia="zh-CN"/>
              </w:rPr>
              <w:t>集中办公大楼电梯、餐厅、餐评系统、灭火器等改造升级费用</w:t>
            </w:r>
          </w:p>
        </w:tc>
        <w:tc>
          <w:tcPr>
            <w:tcW w:w="1455" w:type="dxa"/>
            <w:tcBorders>
              <w:tl2br w:val="nil"/>
              <w:tr2bl w:val="nil"/>
            </w:tcBorders>
            <w:vAlign w:val="center"/>
          </w:tcPr>
          <w:p w14:paraId="1ABDAC47">
            <w:pPr>
              <w:numPr>
                <w:ilvl w:val="0"/>
                <w:numId w:val="0"/>
              </w:numPr>
              <w:jc w:val="center"/>
              <w:rPr>
                <w:rFonts w:hint="default" w:ascii="仿宋_GB2312" w:hAnsi="仿宋_GB2312" w:eastAsia="仿宋_GB2312" w:cs="仿宋_GB2312"/>
                <w:sz w:val="20"/>
                <w:szCs w:val="20"/>
                <w:highlight w:val="none"/>
                <w:vertAlign w:val="baseline"/>
                <w:lang w:val="en-US" w:eastAsia="zh-CN"/>
              </w:rPr>
            </w:pPr>
            <w:r>
              <w:rPr>
                <w:rFonts w:hint="eastAsia" w:ascii="仿宋_GB2312" w:hAnsi="仿宋_GB2312" w:eastAsia="仿宋_GB2312" w:cs="仿宋_GB2312"/>
                <w:sz w:val="20"/>
                <w:szCs w:val="20"/>
                <w:highlight w:val="none"/>
                <w:vertAlign w:val="baseline"/>
                <w:lang w:val="en-US" w:eastAsia="zh-CN"/>
              </w:rPr>
              <w:t>-</w:t>
            </w:r>
          </w:p>
        </w:tc>
        <w:tc>
          <w:tcPr>
            <w:tcW w:w="1455" w:type="dxa"/>
            <w:tcBorders>
              <w:tl2br w:val="nil"/>
              <w:tr2bl w:val="nil"/>
            </w:tcBorders>
            <w:vAlign w:val="center"/>
          </w:tcPr>
          <w:p w14:paraId="50EFB94D">
            <w:pPr>
              <w:numPr>
                <w:ilvl w:val="0"/>
                <w:numId w:val="0"/>
              </w:numPr>
              <w:jc w:val="center"/>
              <w:rPr>
                <w:rFonts w:hint="eastAsia" w:ascii="仿宋_GB2312" w:hAnsi="仿宋_GB2312" w:eastAsia="仿宋_GB2312" w:cs="仿宋_GB2312"/>
                <w:sz w:val="20"/>
                <w:szCs w:val="20"/>
                <w:highlight w:val="none"/>
                <w:vertAlign w:val="baseline"/>
                <w:lang w:val="en-US" w:eastAsia="zh-CN"/>
              </w:rPr>
            </w:pPr>
            <w:r>
              <w:rPr>
                <w:rFonts w:hint="eastAsia" w:ascii="仿宋_GB2312" w:hAnsi="仿宋_GB2312" w:eastAsia="仿宋_GB2312" w:cs="仿宋_GB2312"/>
                <w:sz w:val="20"/>
                <w:szCs w:val="20"/>
                <w:highlight w:val="none"/>
                <w:vertAlign w:val="baseline"/>
                <w:lang w:val="en-US" w:eastAsia="zh-CN"/>
              </w:rPr>
              <w:t>47.50</w:t>
            </w:r>
          </w:p>
        </w:tc>
      </w:tr>
      <w:tr w14:paraId="40A6B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tcBorders>
              <w:tl2br w:val="nil"/>
              <w:tr2bl w:val="nil"/>
            </w:tcBorders>
            <w:vAlign w:val="center"/>
          </w:tcPr>
          <w:p w14:paraId="3D562CD9">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9</w:t>
            </w:r>
          </w:p>
        </w:tc>
        <w:tc>
          <w:tcPr>
            <w:tcW w:w="4812" w:type="dxa"/>
            <w:tcBorders>
              <w:tl2br w:val="nil"/>
              <w:tr2bl w:val="nil"/>
            </w:tcBorders>
            <w:vAlign w:val="center"/>
          </w:tcPr>
          <w:p w14:paraId="5621844B">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公车定位器安装、北配楼楼顶防水维修、公共机构宣传周活动、北配楼餐厅加装传菜梯黑玻璃幕墙及附属改造、创业大厦门前周围停车场石材维修</w:t>
            </w:r>
          </w:p>
        </w:tc>
        <w:tc>
          <w:tcPr>
            <w:tcW w:w="1455" w:type="dxa"/>
            <w:tcBorders>
              <w:tl2br w:val="nil"/>
              <w:tr2bl w:val="nil"/>
            </w:tcBorders>
            <w:vAlign w:val="center"/>
          </w:tcPr>
          <w:p w14:paraId="53385430">
            <w:pPr>
              <w:numPr>
                <w:ilvl w:val="0"/>
                <w:numId w:val="0"/>
              </w:numPr>
              <w:jc w:val="center"/>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w:t>
            </w:r>
          </w:p>
        </w:tc>
        <w:tc>
          <w:tcPr>
            <w:tcW w:w="1455" w:type="dxa"/>
            <w:tcBorders>
              <w:tl2br w:val="nil"/>
              <w:tr2bl w:val="nil"/>
            </w:tcBorders>
            <w:vAlign w:val="center"/>
          </w:tcPr>
          <w:p w14:paraId="72827E5B">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189.13</w:t>
            </w:r>
          </w:p>
        </w:tc>
      </w:tr>
      <w:tr w14:paraId="4C24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tcBorders>
              <w:tl2br w:val="nil"/>
              <w:tr2bl w:val="nil"/>
            </w:tcBorders>
            <w:vAlign w:val="center"/>
          </w:tcPr>
          <w:p w14:paraId="63EC0F86">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10</w:t>
            </w:r>
          </w:p>
        </w:tc>
        <w:tc>
          <w:tcPr>
            <w:tcW w:w="4812" w:type="dxa"/>
            <w:tcBorders>
              <w:tl2br w:val="nil"/>
              <w:tr2bl w:val="nil"/>
            </w:tcBorders>
            <w:vAlign w:val="center"/>
          </w:tcPr>
          <w:p w14:paraId="00C09230">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北配楼北侧平房防水工程款、北配楼庭院改造费、党政大楼附属工程项目一审竣工结算审核费等</w:t>
            </w:r>
          </w:p>
        </w:tc>
        <w:tc>
          <w:tcPr>
            <w:tcW w:w="1455" w:type="dxa"/>
            <w:tcBorders>
              <w:tl2br w:val="nil"/>
              <w:tr2bl w:val="nil"/>
            </w:tcBorders>
            <w:vAlign w:val="center"/>
          </w:tcPr>
          <w:p w14:paraId="57DA5D06">
            <w:pPr>
              <w:numPr>
                <w:ilvl w:val="0"/>
                <w:numId w:val="0"/>
              </w:numPr>
              <w:jc w:val="center"/>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w:t>
            </w:r>
          </w:p>
        </w:tc>
        <w:tc>
          <w:tcPr>
            <w:tcW w:w="1455" w:type="dxa"/>
            <w:tcBorders>
              <w:tl2br w:val="nil"/>
              <w:tr2bl w:val="nil"/>
            </w:tcBorders>
            <w:vAlign w:val="center"/>
          </w:tcPr>
          <w:p w14:paraId="723E1A27">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102.34</w:t>
            </w:r>
          </w:p>
        </w:tc>
      </w:tr>
      <w:tr w14:paraId="4968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tcBorders>
              <w:tl2br w:val="nil"/>
              <w:tr2bl w:val="nil"/>
            </w:tcBorders>
            <w:vAlign w:val="center"/>
          </w:tcPr>
          <w:p w14:paraId="3BF406EA">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11</w:t>
            </w:r>
          </w:p>
        </w:tc>
        <w:tc>
          <w:tcPr>
            <w:tcW w:w="4812" w:type="dxa"/>
            <w:tcBorders>
              <w:tl2br w:val="nil"/>
              <w:tr2bl w:val="nil"/>
            </w:tcBorders>
            <w:vAlign w:val="center"/>
          </w:tcPr>
          <w:p w14:paraId="39867BBD">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“10.19”坍塌事故调查后勤保障专项经费</w:t>
            </w:r>
          </w:p>
        </w:tc>
        <w:tc>
          <w:tcPr>
            <w:tcW w:w="1455" w:type="dxa"/>
            <w:tcBorders>
              <w:tl2br w:val="nil"/>
              <w:tr2bl w:val="nil"/>
            </w:tcBorders>
            <w:vAlign w:val="center"/>
          </w:tcPr>
          <w:p w14:paraId="3CB91D4C">
            <w:pPr>
              <w:numPr>
                <w:ilvl w:val="0"/>
                <w:numId w:val="0"/>
              </w:numPr>
              <w:jc w:val="center"/>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w:t>
            </w:r>
          </w:p>
        </w:tc>
        <w:tc>
          <w:tcPr>
            <w:tcW w:w="1455" w:type="dxa"/>
            <w:tcBorders>
              <w:tl2br w:val="nil"/>
              <w:tr2bl w:val="nil"/>
            </w:tcBorders>
            <w:vAlign w:val="center"/>
          </w:tcPr>
          <w:p w14:paraId="52E0FD29">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47.04</w:t>
            </w:r>
          </w:p>
        </w:tc>
      </w:tr>
      <w:tr w14:paraId="02B5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29" w:type="dxa"/>
            <w:gridSpan w:val="2"/>
            <w:tcBorders>
              <w:tl2br w:val="nil"/>
              <w:tr2bl w:val="nil"/>
            </w:tcBorders>
            <w:vAlign w:val="center"/>
          </w:tcPr>
          <w:p w14:paraId="39C35812">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合计</w:t>
            </w:r>
          </w:p>
        </w:tc>
        <w:tc>
          <w:tcPr>
            <w:tcW w:w="1455" w:type="dxa"/>
            <w:tcBorders>
              <w:tl2br w:val="nil"/>
              <w:tr2bl w:val="nil"/>
            </w:tcBorders>
            <w:vAlign w:val="center"/>
          </w:tcPr>
          <w:p w14:paraId="08780A93">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70.20</w:t>
            </w:r>
          </w:p>
        </w:tc>
        <w:tc>
          <w:tcPr>
            <w:tcW w:w="1455" w:type="dxa"/>
            <w:tcBorders>
              <w:tl2br w:val="nil"/>
              <w:tr2bl w:val="nil"/>
            </w:tcBorders>
            <w:vAlign w:val="center"/>
          </w:tcPr>
          <w:p w14:paraId="1697E1AE">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1,055.73</w:t>
            </w:r>
          </w:p>
        </w:tc>
      </w:tr>
    </w:tbl>
    <w:p w14:paraId="00FFEF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（3）“三公经费”控制情况</w:t>
      </w:r>
    </w:p>
    <w:p w14:paraId="106283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仿宋_GB2312" w:hAnsi="仿宋_GB2312" w:eastAsia="仿宋_GB2312" w:cs="仿宋_GB2312"/>
          <w:sz w:val="32"/>
          <w:szCs w:val="32"/>
          <w:lang w:val="en-US" w:eastAsia="zh-CN"/>
        </w:rPr>
        <w:t>伊金霍洛旗机关事务服务中心2022年“三公经费”支出53.91万元，本年支出101.93万元，相比2022年增加48.02万</w:t>
      </w:r>
      <w:r>
        <w:rPr>
          <w:rFonts w:hint="eastAsia" w:ascii="仿宋_GB2312" w:hAnsi="仿宋_GB2312" w:eastAsia="仿宋_GB2312" w:cs="仿宋_GB2312"/>
          <w:sz w:val="32"/>
          <w:szCs w:val="32"/>
          <w:highlight w:val="none"/>
          <w:lang w:val="en-US" w:eastAsia="zh-CN"/>
        </w:rPr>
        <w:t xml:space="preserve">元，主要原因是2022年受疫情影响，接待等工作开展受到较大影响，此外，2023年又进行了公务用车改革等重大举措，导致本年度较上年“三公经费”支出显著增加。2023年度“三公经费”支出情况见下表3：   </w:t>
      </w:r>
      <w:r>
        <w:rPr>
          <w:rFonts w:hint="eastAsia" w:ascii="方正仿宋_GB2312" w:hAnsi="方正仿宋_GB2312" w:eastAsia="方正仿宋_GB2312" w:cs="方正仿宋_GB2312"/>
          <w:sz w:val="32"/>
          <w:szCs w:val="32"/>
          <w:highlight w:val="none"/>
          <w:lang w:val="en-US" w:eastAsia="zh-CN"/>
        </w:rPr>
        <w:t xml:space="preserve">           </w:t>
      </w:r>
      <w:r>
        <w:rPr>
          <w:rFonts w:hint="eastAsia" w:ascii="方正仿宋_GB2312" w:hAnsi="方正仿宋_GB2312" w:eastAsia="方正仿宋_GB2312" w:cs="方正仿宋_GB2312"/>
          <w:sz w:val="32"/>
          <w:szCs w:val="32"/>
          <w:lang w:val="en-US" w:eastAsia="zh-CN"/>
        </w:rPr>
        <w:t xml:space="preserve">                                                                                                                                                                                                                                                                                                                                                    </w:t>
      </w:r>
    </w:p>
    <w:p w14:paraId="1F0C45CB">
      <w:pPr>
        <w:keepNext w:val="0"/>
        <w:keepLines w:val="0"/>
        <w:pageBreakBefore w:val="0"/>
        <w:widowControl w:val="0"/>
        <w:numPr>
          <w:ilvl w:val="0"/>
          <w:numId w:val="0"/>
        </w:numPr>
        <w:kinsoku/>
        <w:wordWrap/>
        <w:overflowPunct/>
        <w:topLinePunct w:val="0"/>
        <w:autoSpaceDE/>
        <w:autoSpaceDN/>
        <w:bidi w:val="0"/>
        <w:adjustRightInd/>
        <w:snapToGrid/>
        <w:spacing w:after="157" w:afterLines="50"/>
        <w:jc w:val="right"/>
        <w:textAlignment w:val="auto"/>
        <w:rPr>
          <w:rFonts w:hint="eastAsia" w:ascii="仿宋_GB2312" w:hAnsi="仿宋_GB2312" w:eastAsia="仿宋_GB2312" w:cs="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 xml:space="preserve">          </w:t>
      </w:r>
      <w:r>
        <w:rPr>
          <w:rFonts w:hint="eastAsia" w:ascii="仿宋_GB2312" w:hAnsi="仿宋_GB2312" w:eastAsia="仿宋_GB2312" w:cs="仿宋_GB2312"/>
          <w:b/>
          <w:bCs/>
          <w:sz w:val="28"/>
          <w:szCs w:val="28"/>
          <w:lang w:val="en-US" w:eastAsia="zh-CN"/>
        </w:rPr>
        <w:t xml:space="preserve">  表3：“三公经费”支出情况表     单位：万元</w:t>
      </w:r>
    </w:p>
    <w:tbl>
      <w:tblPr>
        <w:tblStyle w:val="4"/>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2551"/>
        <w:gridCol w:w="1735"/>
        <w:gridCol w:w="1735"/>
        <w:gridCol w:w="1736"/>
      </w:tblGrid>
      <w:tr w14:paraId="7C85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blHeader/>
        </w:trPr>
        <w:tc>
          <w:tcPr>
            <w:tcW w:w="920" w:type="dxa"/>
            <w:vAlign w:val="center"/>
          </w:tcPr>
          <w:p w14:paraId="2422BE4E">
            <w:pPr>
              <w:numPr>
                <w:ilvl w:val="0"/>
                <w:numId w:val="0"/>
              </w:numPr>
              <w:jc w:val="center"/>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序号</w:t>
            </w:r>
          </w:p>
        </w:tc>
        <w:tc>
          <w:tcPr>
            <w:tcW w:w="2551" w:type="dxa"/>
            <w:vAlign w:val="center"/>
          </w:tcPr>
          <w:p w14:paraId="49EB0DCB">
            <w:pPr>
              <w:numPr>
                <w:ilvl w:val="0"/>
                <w:numId w:val="0"/>
              </w:numPr>
              <w:jc w:val="center"/>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项目</w:t>
            </w:r>
          </w:p>
        </w:tc>
        <w:tc>
          <w:tcPr>
            <w:tcW w:w="1735" w:type="dxa"/>
            <w:vAlign w:val="center"/>
          </w:tcPr>
          <w:p w14:paraId="31C9020E">
            <w:pPr>
              <w:numPr>
                <w:ilvl w:val="0"/>
                <w:numId w:val="0"/>
              </w:numPr>
              <w:jc w:val="center"/>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年初预算数</w:t>
            </w:r>
          </w:p>
        </w:tc>
        <w:tc>
          <w:tcPr>
            <w:tcW w:w="1735" w:type="dxa"/>
            <w:vAlign w:val="center"/>
          </w:tcPr>
          <w:p w14:paraId="1CEFE36B">
            <w:pPr>
              <w:numPr>
                <w:ilvl w:val="0"/>
                <w:numId w:val="0"/>
              </w:numPr>
              <w:jc w:val="center"/>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决算金额</w:t>
            </w:r>
          </w:p>
        </w:tc>
        <w:tc>
          <w:tcPr>
            <w:tcW w:w="1736" w:type="dxa"/>
            <w:vAlign w:val="center"/>
          </w:tcPr>
          <w:p w14:paraId="4CD79503">
            <w:pPr>
              <w:numPr>
                <w:ilvl w:val="0"/>
                <w:numId w:val="0"/>
              </w:numPr>
              <w:jc w:val="center"/>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预决算差异率</w:t>
            </w:r>
          </w:p>
        </w:tc>
      </w:tr>
      <w:tr w14:paraId="511F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20" w:type="dxa"/>
            <w:vAlign w:val="center"/>
          </w:tcPr>
          <w:p w14:paraId="70266274">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1</w:t>
            </w:r>
          </w:p>
        </w:tc>
        <w:tc>
          <w:tcPr>
            <w:tcW w:w="2551" w:type="dxa"/>
            <w:vAlign w:val="center"/>
          </w:tcPr>
          <w:p w14:paraId="6CAFE452">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因公出国（境）费</w:t>
            </w:r>
          </w:p>
        </w:tc>
        <w:tc>
          <w:tcPr>
            <w:tcW w:w="1735" w:type="dxa"/>
            <w:vAlign w:val="center"/>
          </w:tcPr>
          <w:p w14:paraId="2A1E4FE0">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 xml:space="preserve"> 0.00                                                </w:t>
            </w:r>
          </w:p>
        </w:tc>
        <w:tc>
          <w:tcPr>
            <w:tcW w:w="1735" w:type="dxa"/>
            <w:vAlign w:val="center"/>
          </w:tcPr>
          <w:p w14:paraId="6D8AE670">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0.00</w:t>
            </w:r>
          </w:p>
        </w:tc>
        <w:tc>
          <w:tcPr>
            <w:tcW w:w="1736" w:type="dxa"/>
            <w:vAlign w:val="center"/>
          </w:tcPr>
          <w:p w14:paraId="01FF3B26">
            <w:pPr>
              <w:numPr>
                <w:ilvl w:val="0"/>
                <w:numId w:val="0"/>
              </w:numPr>
              <w:jc w:val="center"/>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0.00%</w:t>
            </w:r>
          </w:p>
        </w:tc>
      </w:tr>
      <w:tr w14:paraId="7301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20" w:type="dxa"/>
            <w:vAlign w:val="center"/>
          </w:tcPr>
          <w:p w14:paraId="667FC7E4">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2</w:t>
            </w:r>
          </w:p>
        </w:tc>
        <w:tc>
          <w:tcPr>
            <w:tcW w:w="2551" w:type="dxa"/>
            <w:vAlign w:val="center"/>
          </w:tcPr>
          <w:p w14:paraId="19AC2B37">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公务用车运行维护费</w:t>
            </w:r>
          </w:p>
        </w:tc>
        <w:tc>
          <w:tcPr>
            <w:tcW w:w="1735" w:type="dxa"/>
            <w:vAlign w:val="center"/>
          </w:tcPr>
          <w:p w14:paraId="1711B73D">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18.00</w:t>
            </w:r>
          </w:p>
        </w:tc>
        <w:tc>
          <w:tcPr>
            <w:tcW w:w="1735" w:type="dxa"/>
            <w:vAlign w:val="center"/>
          </w:tcPr>
          <w:p w14:paraId="10DC4B55">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 xml:space="preserve">17.99                                                                                                                                                                                                                                                                                                                                                                                                                                                                                                                                                                                                                                                                                                                                          </w:t>
            </w:r>
          </w:p>
        </w:tc>
        <w:tc>
          <w:tcPr>
            <w:tcW w:w="1736" w:type="dxa"/>
            <w:vAlign w:val="center"/>
          </w:tcPr>
          <w:p w14:paraId="5C2B2FA9">
            <w:pPr>
              <w:numPr>
                <w:ilvl w:val="0"/>
                <w:numId w:val="0"/>
              </w:numPr>
              <w:jc w:val="center"/>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0.00%</w:t>
            </w:r>
          </w:p>
        </w:tc>
      </w:tr>
      <w:tr w14:paraId="6C9B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20" w:type="dxa"/>
            <w:vAlign w:val="center"/>
          </w:tcPr>
          <w:p w14:paraId="5DA5CE69">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3</w:t>
            </w:r>
          </w:p>
        </w:tc>
        <w:tc>
          <w:tcPr>
            <w:tcW w:w="2551" w:type="dxa"/>
            <w:vAlign w:val="center"/>
          </w:tcPr>
          <w:p w14:paraId="6B0716C3">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公务接待费</w:t>
            </w:r>
          </w:p>
        </w:tc>
        <w:tc>
          <w:tcPr>
            <w:tcW w:w="1735" w:type="dxa"/>
            <w:vAlign w:val="center"/>
          </w:tcPr>
          <w:p w14:paraId="16CE73D1">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220.00</w:t>
            </w:r>
          </w:p>
        </w:tc>
        <w:tc>
          <w:tcPr>
            <w:tcW w:w="1735" w:type="dxa"/>
            <w:vAlign w:val="center"/>
          </w:tcPr>
          <w:p w14:paraId="17AFE3D1">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 xml:space="preserve">83.94                        </w:t>
            </w:r>
          </w:p>
        </w:tc>
        <w:tc>
          <w:tcPr>
            <w:tcW w:w="1736" w:type="dxa"/>
            <w:vAlign w:val="center"/>
          </w:tcPr>
          <w:p w14:paraId="0089435A">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-61.85%</w:t>
            </w:r>
          </w:p>
        </w:tc>
      </w:tr>
      <w:tr w14:paraId="56476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471" w:type="dxa"/>
            <w:gridSpan w:val="2"/>
            <w:vAlign w:val="center"/>
          </w:tcPr>
          <w:p w14:paraId="6733BF4D">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合计</w:t>
            </w:r>
          </w:p>
        </w:tc>
        <w:tc>
          <w:tcPr>
            <w:tcW w:w="1735" w:type="dxa"/>
            <w:vAlign w:val="center"/>
          </w:tcPr>
          <w:p w14:paraId="71F67D2F">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238.00</w:t>
            </w:r>
          </w:p>
        </w:tc>
        <w:tc>
          <w:tcPr>
            <w:tcW w:w="1735" w:type="dxa"/>
            <w:vAlign w:val="center"/>
          </w:tcPr>
          <w:p w14:paraId="16D308C0">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fldChar w:fldCharType="begin"/>
            </w:r>
            <w:r>
              <w:rPr>
                <w:rFonts w:hint="eastAsia" w:ascii="仿宋_GB2312" w:hAnsi="仿宋_GB2312" w:eastAsia="仿宋_GB2312" w:cs="仿宋_GB2312"/>
                <w:sz w:val="20"/>
                <w:szCs w:val="20"/>
                <w:vertAlign w:val="baseline"/>
                <w:lang w:val="en-US" w:eastAsia="zh-CN"/>
              </w:rPr>
              <w:instrText xml:space="preserve"> = sum(D2:D4) \* MERGEFORMAT </w:instrText>
            </w:r>
            <w:r>
              <w:rPr>
                <w:rFonts w:hint="eastAsia" w:ascii="仿宋_GB2312" w:hAnsi="仿宋_GB2312" w:eastAsia="仿宋_GB2312" w:cs="仿宋_GB2312"/>
                <w:sz w:val="20"/>
                <w:szCs w:val="20"/>
                <w:vertAlign w:val="baseline"/>
                <w:lang w:val="en-US" w:eastAsia="zh-CN"/>
              </w:rPr>
              <w:fldChar w:fldCharType="separate"/>
            </w:r>
            <w:r>
              <w:rPr>
                <w:rFonts w:hint="eastAsia" w:ascii="仿宋_GB2312" w:hAnsi="仿宋_GB2312" w:eastAsia="仿宋_GB2312" w:cs="仿宋_GB2312"/>
                <w:sz w:val="20"/>
                <w:szCs w:val="20"/>
                <w:vertAlign w:val="baseline"/>
                <w:lang w:val="en-US" w:eastAsia="zh-CN"/>
              </w:rPr>
              <w:t>101.93</w:t>
            </w:r>
            <w:r>
              <w:rPr>
                <w:rFonts w:hint="eastAsia" w:ascii="仿宋_GB2312" w:hAnsi="仿宋_GB2312" w:eastAsia="仿宋_GB2312" w:cs="仿宋_GB2312"/>
                <w:sz w:val="20"/>
                <w:szCs w:val="20"/>
                <w:vertAlign w:val="baseline"/>
                <w:lang w:val="en-US" w:eastAsia="zh-CN"/>
              </w:rPr>
              <w:fldChar w:fldCharType="end"/>
            </w:r>
          </w:p>
        </w:tc>
        <w:tc>
          <w:tcPr>
            <w:tcW w:w="1736" w:type="dxa"/>
            <w:vAlign w:val="center"/>
          </w:tcPr>
          <w:p w14:paraId="16FD091A">
            <w:pPr>
              <w:numPr>
                <w:ilvl w:val="0"/>
                <w:numId w:val="0"/>
              </w:numPr>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-57.17%</w:t>
            </w:r>
          </w:p>
        </w:tc>
      </w:tr>
    </w:tbl>
    <w:p w14:paraId="51E145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3.部门资产情况</w:t>
      </w:r>
    </w:p>
    <w:p w14:paraId="225276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伊金霍洛旗机关事务服务中心2023年末共有10198项固定资产。2023年末资产账面原值86,396.71万元，累计折旧7,552.47万元，未计提资产减值损失，账面净值为78,844.24万元。具体情况见下表4：</w:t>
      </w:r>
    </w:p>
    <w:p w14:paraId="4BCD2C74">
      <w:pPr>
        <w:keepNext w:val="0"/>
        <w:keepLines w:val="0"/>
        <w:pageBreakBefore w:val="0"/>
        <w:widowControl w:val="0"/>
        <w:numPr>
          <w:ilvl w:val="0"/>
          <w:numId w:val="0"/>
        </w:numPr>
        <w:kinsoku/>
        <w:wordWrap/>
        <w:overflowPunct/>
        <w:topLinePunct w:val="0"/>
        <w:autoSpaceDE/>
        <w:autoSpaceDN/>
        <w:bidi w:val="0"/>
        <w:adjustRightInd/>
        <w:snapToGrid/>
        <w:spacing w:after="157" w:afterLines="50"/>
        <w:jc w:val="righ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表4：资产明细表          单位：万元</w:t>
      </w:r>
    </w:p>
    <w:tbl>
      <w:tblPr>
        <w:tblStyle w:val="4"/>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7"/>
        <w:gridCol w:w="2133"/>
        <w:gridCol w:w="2133"/>
        <w:gridCol w:w="2135"/>
      </w:tblGrid>
      <w:tr w14:paraId="3E0B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57" w:type="dxa"/>
            <w:tcBorders>
              <w:tl2br w:val="nil"/>
              <w:tr2bl w:val="nil"/>
            </w:tcBorders>
            <w:vAlign w:val="center"/>
          </w:tcPr>
          <w:p w14:paraId="72622A4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类别</w:t>
            </w:r>
          </w:p>
        </w:tc>
        <w:tc>
          <w:tcPr>
            <w:tcW w:w="2133" w:type="dxa"/>
            <w:tcBorders>
              <w:tl2br w:val="nil"/>
              <w:tr2bl w:val="nil"/>
            </w:tcBorders>
            <w:vAlign w:val="center"/>
          </w:tcPr>
          <w:p w14:paraId="5DA219B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账面原值</w:t>
            </w:r>
          </w:p>
        </w:tc>
        <w:tc>
          <w:tcPr>
            <w:tcW w:w="2133" w:type="dxa"/>
            <w:tcBorders>
              <w:tl2br w:val="nil"/>
              <w:tr2bl w:val="nil"/>
            </w:tcBorders>
            <w:vAlign w:val="center"/>
          </w:tcPr>
          <w:p w14:paraId="3257361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累计折旧</w:t>
            </w:r>
          </w:p>
        </w:tc>
        <w:tc>
          <w:tcPr>
            <w:tcW w:w="2135" w:type="dxa"/>
            <w:tcBorders>
              <w:tl2br w:val="nil"/>
              <w:tr2bl w:val="nil"/>
            </w:tcBorders>
            <w:vAlign w:val="center"/>
          </w:tcPr>
          <w:p w14:paraId="554F96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净值</w:t>
            </w:r>
          </w:p>
        </w:tc>
      </w:tr>
      <w:tr w14:paraId="7D08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7" w:type="dxa"/>
            <w:tcBorders>
              <w:tl2br w:val="nil"/>
              <w:tr2bl w:val="nil"/>
            </w:tcBorders>
          </w:tcPr>
          <w:p w14:paraId="280B64E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土地、房屋及构筑物</w:t>
            </w:r>
          </w:p>
        </w:tc>
        <w:tc>
          <w:tcPr>
            <w:tcW w:w="2133" w:type="dxa"/>
            <w:tcBorders>
              <w:tl2br w:val="nil"/>
              <w:tr2bl w:val="nil"/>
            </w:tcBorders>
          </w:tcPr>
          <w:p w14:paraId="0C70068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81,441.03</w:t>
            </w:r>
          </w:p>
        </w:tc>
        <w:tc>
          <w:tcPr>
            <w:tcW w:w="2133" w:type="dxa"/>
            <w:tcBorders>
              <w:tl2br w:val="nil"/>
              <w:tr2bl w:val="nil"/>
            </w:tcBorders>
          </w:tcPr>
          <w:p w14:paraId="20A8C23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3,899.20</w:t>
            </w:r>
          </w:p>
        </w:tc>
        <w:tc>
          <w:tcPr>
            <w:tcW w:w="2135" w:type="dxa"/>
            <w:tcBorders>
              <w:tl2br w:val="nil"/>
              <w:tr2bl w:val="nil"/>
            </w:tcBorders>
          </w:tcPr>
          <w:p w14:paraId="7AD8D11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77,541.83</w:t>
            </w:r>
          </w:p>
        </w:tc>
      </w:tr>
      <w:tr w14:paraId="2626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757" w:type="dxa"/>
            <w:tcBorders>
              <w:tl2br w:val="nil"/>
              <w:tr2bl w:val="nil"/>
            </w:tcBorders>
          </w:tcPr>
          <w:p w14:paraId="24CF395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设备</w:t>
            </w:r>
          </w:p>
        </w:tc>
        <w:tc>
          <w:tcPr>
            <w:tcW w:w="2133" w:type="dxa"/>
            <w:tcBorders>
              <w:tl2br w:val="nil"/>
              <w:tr2bl w:val="nil"/>
            </w:tcBorders>
          </w:tcPr>
          <w:p w14:paraId="4FD4A7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3,041.57</w:t>
            </w:r>
          </w:p>
        </w:tc>
        <w:tc>
          <w:tcPr>
            <w:tcW w:w="2133" w:type="dxa"/>
            <w:tcBorders>
              <w:tl2br w:val="nil"/>
              <w:tr2bl w:val="nil"/>
            </w:tcBorders>
          </w:tcPr>
          <w:p w14:paraId="38AFCC9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2,325.77</w:t>
            </w:r>
          </w:p>
        </w:tc>
        <w:tc>
          <w:tcPr>
            <w:tcW w:w="2135" w:type="dxa"/>
            <w:tcBorders>
              <w:tl2br w:val="nil"/>
              <w:tr2bl w:val="nil"/>
            </w:tcBorders>
          </w:tcPr>
          <w:p w14:paraId="38C68DF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715.80</w:t>
            </w:r>
          </w:p>
        </w:tc>
      </w:tr>
      <w:tr w14:paraId="572B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7" w:type="dxa"/>
            <w:tcBorders>
              <w:tl2br w:val="nil"/>
              <w:tr2bl w:val="nil"/>
            </w:tcBorders>
          </w:tcPr>
          <w:p w14:paraId="611E3DB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家具和用具</w:t>
            </w:r>
          </w:p>
        </w:tc>
        <w:tc>
          <w:tcPr>
            <w:tcW w:w="2133" w:type="dxa"/>
            <w:tcBorders>
              <w:tl2br w:val="nil"/>
              <w:tr2bl w:val="nil"/>
            </w:tcBorders>
          </w:tcPr>
          <w:p w14:paraId="4FB254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1,914.11</w:t>
            </w:r>
          </w:p>
        </w:tc>
        <w:tc>
          <w:tcPr>
            <w:tcW w:w="2133" w:type="dxa"/>
            <w:tcBorders>
              <w:tl2br w:val="nil"/>
              <w:tr2bl w:val="nil"/>
            </w:tcBorders>
          </w:tcPr>
          <w:p w14:paraId="5ACF1A9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1,327.50</w:t>
            </w:r>
          </w:p>
        </w:tc>
        <w:tc>
          <w:tcPr>
            <w:tcW w:w="2135" w:type="dxa"/>
            <w:tcBorders>
              <w:tl2br w:val="nil"/>
              <w:tr2bl w:val="nil"/>
            </w:tcBorders>
          </w:tcPr>
          <w:p w14:paraId="686EC0D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586.61</w:t>
            </w:r>
          </w:p>
        </w:tc>
      </w:tr>
      <w:tr w14:paraId="4106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7" w:type="dxa"/>
            <w:tcBorders>
              <w:tl2br w:val="nil"/>
              <w:tr2bl w:val="nil"/>
            </w:tcBorders>
          </w:tcPr>
          <w:p w14:paraId="24BFFF6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合计</w:t>
            </w:r>
          </w:p>
        </w:tc>
        <w:tc>
          <w:tcPr>
            <w:tcW w:w="2133" w:type="dxa"/>
            <w:tcBorders>
              <w:tl2br w:val="nil"/>
              <w:tr2bl w:val="nil"/>
            </w:tcBorders>
          </w:tcPr>
          <w:p w14:paraId="417EE88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fldChar w:fldCharType="begin"/>
            </w:r>
            <w:r>
              <w:rPr>
                <w:rFonts w:hint="eastAsia" w:ascii="仿宋_GB2312" w:hAnsi="仿宋_GB2312" w:eastAsia="仿宋_GB2312" w:cs="仿宋_GB2312"/>
                <w:sz w:val="20"/>
                <w:szCs w:val="20"/>
                <w:vertAlign w:val="baseline"/>
                <w:lang w:val="en-US" w:eastAsia="zh-CN"/>
              </w:rPr>
              <w:instrText xml:space="preserve"> = sum(B2:B4) \* MERGEFORMAT </w:instrText>
            </w:r>
            <w:r>
              <w:rPr>
                <w:rFonts w:hint="eastAsia" w:ascii="仿宋_GB2312" w:hAnsi="仿宋_GB2312" w:eastAsia="仿宋_GB2312" w:cs="仿宋_GB2312"/>
                <w:sz w:val="20"/>
                <w:szCs w:val="20"/>
                <w:vertAlign w:val="baseline"/>
                <w:lang w:val="en-US" w:eastAsia="zh-CN"/>
              </w:rPr>
              <w:fldChar w:fldCharType="separate"/>
            </w:r>
            <w:r>
              <w:rPr>
                <w:rFonts w:hint="eastAsia" w:ascii="仿宋_GB2312" w:hAnsi="仿宋_GB2312" w:eastAsia="仿宋_GB2312" w:cs="仿宋_GB2312"/>
                <w:sz w:val="20"/>
                <w:szCs w:val="20"/>
                <w:vertAlign w:val="baseline"/>
                <w:lang w:val="en-US" w:eastAsia="zh-CN"/>
              </w:rPr>
              <w:t>86,396.71</w:t>
            </w:r>
            <w:r>
              <w:rPr>
                <w:rFonts w:hint="eastAsia" w:ascii="仿宋_GB2312" w:hAnsi="仿宋_GB2312" w:eastAsia="仿宋_GB2312" w:cs="仿宋_GB2312"/>
                <w:sz w:val="20"/>
                <w:szCs w:val="20"/>
                <w:vertAlign w:val="baseline"/>
                <w:lang w:val="en-US" w:eastAsia="zh-CN"/>
              </w:rPr>
              <w:fldChar w:fldCharType="end"/>
            </w:r>
          </w:p>
        </w:tc>
        <w:tc>
          <w:tcPr>
            <w:tcW w:w="2133" w:type="dxa"/>
            <w:tcBorders>
              <w:tl2br w:val="nil"/>
              <w:tr2bl w:val="nil"/>
            </w:tcBorders>
          </w:tcPr>
          <w:p w14:paraId="37AF356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fldChar w:fldCharType="begin"/>
            </w:r>
            <w:r>
              <w:rPr>
                <w:rFonts w:hint="eastAsia" w:ascii="仿宋_GB2312" w:hAnsi="仿宋_GB2312" w:eastAsia="仿宋_GB2312" w:cs="仿宋_GB2312"/>
                <w:sz w:val="20"/>
                <w:szCs w:val="20"/>
                <w:vertAlign w:val="baseline"/>
                <w:lang w:val="en-US" w:eastAsia="zh-CN"/>
              </w:rPr>
              <w:instrText xml:space="preserve"> = sum(C2:C4) \* MERGEFORMAT </w:instrText>
            </w:r>
            <w:r>
              <w:rPr>
                <w:rFonts w:hint="eastAsia" w:ascii="仿宋_GB2312" w:hAnsi="仿宋_GB2312" w:eastAsia="仿宋_GB2312" w:cs="仿宋_GB2312"/>
                <w:sz w:val="20"/>
                <w:szCs w:val="20"/>
                <w:vertAlign w:val="baseline"/>
                <w:lang w:val="en-US" w:eastAsia="zh-CN"/>
              </w:rPr>
              <w:fldChar w:fldCharType="separate"/>
            </w:r>
            <w:r>
              <w:rPr>
                <w:rFonts w:hint="eastAsia" w:ascii="仿宋_GB2312" w:hAnsi="仿宋_GB2312" w:eastAsia="仿宋_GB2312" w:cs="仿宋_GB2312"/>
                <w:sz w:val="20"/>
                <w:szCs w:val="20"/>
                <w:vertAlign w:val="baseline"/>
                <w:lang w:val="en-US" w:eastAsia="zh-CN"/>
              </w:rPr>
              <w:t>7,552.47</w:t>
            </w:r>
            <w:r>
              <w:rPr>
                <w:rFonts w:hint="eastAsia" w:ascii="仿宋_GB2312" w:hAnsi="仿宋_GB2312" w:eastAsia="仿宋_GB2312" w:cs="仿宋_GB2312"/>
                <w:sz w:val="20"/>
                <w:szCs w:val="20"/>
                <w:vertAlign w:val="baseline"/>
                <w:lang w:val="en-US" w:eastAsia="zh-CN"/>
              </w:rPr>
              <w:fldChar w:fldCharType="end"/>
            </w:r>
          </w:p>
        </w:tc>
        <w:tc>
          <w:tcPr>
            <w:tcW w:w="2135" w:type="dxa"/>
            <w:tcBorders>
              <w:tl2br w:val="nil"/>
              <w:tr2bl w:val="nil"/>
            </w:tcBorders>
          </w:tcPr>
          <w:p w14:paraId="74389A5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fldChar w:fldCharType="begin"/>
            </w:r>
            <w:r>
              <w:rPr>
                <w:rFonts w:hint="eastAsia" w:ascii="仿宋_GB2312" w:hAnsi="仿宋_GB2312" w:eastAsia="仿宋_GB2312" w:cs="仿宋_GB2312"/>
                <w:sz w:val="20"/>
                <w:szCs w:val="20"/>
                <w:vertAlign w:val="baseline"/>
                <w:lang w:val="en-US" w:eastAsia="zh-CN"/>
              </w:rPr>
              <w:instrText xml:space="preserve"> = sum(D2:D4) \* MERGEFORMAT </w:instrText>
            </w:r>
            <w:r>
              <w:rPr>
                <w:rFonts w:hint="eastAsia" w:ascii="仿宋_GB2312" w:hAnsi="仿宋_GB2312" w:eastAsia="仿宋_GB2312" w:cs="仿宋_GB2312"/>
                <w:sz w:val="20"/>
                <w:szCs w:val="20"/>
                <w:vertAlign w:val="baseline"/>
                <w:lang w:val="en-US" w:eastAsia="zh-CN"/>
              </w:rPr>
              <w:fldChar w:fldCharType="separate"/>
            </w:r>
            <w:r>
              <w:rPr>
                <w:rFonts w:hint="eastAsia" w:ascii="仿宋_GB2312" w:hAnsi="仿宋_GB2312" w:eastAsia="仿宋_GB2312" w:cs="仿宋_GB2312"/>
                <w:sz w:val="20"/>
                <w:szCs w:val="20"/>
                <w:vertAlign w:val="baseline"/>
                <w:lang w:val="en-US" w:eastAsia="zh-CN"/>
              </w:rPr>
              <w:t>78,844.24</w:t>
            </w:r>
            <w:r>
              <w:rPr>
                <w:rFonts w:hint="eastAsia" w:ascii="仿宋_GB2312" w:hAnsi="仿宋_GB2312" w:eastAsia="仿宋_GB2312" w:cs="仿宋_GB2312"/>
                <w:sz w:val="20"/>
                <w:szCs w:val="20"/>
                <w:vertAlign w:val="baseline"/>
                <w:lang w:val="en-US" w:eastAsia="zh-CN"/>
              </w:rPr>
              <w:fldChar w:fldCharType="end"/>
            </w:r>
          </w:p>
        </w:tc>
      </w:tr>
    </w:tbl>
    <w:p w14:paraId="727176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1"/>
          <w:szCs w:val="21"/>
          <w:lang w:val="en-US" w:eastAsia="zh-CN"/>
        </w:rPr>
      </w:pPr>
    </w:p>
    <w:p w14:paraId="5F101591">
      <w:pPr>
        <w:pStyle w:val="2"/>
        <w:numPr>
          <w:ilvl w:val="0"/>
          <w:numId w:val="1"/>
        </w:numPr>
        <w:bidi w:val="0"/>
        <w:ind w:firstLine="720"/>
        <w:rPr>
          <w:rFonts w:hint="eastAsia"/>
          <w:b w:val="0"/>
          <w:lang w:val="en-US" w:eastAsia="zh-CN"/>
        </w:rPr>
      </w:pPr>
      <w:bookmarkStart w:id="15" w:name="_Toc15969"/>
      <w:bookmarkStart w:id="16" w:name="_Toc25479"/>
      <w:bookmarkStart w:id="17" w:name="_Toc18992"/>
      <w:r>
        <w:rPr>
          <w:rFonts w:hint="eastAsia"/>
          <w:b w:val="0"/>
          <w:lang w:val="en-US" w:eastAsia="zh-CN"/>
        </w:rPr>
        <w:t>综合评价情况及评价结论</w:t>
      </w:r>
      <w:bookmarkEnd w:id="15"/>
      <w:bookmarkEnd w:id="16"/>
      <w:bookmarkEnd w:id="17"/>
    </w:p>
    <w:p w14:paraId="5CA93290">
      <w:pPr>
        <w:pStyle w:val="2"/>
        <w:numPr>
          <w:ilvl w:val="0"/>
          <w:numId w:val="0"/>
        </w:numPr>
        <w:bidi w:val="0"/>
        <w:ind w:firstLine="640" w:firstLineChars="200"/>
        <w:rPr>
          <w:rFonts w:hint="eastAsia"/>
          <w:b w:val="0"/>
          <w:lang w:val="en-US" w:eastAsia="zh-CN"/>
        </w:rPr>
      </w:pPr>
      <w:bookmarkStart w:id="33" w:name="_GoBack"/>
      <w:bookmarkEnd w:id="33"/>
      <w:r>
        <w:rPr>
          <w:rFonts w:hint="eastAsia" w:ascii="仿宋_GB2312" w:hAnsi="仿宋_GB2312" w:eastAsia="仿宋_GB2312" w:cs="仿宋_GB2312"/>
          <w:sz w:val="32"/>
          <w:szCs w:val="32"/>
          <w:lang w:val="en-US" w:eastAsia="zh-CN"/>
        </w:rPr>
        <w:t>根据此次调查收集的资料进行整理分析，对数据进行汇总计算，结合被调查部门的实际情况，真实客观地对伊金霍洛旗机关事务服务中心2023年度部门整体支出绩效评价情况予以打分评价，最终评价得分为86.5分，总体评价等级为“良”。</w:t>
      </w:r>
      <w:bookmarkStart w:id="18" w:name="_Toc5265"/>
      <w:bookmarkStart w:id="19" w:name="_Toc13069"/>
      <w:bookmarkStart w:id="20" w:name="_Toc30399"/>
    </w:p>
    <w:bookmarkEnd w:id="18"/>
    <w:bookmarkEnd w:id="19"/>
    <w:bookmarkEnd w:id="20"/>
    <w:p w14:paraId="5C0BB992">
      <w:pPr>
        <w:pStyle w:val="2"/>
        <w:bidi w:val="0"/>
        <w:rPr>
          <w:rFonts w:hint="eastAsia"/>
          <w:highlight w:val="none"/>
          <w:lang w:val="en-US" w:eastAsia="zh-CN"/>
        </w:rPr>
      </w:pPr>
      <w:bookmarkStart w:id="21" w:name="_Toc26116"/>
      <w:bookmarkStart w:id="22" w:name="_Toc28045"/>
      <w:bookmarkStart w:id="23" w:name="_Toc14939"/>
      <w:r>
        <w:rPr>
          <w:rFonts w:hint="eastAsia"/>
          <w:lang w:val="en-US" w:eastAsia="zh-CN"/>
        </w:rPr>
        <w:t>三、</w:t>
      </w:r>
      <w:bookmarkEnd w:id="21"/>
      <w:bookmarkEnd w:id="22"/>
      <w:bookmarkEnd w:id="23"/>
      <w:bookmarkStart w:id="24" w:name="_Toc24344"/>
      <w:bookmarkStart w:id="25" w:name="_Toc27699"/>
      <w:bookmarkStart w:id="26" w:name="_Toc18510"/>
      <w:r>
        <w:rPr>
          <w:rFonts w:hint="eastAsia"/>
          <w:highlight w:val="none"/>
          <w:lang w:val="en-US" w:eastAsia="zh-CN"/>
        </w:rPr>
        <w:t>存在的问题及建议</w:t>
      </w:r>
      <w:bookmarkEnd w:id="24"/>
      <w:bookmarkEnd w:id="25"/>
      <w:bookmarkEnd w:id="26"/>
    </w:p>
    <w:p w14:paraId="497F59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_GB2312" w:hAnsi="楷体_GB2312" w:eastAsia="楷体_GB2312" w:cs="楷体_GB2312"/>
          <w:sz w:val="32"/>
          <w:szCs w:val="32"/>
          <w:lang w:val="en-US" w:eastAsia="zh-CN"/>
        </w:rPr>
      </w:pPr>
      <w:bookmarkStart w:id="27" w:name="_Toc12447"/>
      <w:bookmarkStart w:id="28" w:name="_Toc18008"/>
      <w:bookmarkStart w:id="29" w:name="_Toc27136"/>
      <w:r>
        <w:rPr>
          <w:rFonts w:hint="eastAsia" w:ascii="楷体_GB2312" w:hAnsi="楷体_GB2312" w:eastAsia="楷体_GB2312" w:cs="楷体_GB2312"/>
          <w:sz w:val="32"/>
          <w:szCs w:val="32"/>
          <w:lang w:val="en-US" w:eastAsia="zh-CN"/>
        </w:rPr>
        <w:t>（一）存在的问题及原因分析</w:t>
      </w:r>
      <w:bookmarkEnd w:id="27"/>
      <w:bookmarkEnd w:id="28"/>
      <w:bookmarkEnd w:id="29"/>
    </w:p>
    <w:p w14:paraId="1A4BAD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存在预决算差异率过大的情况。根据伊金霍洛旗机关事务服务中心提供的资料，部分项目如：“三公经费”中公务接待费，年初预算数220.00万元，决算数为83.94万元，预决算差异率为61.85%，该部分预决算差异率过大。</w:t>
      </w:r>
    </w:p>
    <w:p w14:paraId="463A40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预算绩效管理科学化、精细化水平有待提升。根据现场调查了解到，一是部门项目的指标及目标值设置不合理，如：北配楼顶防水维修项目数量指标设置的三级指标为维修数量，目标值为1栋，维修次数，目标值为1次；二是在项目实施过程中部分项目</w:t>
      </w:r>
      <w:r>
        <w:rPr>
          <w:rFonts w:hint="eastAsia" w:ascii="仿宋_GB2312" w:hAnsi="仿宋_GB2312" w:eastAsia="仿宋_GB2312" w:cs="仿宋_GB2312"/>
          <w:sz w:val="32"/>
          <w:szCs w:val="32"/>
          <w:highlight w:val="none"/>
          <w:lang w:val="en-US" w:eastAsia="zh-CN"/>
        </w:rPr>
        <w:t>未进行有效的跟踪监控，如：该部门本年度项目总数为11个，实际开展绩效监控并及时报送监控结果的项目数为6个；三是部分项目绩效目标分值合计存在计算错误的情况。部门预算绩效管理工作有待完善，实施部门未建立起有效的绩效管理制度，绩效目标的编制有待进一步细化与完善。</w:t>
      </w:r>
    </w:p>
    <w:p w14:paraId="149FAB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_GB2312" w:hAnsi="楷体_GB2312" w:eastAsia="楷体_GB2312" w:cs="楷体_GB2312"/>
          <w:sz w:val="32"/>
          <w:szCs w:val="32"/>
          <w:lang w:val="en-US" w:eastAsia="zh-CN"/>
        </w:rPr>
      </w:pPr>
      <w:bookmarkStart w:id="30" w:name="_Toc9040"/>
      <w:bookmarkStart w:id="31" w:name="_Toc25722"/>
      <w:bookmarkStart w:id="32" w:name="_Toc14711"/>
      <w:r>
        <w:rPr>
          <w:rFonts w:hint="eastAsia" w:ascii="楷体_GB2312" w:hAnsi="楷体_GB2312" w:eastAsia="楷体_GB2312" w:cs="楷体_GB2312"/>
          <w:sz w:val="32"/>
          <w:szCs w:val="32"/>
          <w:lang w:val="en-US" w:eastAsia="zh-CN"/>
        </w:rPr>
        <w:t>（二）有关建议</w:t>
      </w:r>
      <w:bookmarkEnd w:id="30"/>
      <w:bookmarkEnd w:id="31"/>
      <w:bookmarkEnd w:id="32"/>
    </w:p>
    <w:p w14:paraId="3923B7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1.科学规范编制预算。科学规范编制预算是为了更加科学合理地利用财政资金，使其效益最大化，编制预算时应细化量化，尤其应将项目预算更加精细化，避免项目预算调整数额过大，提高预算编制的完整性。</w:t>
      </w:r>
    </w:p>
    <w:p w14:paraId="7AA11436">
      <w:r>
        <w:rPr>
          <w:rFonts w:hint="eastAsia" w:ascii="仿宋_GB2312" w:hAnsi="仿宋_GB2312" w:eastAsia="仿宋_GB2312" w:cs="仿宋_GB2312"/>
          <w:sz w:val="32"/>
          <w:szCs w:val="32"/>
          <w:lang w:val="en-US" w:eastAsia="zh-CN"/>
        </w:rPr>
        <w:t>2.加强完善预算绩效工作管理。一是建议项目实施部门需进一步细化绩效目标申报表，包括目标值及各项指标的完善；二是落实项目绩效监控工作，开展绩效监控并及时报送监控结果以形成完整的项目绩效管理体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F1583"/>
    <w:multiLevelType w:val="singleLevel"/>
    <w:tmpl w:val="883F1583"/>
    <w:lvl w:ilvl="0" w:tentative="0">
      <w:start w:val="1"/>
      <w:numFmt w:val="chineseCounting"/>
      <w:suff w:val="nothing"/>
      <w:lvlText w:val="%1、"/>
      <w:lvlJc w:val="left"/>
      <w:rPr>
        <w:rFonts w:hint="eastAsia"/>
      </w:rPr>
    </w:lvl>
  </w:abstractNum>
  <w:abstractNum w:abstractNumId="1">
    <w:nsid w:val="E2BB934E"/>
    <w:multiLevelType w:val="singleLevel"/>
    <w:tmpl w:val="E2BB934E"/>
    <w:lvl w:ilvl="0" w:tentative="0">
      <w:start w:val="1"/>
      <w:numFmt w:val="decimal"/>
      <w:suff w:val="nothing"/>
      <w:lvlText w:val="（%1）"/>
      <w:lvlJc w:val="left"/>
    </w:lvl>
  </w:abstractNum>
  <w:abstractNum w:abstractNumId="2">
    <w:nsid w:val="4E1C29BB"/>
    <w:multiLevelType w:val="singleLevel"/>
    <w:tmpl w:val="4E1C29BB"/>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NTIzNzM2YzNlMmFhZWM2Yzc3ZWFmMzIyZjM0N2YifQ=="/>
  </w:docVars>
  <w:rsids>
    <w:rsidRoot w:val="0E6468CE"/>
    <w:rsid w:val="0E646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ind w:firstLine="720" w:firstLineChars="200"/>
      <w:outlineLvl w:val="0"/>
    </w:pPr>
    <w:rPr>
      <w:rFonts w:eastAsia="黑体" w:asciiTheme="minorAscii" w:hAnsiTheme="minorAscii"/>
      <w:kern w:val="44"/>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2024-08-21T11:44:00Z</dcterms:created>
  <dc:creator>杨勇</dc:creator>
  <cp:lastModifiedBy>杨勇</cp:lastModifiedBy>
  <dcterms:modified xsi:type="dcterms:W3CDTF">2024-08-21T11:44:37Z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E282AD7E67754D18A4E32416DAA32BE8_11</vt:lpwstr>
  </property>
</Properties>
</file>