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B5F9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2"/>
          <w:sz w:val="36"/>
          <w:szCs w:val="36"/>
          <w:lang w:eastAsia="zh-CN"/>
        </w:rPr>
      </w:pPr>
      <w:r>
        <w:rPr>
          <w:rFonts w:hint="eastAsia" w:ascii="方正小标宋简体" w:hAnsi="方正小标宋简体" w:eastAsia="方正小标宋简体" w:cs="方正小标宋简体"/>
          <w:bCs/>
          <w:color w:val="auto"/>
          <w:kern w:val="2"/>
          <w:sz w:val="36"/>
          <w:szCs w:val="36"/>
          <w:lang w:eastAsia="zh-CN"/>
        </w:rPr>
        <w:t>伊金霍洛旗蒙医医院采购项目</w:t>
      </w:r>
    </w:p>
    <w:p w14:paraId="4D0628D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kern w:val="2"/>
          <w:sz w:val="36"/>
          <w:szCs w:val="36"/>
          <w:lang w:val="en-US" w:eastAsia="zh-CN"/>
        </w:rPr>
      </w:pPr>
      <w:r>
        <w:rPr>
          <w:rFonts w:hint="eastAsia" w:ascii="方正小标宋简体" w:hAnsi="方正小标宋简体" w:eastAsia="方正小标宋简体" w:cs="方正小标宋简体"/>
          <w:bCs/>
          <w:color w:val="auto"/>
          <w:kern w:val="2"/>
          <w:sz w:val="36"/>
          <w:szCs w:val="36"/>
        </w:rPr>
        <w:t>绩效评价报告</w:t>
      </w:r>
      <w:r>
        <w:rPr>
          <w:rFonts w:hint="eastAsia" w:ascii="方正小标宋简体" w:hAnsi="方正小标宋简体" w:eastAsia="方正小标宋简体" w:cs="方正小标宋简体"/>
          <w:bCs/>
          <w:color w:val="auto"/>
          <w:kern w:val="2"/>
          <w:sz w:val="36"/>
          <w:szCs w:val="36"/>
          <w:lang w:val="en-US" w:eastAsia="zh-CN"/>
        </w:rPr>
        <w:t>简要版</w:t>
      </w:r>
    </w:p>
    <w:p w14:paraId="54410662">
      <w:pPr>
        <w:bidi w:val="0"/>
        <w:rPr>
          <w:rFonts w:hint="eastAsia" w:ascii="黑体" w:hAnsi="黑体" w:eastAsia="黑体"/>
          <w:bCs/>
          <w:color w:val="auto"/>
          <w:kern w:val="2"/>
          <w:szCs w:val="40"/>
        </w:rPr>
      </w:pPr>
    </w:p>
    <w:p w14:paraId="674DA849">
      <w:pPr>
        <w:pStyle w:val="2"/>
        <w:bidi w:val="0"/>
        <w:rPr>
          <w:rFonts w:hint="eastAsia"/>
          <w:color w:val="auto"/>
        </w:rPr>
      </w:pPr>
      <w:bookmarkStart w:id="0" w:name="_Toc32258"/>
      <w:bookmarkStart w:id="1" w:name="_Toc14373"/>
      <w:bookmarkStart w:id="2" w:name="_Toc18785"/>
      <w:r>
        <w:rPr>
          <w:rFonts w:hint="eastAsia"/>
          <w:color w:val="auto"/>
        </w:rPr>
        <w:t>一、基本情况</w:t>
      </w:r>
      <w:bookmarkEnd w:id="0"/>
      <w:bookmarkEnd w:id="1"/>
      <w:bookmarkEnd w:id="2"/>
      <w:bookmarkStart w:id="19" w:name="_GoBack"/>
      <w:bookmarkEnd w:id="19"/>
    </w:p>
    <w:p w14:paraId="1FB0ADE7">
      <w:pPr>
        <w:pStyle w:val="3"/>
        <w:bidi w:val="0"/>
        <w:rPr>
          <w:rFonts w:hint="eastAsia"/>
          <w:color w:val="auto"/>
        </w:rPr>
      </w:pPr>
      <w:bookmarkStart w:id="3" w:name="_Toc18838"/>
      <w:bookmarkStart w:id="4" w:name="_Toc7459"/>
      <w:bookmarkStart w:id="5" w:name="_Toc29374"/>
      <w:r>
        <w:rPr>
          <w:rFonts w:hint="eastAsia"/>
          <w:color w:val="auto"/>
        </w:rPr>
        <w:t>（一）项目概况</w:t>
      </w:r>
      <w:bookmarkEnd w:id="3"/>
      <w:bookmarkEnd w:id="4"/>
      <w:bookmarkEnd w:id="5"/>
    </w:p>
    <w:p w14:paraId="51B8B186">
      <w:pPr>
        <w:pStyle w:val="4"/>
        <w:bidi w:val="0"/>
        <w:rPr>
          <w:rFonts w:hint="eastAsia"/>
          <w:color w:val="auto"/>
          <w:lang w:val="en-US" w:eastAsia="zh-CN"/>
        </w:rPr>
      </w:pPr>
      <w:r>
        <w:rPr>
          <w:rFonts w:hint="eastAsia"/>
          <w:color w:val="auto"/>
          <w:lang w:val="en-US" w:eastAsia="zh-CN"/>
        </w:rPr>
        <w:t>1.项目背景</w:t>
      </w:r>
    </w:p>
    <w:p w14:paraId="7BB9457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伊金霍洛旗蒙医综合医院是蒙中西医结合治疗与蒙中医药科研、教学及预防保健为一体的</w:t>
      </w:r>
      <w:r>
        <w:rPr>
          <w:rFonts w:hint="eastAsia" w:ascii="仿宋" w:hAnsi="仿宋" w:eastAsia="仿宋" w:cs="仿宋"/>
          <w:sz w:val="32"/>
          <w:szCs w:val="32"/>
          <w:lang w:val="en-US" w:eastAsia="zh-CN"/>
        </w:rPr>
        <w:t>二级甲等</w:t>
      </w:r>
      <w:r>
        <w:rPr>
          <w:rFonts w:hint="eastAsia" w:ascii="仿宋" w:hAnsi="仿宋" w:eastAsia="仿宋" w:cs="仿宋"/>
          <w:sz w:val="32"/>
          <w:szCs w:val="32"/>
        </w:rPr>
        <w:t>公立非营利性医疗机构。</w:t>
      </w:r>
      <w:r>
        <w:rPr>
          <w:rFonts w:hint="eastAsia" w:ascii="仿宋" w:hAnsi="仿宋" w:eastAsia="仿宋" w:cs="仿宋"/>
          <w:sz w:val="32"/>
          <w:szCs w:val="32"/>
          <w:lang w:val="en-US" w:eastAsia="zh-CN"/>
        </w:rPr>
        <w:t>同时还担负着全旗25万人民群众及周边地区广大群众的急救、医疗、妇幼保健等任务。</w:t>
      </w:r>
      <w:r>
        <w:rPr>
          <w:rFonts w:hint="eastAsia" w:ascii="仿宋" w:hAnsi="仿宋" w:eastAsia="仿宋" w:cs="仿宋"/>
          <w:sz w:val="32"/>
          <w:szCs w:val="32"/>
        </w:rPr>
        <w:t>是内蒙古国际蒙医医院、包头市第四医院、鄂尔多斯市蒙医医院、鄂尔多斯市中心医院医疗协同体成员单位。</w:t>
      </w:r>
    </w:p>
    <w:p w14:paraId="61E63860">
      <w:pPr>
        <w:rPr>
          <w:rFonts w:hint="default"/>
          <w:lang w:val="en-US" w:eastAsia="zh-CN"/>
        </w:rPr>
      </w:pPr>
      <w:r>
        <w:rPr>
          <w:rFonts w:hint="eastAsia" w:ascii="仿宋" w:hAnsi="仿宋" w:eastAsia="仿宋" w:cs="仿宋"/>
          <w:sz w:val="32"/>
          <w:szCs w:val="32"/>
        </w:rPr>
        <w:t>伊金霍洛旗蒙医综合医院</w:t>
      </w:r>
      <w:r>
        <w:rPr>
          <w:rFonts w:hint="eastAsia"/>
          <w:lang w:val="en-US" w:eastAsia="zh-CN"/>
        </w:rPr>
        <w:t>作为伊金霍洛旗唯一一所中医（蒙医）医院达到“二级甲等中医（蒙医）医院”水平的综合医院。建立全旗规范化和科学管理的体检中心使得本旗职工和广大居民不需出旗就能享受更好的医疗服务，从根本上帮助农牧民不得大病、少得病，做到早预防、早发现、早干预、早治疗，减少因病返贫、因病致残情况的发生。</w:t>
      </w:r>
      <w:r>
        <w:rPr>
          <w:rFonts w:hint="eastAsia" w:ascii="仿宋" w:hAnsi="仿宋" w:eastAsia="仿宋" w:cs="仿宋"/>
          <w:sz w:val="32"/>
          <w:szCs w:val="32"/>
        </w:rPr>
        <w:t>伊金霍洛旗蒙医综合医院</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2023年7月19日向伊金霍洛旗卫健委申请《伊金霍洛旗蒙医医院关于体检中心设备、信息化建设采购资金的报告》（伊蒙医字</w:t>
      </w:r>
      <w:r>
        <w:rPr>
          <w:rFonts w:hint="eastAsia" w:ascii="Times New Roman" w:hAnsi="Times New Roman" w:eastAsia="仿宋_GB2312" w:cs="Times New Roman"/>
          <w:color w:val="auto"/>
          <w:kern w:val="2"/>
          <w:szCs w:val="24"/>
          <w:lang w:val="en-US" w:eastAsia="zh-CN" w:bidi="ar-SA"/>
        </w:rPr>
        <w:t>〔202</w:t>
      </w:r>
      <w:r>
        <w:rPr>
          <w:rFonts w:hint="eastAsia" w:cs="Times New Roman"/>
          <w:color w:val="auto"/>
          <w:kern w:val="2"/>
          <w:szCs w:val="24"/>
          <w:lang w:val="en-US" w:eastAsia="zh-CN" w:bidi="ar-SA"/>
        </w:rPr>
        <w:t>3</w:t>
      </w:r>
      <w:r>
        <w:rPr>
          <w:rFonts w:hint="eastAsia" w:ascii="Times New Roman" w:hAnsi="Times New Roman" w:eastAsia="仿宋_GB2312" w:cs="Times New Roman"/>
          <w:color w:val="auto"/>
          <w:kern w:val="2"/>
          <w:szCs w:val="24"/>
          <w:lang w:val="en-US" w:eastAsia="zh-CN" w:bidi="ar-SA"/>
        </w:rPr>
        <w:t>〕</w:t>
      </w:r>
      <w:r>
        <w:rPr>
          <w:rFonts w:hint="eastAsia" w:cs="Times New Roman"/>
          <w:color w:val="auto"/>
          <w:kern w:val="2"/>
          <w:szCs w:val="24"/>
          <w:lang w:val="en-US" w:eastAsia="zh-CN" w:bidi="ar-SA"/>
        </w:rPr>
        <w:t>51号），申请资金1999.9万元，获得批复旗级预算1000万元。</w:t>
      </w:r>
    </w:p>
    <w:p w14:paraId="3C9774C5">
      <w:pPr>
        <w:pStyle w:val="4"/>
        <w:bidi w:val="0"/>
        <w:rPr>
          <w:rFonts w:hint="eastAsia"/>
          <w:color w:val="auto"/>
          <w:lang w:val="en-US" w:eastAsia="zh-CN"/>
        </w:rPr>
      </w:pPr>
      <w:r>
        <w:rPr>
          <w:rFonts w:hint="eastAsia"/>
          <w:color w:val="auto"/>
          <w:lang w:val="en-US" w:eastAsia="zh-CN"/>
        </w:rPr>
        <w:t>2.主要实施内容及实施情况</w:t>
      </w:r>
    </w:p>
    <w:p w14:paraId="1DAD3388">
      <w:pPr>
        <w:rPr>
          <w:rFonts w:hint="default"/>
          <w:color w:val="auto"/>
          <w:lang w:val="en-US" w:eastAsia="zh-CN"/>
        </w:rPr>
      </w:pPr>
      <w:r>
        <w:rPr>
          <w:rFonts w:hint="eastAsia"/>
          <w:color w:val="auto"/>
          <w:lang w:val="en-US" w:eastAsia="zh-CN"/>
        </w:rPr>
        <w:t>该项目主要实施内容为：体检中心设施设备采购项目采购成像仪等设备153万元、体检中心设施设备采购项目采购胃肠镜等设备399.8万元、体检中心采购超声检查仪项目采购超声检查仪559.96万元、信息化能力提升建设项目740万元，详见实施内容明细表：</w:t>
      </w:r>
    </w:p>
    <w:p w14:paraId="770FF671">
      <w:pPr>
        <w:pStyle w:val="5"/>
        <w:bidi w:val="0"/>
        <w:rPr>
          <w:rFonts w:hint="default"/>
          <w:color w:val="auto"/>
          <w:lang w:val="en-US" w:eastAsia="zh-CN"/>
        </w:rPr>
      </w:pPr>
      <w:r>
        <w:rPr>
          <w:rFonts w:hint="eastAsia"/>
          <w:color w:val="auto"/>
          <w:lang w:val="en-US" w:eastAsia="zh-CN"/>
        </w:rPr>
        <w:t>表1：实施内容明细表（万元）</w:t>
      </w:r>
    </w:p>
    <w:tbl>
      <w:tblPr>
        <w:tblStyle w:val="12"/>
        <w:tblW w:w="83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0"/>
        <w:gridCol w:w="2727"/>
        <w:gridCol w:w="1214"/>
        <w:gridCol w:w="1563"/>
        <w:gridCol w:w="2074"/>
      </w:tblGrid>
      <w:tr w14:paraId="1BD44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73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AB627A4">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272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3614D35">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采购内容</w:t>
            </w:r>
          </w:p>
        </w:tc>
        <w:tc>
          <w:tcPr>
            <w:tcW w:w="121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88D0968">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合同金额</w:t>
            </w:r>
          </w:p>
        </w:tc>
        <w:tc>
          <w:tcPr>
            <w:tcW w:w="156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BD8CA32">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采购时间</w:t>
            </w:r>
          </w:p>
        </w:tc>
        <w:tc>
          <w:tcPr>
            <w:tcW w:w="2074"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4EE8AAE8">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采购方式</w:t>
            </w:r>
          </w:p>
        </w:tc>
      </w:tr>
      <w:tr w14:paraId="478C3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2892">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7778">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体检中心设施设备采购项目采购成像仪等设备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B08">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153</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D501">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2023.9.21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1BA">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公开招标</w:t>
            </w:r>
          </w:p>
        </w:tc>
      </w:tr>
      <w:tr w14:paraId="22E2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2C33">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0FF">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体检中心设施设备采购项目采购胃肠镜等设备</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64FF">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399.8</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3892">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val="en-US" w:eastAsia="zh-CN"/>
              </w:rPr>
              <w:t>2023.9.21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50EF">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sz w:val="24"/>
                <w:szCs w:val="24"/>
                <w:u w:val="none"/>
                <w:lang w:eastAsia="zh-CN"/>
              </w:rPr>
              <w:t>公开招标</w:t>
            </w:r>
          </w:p>
        </w:tc>
      </w:tr>
      <w:tr w14:paraId="191BD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6ED3A">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82D0B">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体检中心采购超声检查仪项目采购超声检查仪</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1523">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559.96</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A545">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2023.11.21</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439D">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eastAsia="zh-CN"/>
              </w:rPr>
              <w:t>公开招标</w:t>
            </w:r>
          </w:p>
        </w:tc>
      </w:tr>
      <w:tr w14:paraId="6387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F85B">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0E38">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信息化能力提升建设项目</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7BE9">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740</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C96A">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2023.11.14</w:t>
            </w: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C6E3">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eastAsia="zh-CN"/>
              </w:rPr>
              <w:t>公开招标</w:t>
            </w:r>
          </w:p>
        </w:tc>
      </w:tr>
      <w:tr w14:paraId="3586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77CD">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2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5940">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6635">
            <w:pPr>
              <w:keepNext w:val="0"/>
              <w:keepLines w:val="0"/>
              <w:pageBreakBefore w:val="0"/>
              <w:widowControl/>
              <w:suppressLineNumbers w:val="0"/>
              <w:kinsoku/>
              <w:wordWrap/>
              <w:overflowPunct/>
              <w:topLinePunct w:val="0"/>
              <w:autoSpaceDE/>
              <w:autoSpaceDN/>
              <w:bidi/>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fldChar w:fldCharType="begin"/>
            </w:r>
            <w:r>
              <w:rPr>
                <w:rFonts w:hint="eastAsia" w:asciiTheme="minorEastAsia" w:hAnsiTheme="minorEastAsia" w:eastAsiaTheme="minorEastAsia" w:cstheme="minorEastAsia"/>
                <w:i w:val="0"/>
                <w:iCs w:val="0"/>
                <w:color w:val="auto"/>
                <w:sz w:val="24"/>
                <w:szCs w:val="24"/>
                <w:u w:val="none"/>
              </w:rPr>
              <w:instrText xml:space="preserve"> = sum(C2:C5) \* MERGEFORMAT </w:instrText>
            </w:r>
            <w:r>
              <w:rPr>
                <w:rFonts w:hint="eastAsia" w:asciiTheme="minorEastAsia" w:hAnsiTheme="minorEastAsia" w:eastAsiaTheme="minorEastAsia" w:cstheme="minorEastAsia"/>
                <w:i w:val="0"/>
                <w:iCs w:val="0"/>
                <w:color w:val="auto"/>
                <w:sz w:val="24"/>
                <w:szCs w:val="24"/>
                <w:u w:val="none"/>
              </w:rPr>
              <w:fldChar w:fldCharType="separate"/>
            </w:r>
            <w:r>
              <w:rPr>
                <w:rFonts w:hint="eastAsia" w:asciiTheme="minorEastAsia" w:hAnsiTheme="minorEastAsia" w:eastAsiaTheme="minorEastAsia" w:cstheme="minorEastAsia"/>
                <w:i w:val="0"/>
                <w:iCs w:val="0"/>
                <w:color w:val="auto"/>
                <w:sz w:val="24"/>
                <w:szCs w:val="24"/>
                <w:u w:val="none"/>
              </w:rPr>
              <w:t>1852.76</w:t>
            </w:r>
            <w:r>
              <w:rPr>
                <w:rFonts w:hint="eastAsia" w:asciiTheme="minorEastAsia" w:hAnsiTheme="minorEastAsia" w:eastAsiaTheme="minorEastAsia" w:cstheme="minorEastAsia"/>
                <w:i w:val="0"/>
                <w:iCs w:val="0"/>
                <w:color w:val="auto"/>
                <w:sz w:val="24"/>
                <w:szCs w:val="24"/>
                <w:u w:val="none"/>
              </w:rPr>
              <w:fldChar w:fldCharType="end"/>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33B6">
            <w:pPr>
              <w:keepNext w:val="0"/>
              <w:keepLines w:val="0"/>
              <w:pageBreakBefore w:val="0"/>
              <w:widowControl/>
              <w:kinsoku/>
              <w:wordWrap/>
              <w:overflowPunct/>
              <w:topLinePunct w:val="0"/>
              <w:autoSpaceDE/>
              <w:autoSpaceDN/>
              <w:bidi/>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24"/>
                <w:szCs w:val="24"/>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A3F">
            <w:pPr>
              <w:keepNext w:val="0"/>
              <w:keepLines w:val="0"/>
              <w:pageBreakBefore w:val="0"/>
              <w:widowControl/>
              <w:kinsoku/>
              <w:wordWrap/>
              <w:overflowPunct/>
              <w:topLinePunct w:val="0"/>
              <w:autoSpaceDE/>
              <w:autoSpaceDN/>
              <w:bidi/>
              <w:adjustRightInd/>
              <w:snapToGrid/>
              <w:spacing w:line="240" w:lineRule="atLeast"/>
              <w:ind w:firstLine="0" w:firstLineChars="0"/>
              <w:jc w:val="center"/>
              <w:rPr>
                <w:rFonts w:hint="eastAsia" w:asciiTheme="minorEastAsia" w:hAnsiTheme="minorEastAsia" w:eastAsiaTheme="minorEastAsia" w:cstheme="minorEastAsia"/>
                <w:i w:val="0"/>
                <w:iCs w:val="0"/>
                <w:color w:val="auto"/>
                <w:sz w:val="24"/>
                <w:szCs w:val="24"/>
                <w:u w:val="none"/>
              </w:rPr>
            </w:pPr>
          </w:p>
        </w:tc>
      </w:tr>
    </w:tbl>
    <w:p w14:paraId="286267F3">
      <w:pPr>
        <w:pStyle w:val="4"/>
        <w:bidi w:val="0"/>
        <w:rPr>
          <w:rFonts w:hint="eastAsia"/>
          <w:color w:val="auto"/>
          <w:lang w:val="en-US" w:eastAsia="zh-CN"/>
        </w:rPr>
      </w:pPr>
      <w:r>
        <w:rPr>
          <w:rFonts w:hint="eastAsia"/>
          <w:color w:val="auto"/>
          <w:lang w:val="en-US" w:eastAsia="zh-CN"/>
        </w:rPr>
        <w:t>3.项目组织管理</w:t>
      </w:r>
    </w:p>
    <w:p w14:paraId="2D7FB933">
      <w:pPr>
        <w:rPr>
          <w:rFonts w:hint="default"/>
          <w:color w:val="auto"/>
          <w:lang w:val="en-US" w:eastAsia="zh-CN"/>
        </w:rPr>
      </w:pPr>
      <w:r>
        <w:rPr>
          <w:rFonts w:hint="eastAsia"/>
          <w:color w:val="auto"/>
          <w:lang w:val="en-US" w:eastAsia="zh-CN"/>
        </w:rPr>
        <w:t>该项目由</w:t>
      </w:r>
      <w:r>
        <w:rPr>
          <w:rFonts w:hint="eastAsia" w:ascii="仿宋" w:hAnsi="仿宋" w:eastAsia="仿宋" w:cs="仿宋"/>
          <w:sz w:val="32"/>
          <w:szCs w:val="32"/>
        </w:rPr>
        <w:t>伊金霍洛旗蒙医综合医院</w:t>
      </w:r>
      <w:r>
        <w:rPr>
          <w:rFonts w:hint="eastAsia"/>
          <w:color w:val="auto"/>
          <w:lang w:val="en-US" w:eastAsia="zh-CN"/>
        </w:rPr>
        <w:t>具体负责实施。</w:t>
      </w:r>
    </w:p>
    <w:p w14:paraId="58947810">
      <w:pPr>
        <w:pStyle w:val="4"/>
        <w:bidi w:val="0"/>
        <w:rPr>
          <w:rFonts w:hint="eastAsia"/>
          <w:color w:val="auto"/>
          <w:lang w:val="en-US" w:eastAsia="zh-CN"/>
        </w:rPr>
      </w:pPr>
      <w:r>
        <w:rPr>
          <w:rFonts w:hint="eastAsia"/>
          <w:color w:val="auto"/>
          <w:lang w:val="en-US" w:eastAsia="zh-CN"/>
        </w:rPr>
        <w:t>4.资金投入及使用情况</w:t>
      </w:r>
    </w:p>
    <w:p w14:paraId="3F935AE9">
      <w:pPr>
        <w:bidi w:val="0"/>
        <w:rPr>
          <w:rFonts w:hint="default"/>
          <w:color w:val="auto"/>
          <w:highlight w:val="none"/>
          <w:lang w:val="en-US" w:eastAsia="zh-CN"/>
        </w:rPr>
      </w:pPr>
      <w:r>
        <w:rPr>
          <w:rFonts w:hint="eastAsia" w:ascii="仿宋" w:hAnsi="仿宋" w:eastAsia="仿宋" w:cs="仿宋"/>
          <w:sz w:val="32"/>
          <w:szCs w:val="32"/>
        </w:rPr>
        <w:t>伊金霍洛旗蒙医综合医院</w:t>
      </w:r>
      <w:r>
        <w:rPr>
          <w:rFonts w:hint="eastAsia"/>
          <w:color w:val="auto"/>
          <w:highlight w:val="none"/>
          <w:lang w:val="en-US" w:eastAsia="zh-CN"/>
        </w:rPr>
        <w:t>于2023年7月19日提出申请采购资金1999.9万元，获得批复资金1000万元，截至2023年12月申请资金已全部到账，资金到位率100%，截至2023年12月该项目资金已全部支付，资金支付率100%。具体详见资金支出明细表。</w:t>
      </w:r>
    </w:p>
    <w:p w14:paraId="1CC11FFB">
      <w:pPr>
        <w:pStyle w:val="5"/>
        <w:bidi w:val="0"/>
        <w:rPr>
          <w:rFonts w:hint="eastAsia"/>
          <w:color w:val="auto"/>
          <w:highlight w:val="none"/>
          <w:lang w:val="en-US" w:eastAsia="zh-CN"/>
        </w:rPr>
      </w:pPr>
      <w:r>
        <w:rPr>
          <w:rFonts w:hint="eastAsia"/>
          <w:color w:val="auto"/>
          <w:highlight w:val="none"/>
          <w:lang w:val="en-US" w:eastAsia="zh-CN"/>
        </w:rPr>
        <w:t>表2：</w:t>
      </w:r>
      <w:r>
        <w:rPr>
          <w:rFonts w:hint="eastAsia"/>
          <w:color w:val="auto"/>
          <w:highlight w:val="none"/>
          <w:lang w:eastAsia="zh-CN"/>
        </w:rPr>
        <w:t>家具用具等设备采购</w:t>
      </w:r>
      <w:r>
        <w:rPr>
          <w:rFonts w:hint="eastAsia"/>
          <w:color w:val="auto"/>
          <w:highlight w:val="none"/>
          <w:lang w:val="en-US" w:eastAsia="zh-CN"/>
        </w:rPr>
        <w:t>付款明细表（万元）</w:t>
      </w:r>
    </w:p>
    <w:tbl>
      <w:tblPr>
        <w:tblStyle w:val="12"/>
        <w:tblW w:w="96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725"/>
        <w:gridCol w:w="1590"/>
        <w:gridCol w:w="1295"/>
        <w:gridCol w:w="2145"/>
        <w:gridCol w:w="1191"/>
        <w:gridCol w:w="1216"/>
      </w:tblGrid>
      <w:tr w14:paraId="685A1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blHeader/>
          <w:jc w:val="center"/>
        </w:trPr>
        <w:tc>
          <w:tcPr>
            <w:tcW w:w="5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B681D2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F6F56D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采购内容</w:t>
            </w:r>
          </w:p>
        </w:tc>
        <w:tc>
          <w:tcPr>
            <w:tcW w:w="159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591327D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中标单位</w:t>
            </w:r>
          </w:p>
        </w:tc>
        <w:tc>
          <w:tcPr>
            <w:tcW w:w="129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EDBE33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合同金额</w:t>
            </w:r>
          </w:p>
        </w:tc>
        <w:tc>
          <w:tcPr>
            <w:tcW w:w="2145"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2721BAD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付款时间</w:t>
            </w:r>
          </w:p>
        </w:tc>
        <w:tc>
          <w:tcPr>
            <w:tcW w:w="1191"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0D8393F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付款金额</w:t>
            </w:r>
          </w:p>
        </w:tc>
        <w:tc>
          <w:tcPr>
            <w:tcW w:w="121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vAlign w:val="center"/>
          </w:tcPr>
          <w:p w14:paraId="15A568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b w:val="0"/>
                <w:bCs w:val="0"/>
                <w:i w:val="0"/>
                <w:iCs w:val="0"/>
                <w:color w:val="auto"/>
                <w:sz w:val="24"/>
                <w:szCs w:val="24"/>
                <w:u w:val="none"/>
              </w:rPr>
            </w:pPr>
            <w:r>
              <w:rPr>
                <w:rFonts w:hint="eastAsia" w:asciiTheme="minorEastAsia" w:hAnsiTheme="minorEastAsia" w:eastAsiaTheme="minorEastAsia" w:cstheme="minorEastAsia"/>
                <w:b w:val="0"/>
                <w:bCs w:val="0"/>
                <w:i w:val="0"/>
                <w:iCs w:val="0"/>
                <w:color w:val="auto"/>
                <w:kern w:val="0"/>
                <w:sz w:val="24"/>
                <w:szCs w:val="24"/>
                <w:u w:val="none"/>
                <w:lang w:val="en-US" w:eastAsia="zh-CN" w:bidi="ar"/>
              </w:rPr>
              <w:t>未付金额</w:t>
            </w:r>
          </w:p>
        </w:tc>
      </w:tr>
      <w:tr w14:paraId="628B8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5" w:type="dxa"/>
            <w:tcBorders>
              <w:top w:val="single" w:color="000000" w:sz="4" w:space="0"/>
              <w:left w:val="single" w:color="000000" w:sz="4" w:space="0"/>
              <w:bottom w:val="nil"/>
              <w:right w:val="single" w:color="000000" w:sz="4" w:space="0"/>
            </w:tcBorders>
            <w:shd w:val="clear" w:color="auto" w:fill="auto"/>
            <w:vAlign w:val="center"/>
          </w:tcPr>
          <w:p w14:paraId="5E1859A0">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725" w:type="dxa"/>
            <w:tcBorders>
              <w:top w:val="single" w:color="000000" w:sz="4" w:space="0"/>
              <w:left w:val="single" w:color="000000" w:sz="4" w:space="0"/>
              <w:bottom w:val="nil"/>
              <w:right w:val="single" w:color="000000" w:sz="4" w:space="0"/>
            </w:tcBorders>
            <w:shd w:val="clear" w:color="auto" w:fill="auto"/>
            <w:vAlign w:val="center"/>
          </w:tcPr>
          <w:p w14:paraId="02F45AB4">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体检中心设施设备采购项目采购成像仪等设备</w:t>
            </w:r>
          </w:p>
        </w:tc>
        <w:tc>
          <w:tcPr>
            <w:tcW w:w="1590" w:type="dxa"/>
            <w:tcBorders>
              <w:top w:val="single" w:color="000000" w:sz="4" w:space="0"/>
              <w:left w:val="single" w:color="000000" w:sz="4" w:space="0"/>
              <w:bottom w:val="nil"/>
              <w:right w:val="single" w:color="000000" w:sz="4" w:space="0"/>
            </w:tcBorders>
            <w:shd w:val="clear" w:color="auto" w:fill="auto"/>
            <w:vAlign w:val="center"/>
          </w:tcPr>
          <w:p w14:paraId="2F35E32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内蒙古亿美康管理有限公司</w:t>
            </w:r>
          </w:p>
        </w:tc>
        <w:tc>
          <w:tcPr>
            <w:tcW w:w="1295" w:type="dxa"/>
            <w:tcBorders>
              <w:top w:val="single" w:color="000000" w:sz="4" w:space="0"/>
              <w:left w:val="single" w:color="000000" w:sz="4" w:space="0"/>
              <w:bottom w:val="nil"/>
              <w:right w:val="single" w:color="000000" w:sz="4" w:space="0"/>
            </w:tcBorders>
            <w:shd w:val="clear" w:color="auto" w:fill="auto"/>
            <w:vAlign w:val="center"/>
          </w:tcPr>
          <w:p w14:paraId="25C2688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153</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2A9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2023年12月15日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1C7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107.1</w:t>
            </w:r>
          </w:p>
        </w:tc>
        <w:tc>
          <w:tcPr>
            <w:tcW w:w="1216" w:type="dxa"/>
            <w:tcBorders>
              <w:top w:val="single" w:color="000000" w:sz="4" w:space="0"/>
              <w:left w:val="single" w:color="000000" w:sz="4" w:space="0"/>
              <w:bottom w:val="nil"/>
              <w:right w:val="single" w:color="000000" w:sz="4" w:space="0"/>
            </w:tcBorders>
            <w:shd w:val="clear" w:color="auto" w:fill="auto"/>
            <w:vAlign w:val="center"/>
          </w:tcPr>
          <w:p w14:paraId="72F7CCD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45.9</w:t>
            </w:r>
          </w:p>
        </w:tc>
      </w:tr>
      <w:tr w14:paraId="4159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52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02C5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体检中心设施设备采购项目采购胃肠镜等设备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F31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北京合众汇美国际贸易有限公司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F34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399.8</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9703">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2023年12月15日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F13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279.828</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182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119.972</w:t>
            </w:r>
          </w:p>
        </w:tc>
      </w:tr>
      <w:tr w14:paraId="38F6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682B">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69F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体检中心采购超声检查仪项目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F8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内蒙古众汇鑫医疗器械有限公司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9B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559.96</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4EE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lang w:val="en-US" w:eastAsia="zh-CN"/>
              </w:rPr>
              <w:t>2023年12月15日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AF5D">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391.972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403F">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167.988</w:t>
            </w:r>
          </w:p>
        </w:tc>
      </w:tr>
      <w:tr w14:paraId="64D1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59A6">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2E4A">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信息化能力提升建设项目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2341">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r>
              <w:rPr>
                <w:rFonts w:hint="eastAsia" w:asciiTheme="minorEastAsia" w:hAnsiTheme="minorEastAsia" w:eastAsiaTheme="minorEastAsia" w:cstheme="minorEastAsia"/>
                <w:i w:val="0"/>
                <w:iCs w:val="0"/>
                <w:color w:val="auto"/>
                <w:sz w:val="24"/>
                <w:szCs w:val="24"/>
                <w:u w:val="none"/>
                <w:lang w:eastAsia="zh-CN"/>
              </w:rPr>
              <w:t>内蒙古云雀健康科技有限公司</w:t>
            </w: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B66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740</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0CE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2023年12月14日</w:t>
            </w: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77A5">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221.1</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032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518.9</w:t>
            </w:r>
          </w:p>
        </w:tc>
      </w:tr>
      <w:tr w14:paraId="5A202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957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2FE">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5539">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eastAsia="zh-CN"/>
              </w:rPr>
            </w:pPr>
          </w:p>
        </w:tc>
        <w:tc>
          <w:tcPr>
            <w:tcW w:w="12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CAB7">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fldChar w:fldCharType="begin"/>
            </w:r>
            <w:r>
              <w:rPr>
                <w:rFonts w:hint="eastAsia" w:asciiTheme="minorEastAsia" w:hAnsiTheme="minorEastAsia" w:eastAsiaTheme="minorEastAsia" w:cstheme="minorEastAsia"/>
                <w:i w:val="0"/>
                <w:iCs w:val="0"/>
                <w:color w:val="auto"/>
                <w:sz w:val="24"/>
                <w:szCs w:val="24"/>
                <w:u w:val="none"/>
                <w:lang w:val="en-US" w:eastAsia="zh-CN"/>
              </w:rPr>
              <w:instrText xml:space="preserve"> = sum(D2:D5) \* MERGEFORMAT </w:instrText>
            </w:r>
            <w:r>
              <w:rPr>
                <w:rFonts w:hint="eastAsia" w:asciiTheme="minorEastAsia" w:hAnsiTheme="minorEastAsia" w:eastAsiaTheme="minorEastAsia" w:cstheme="minorEastAsia"/>
                <w:i w:val="0"/>
                <w:iCs w:val="0"/>
                <w:color w:val="auto"/>
                <w:sz w:val="24"/>
                <w:szCs w:val="24"/>
                <w:u w:val="none"/>
                <w:lang w:val="en-US" w:eastAsia="zh-CN"/>
              </w:rPr>
              <w:fldChar w:fldCharType="separate"/>
            </w:r>
            <w:r>
              <w:rPr>
                <w:rFonts w:hint="eastAsia" w:asciiTheme="minorEastAsia" w:hAnsiTheme="minorEastAsia" w:eastAsiaTheme="minorEastAsia" w:cstheme="minorEastAsia"/>
                <w:i w:val="0"/>
                <w:iCs w:val="0"/>
                <w:color w:val="auto"/>
                <w:sz w:val="24"/>
                <w:szCs w:val="24"/>
                <w:u w:val="none"/>
                <w:lang w:val="en-US" w:eastAsia="zh-CN"/>
              </w:rPr>
              <w:t>1852.76</w:t>
            </w:r>
            <w:r>
              <w:rPr>
                <w:rFonts w:hint="eastAsia" w:asciiTheme="minorEastAsia" w:hAnsiTheme="minorEastAsia" w:eastAsiaTheme="minorEastAsia" w:cstheme="minorEastAsia"/>
                <w:i w:val="0"/>
                <w:iCs w:val="0"/>
                <w:color w:val="auto"/>
                <w:sz w:val="24"/>
                <w:szCs w:val="24"/>
                <w:u w:val="none"/>
                <w:lang w:val="en-US" w:eastAsia="zh-CN"/>
              </w:rPr>
              <w:fldChar w:fldCharType="end"/>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152">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right"/>
              <w:textAlignment w:val="center"/>
              <w:rPr>
                <w:rFonts w:hint="eastAsia" w:asciiTheme="minorEastAsia" w:hAnsiTheme="minorEastAsia" w:eastAsiaTheme="minorEastAsia" w:cstheme="minorEastAsia"/>
                <w:i w:val="0"/>
                <w:iCs w:val="0"/>
                <w:color w:val="auto"/>
                <w:sz w:val="24"/>
                <w:szCs w:val="24"/>
                <w:u w:val="none"/>
                <w:lang w:val="en-US" w:eastAsia="zh-CN"/>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26C8">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lang w:val="en-US" w:eastAsia="zh-CN"/>
              </w:rPr>
            </w:pPr>
            <w:r>
              <w:rPr>
                <w:rFonts w:hint="eastAsia" w:asciiTheme="minorEastAsia" w:hAnsiTheme="minorEastAsia" w:eastAsiaTheme="minorEastAsia" w:cstheme="minorEastAsia"/>
                <w:i w:val="0"/>
                <w:iCs w:val="0"/>
                <w:color w:val="auto"/>
                <w:sz w:val="24"/>
                <w:szCs w:val="24"/>
                <w:u w:val="none"/>
                <w:lang w:val="en-US" w:eastAsia="zh-CN"/>
              </w:rPr>
              <w:t>1000</w:t>
            </w:r>
            <w:r>
              <w:rPr>
                <w:rFonts w:hint="eastAsia" w:asciiTheme="minorEastAsia" w:hAnsiTheme="minorEastAsia" w:eastAsiaTheme="minorEastAsia" w:cstheme="minorEastAsia"/>
                <w:i w:val="0"/>
                <w:iCs w:val="0"/>
                <w:color w:val="auto"/>
                <w:sz w:val="24"/>
                <w:szCs w:val="24"/>
                <w:u w:val="none"/>
                <w:lang w:val="en-US" w:eastAsia="zh-CN"/>
              </w:rPr>
              <w:fldChar w:fldCharType="begin"/>
            </w:r>
            <w:r>
              <w:rPr>
                <w:rFonts w:hint="eastAsia" w:asciiTheme="minorEastAsia" w:hAnsiTheme="minorEastAsia" w:eastAsiaTheme="minorEastAsia" w:cstheme="minorEastAsia"/>
                <w:i w:val="0"/>
                <w:iCs w:val="0"/>
                <w:color w:val="auto"/>
                <w:sz w:val="24"/>
                <w:szCs w:val="24"/>
                <w:u w:val="none"/>
                <w:lang w:val="en-US" w:eastAsia="zh-CN"/>
              </w:rPr>
              <w:instrText xml:space="preserve"> = sum(G2:G5) \* MERGEFORMAT </w:instrText>
            </w:r>
            <w:r>
              <w:rPr>
                <w:rFonts w:hint="eastAsia" w:asciiTheme="minorEastAsia" w:hAnsiTheme="minorEastAsia" w:eastAsiaTheme="minorEastAsia" w:cstheme="minorEastAsia"/>
                <w:i w:val="0"/>
                <w:iCs w:val="0"/>
                <w:color w:val="auto"/>
                <w:sz w:val="24"/>
                <w:szCs w:val="24"/>
                <w:u w:val="none"/>
                <w:lang w:val="en-US" w:eastAsia="zh-CN"/>
              </w:rPr>
              <w:fldChar w:fldCharType="separate"/>
            </w:r>
            <w:r>
              <w:rPr>
                <w:rFonts w:hint="eastAsia" w:asciiTheme="minorEastAsia" w:hAnsiTheme="minorEastAsia" w:eastAsiaTheme="minorEastAsia" w:cstheme="minorEastAsia"/>
                <w:i w:val="0"/>
                <w:iCs w:val="0"/>
                <w:color w:val="auto"/>
                <w:sz w:val="24"/>
                <w:szCs w:val="24"/>
                <w:u w:val="none"/>
                <w:lang w:val="en-US" w:eastAsia="zh-CN"/>
              </w:rPr>
              <w:fldChar w:fldCharType="end"/>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D37C">
            <w:pPr>
              <w:keepNext w:val="0"/>
              <w:keepLines w:val="0"/>
              <w:pageBreakBefore w:val="0"/>
              <w:widowControl/>
              <w:suppressLineNumbers w:val="0"/>
              <w:kinsoku/>
              <w:wordWrap/>
              <w:overflowPunct/>
              <w:topLinePunct w:val="0"/>
              <w:autoSpaceDE/>
              <w:autoSpaceDN/>
              <w:bidi w:val="0"/>
              <w:adjustRightInd/>
              <w:snapToGrid/>
              <w:spacing w:line="240" w:lineRule="atLeast"/>
              <w:ind w:firstLine="0" w:firstLineChars="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sz w:val="24"/>
                <w:szCs w:val="24"/>
                <w:u w:val="none"/>
              </w:rPr>
              <w:fldChar w:fldCharType="begin"/>
            </w:r>
            <w:r>
              <w:rPr>
                <w:rFonts w:hint="eastAsia" w:asciiTheme="minorEastAsia" w:hAnsiTheme="minorEastAsia" w:eastAsiaTheme="minorEastAsia" w:cstheme="minorEastAsia"/>
                <w:i w:val="0"/>
                <w:iCs w:val="0"/>
                <w:color w:val="auto"/>
                <w:sz w:val="24"/>
                <w:szCs w:val="24"/>
                <w:u w:val="none"/>
              </w:rPr>
              <w:instrText xml:space="preserve"> = sum(G2:G5) \* MERGEFORMAT </w:instrText>
            </w:r>
            <w:r>
              <w:rPr>
                <w:rFonts w:hint="eastAsia" w:asciiTheme="minorEastAsia" w:hAnsiTheme="minorEastAsia" w:eastAsiaTheme="minorEastAsia" w:cstheme="minorEastAsia"/>
                <w:i w:val="0"/>
                <w:iCs w:val="0"/>
                <w:color w:val="auto"/>
                <w:sz w:val="24"/>
                <w:szCs w:val="24"/>
                <w:u w:val="none"/>
              </w:rPr>
              <w:fldChar w:fldCharType="separate"/>
            </w:r>
            <w:r>
              <w:rPr>
                <w:rFonts w:hint="eastAsia" w:asciiTheme="minorEastAsia" w:hAnsiTheme="minorEastAsia" w:eastAsiaTheme="minorEastAsia" w:cstheme="minorEastAsia"/>
                <w:i w:val="0"/>
                <w:iCs w:val="0"/>
                <w:color w:val="auto"/>
                <w:sz w:val="24"/>
                <w:szCs w:val="24"/>
                <w:u w:val="none"/>
              </w:rPr>
              <w:t>852.76</w:t>
            </w:r>
            <w:r>
              <w:rPr>
                <w:rFonts w:hint="eastAsia" w:asciiTheme="minorEastAsia" w:hAnsiTheme="minorEastAsia" w:eastAsiaTheme="minorEastAsia" w:cstheme="minorEastAsia"/>
                <w:i w:val="0"/>
                <w:iCs w:val="0"/>
                <w:color w:val="auto"/>
                <w:sz w:val="24"/>
                <w:szCs w:val="24"/>
                <w:u w:val="none"/>
              </w:rPr>
              <w:fldChar w:fldCharType="end"/>
            </w:r>
          </w:p>
        </w:tc>
      </w:tr>
    </w:tbl>
    <w:p w14:paraId="6B36E606">
      <w:pPr>
        <w:bidi w:val="0"/>
        <w:rPr>
          <w:rFonts w:hint="eastAsia"/>
          <w:lang w:val="en-US" w:eastAsia="zh-CN"/>
        </w:rPr>
      </w:pPr>
      <w:r>
        <w:rPr>
          <w:rFonts w:hint="eastAsia"/>
          <w:lang w:val="en-US" w:eastAsia="zh-CN"/>
        </w:rPr>
        <w:t>注：本项目共申请旗级资金1000万元，剩余852.76万元由伊</w:t>
      </w:r>
      <w:r>
        <w:rPr>
          <w:rFonts w:hint="eastAsia"/>
        </w:rPr>
        <w:t>金霍洛旗蒙医综合医院</w:t>
      </w:r>
      <w:r>
        <w:rPr>
          <w:rFonts w:hint="eastAsia"/>
          <w:lang w:eastAsia="zh-CN"/>
        </w:rPr>
        <w:t>以自有资金支付。</w:t>
      </w:r>
    </w:p>
    <w:p w14:paraId="6CB6C0F4">
      <w:pPr>
        <w:pStyle w:val="3"/>
        <w:bidi w:val="0"/>
        <w:rPr>
          <w:rFonts w:hint="eastAsia"/>
          <w:color w:val="auto"/>
        </w:rPr>
      </w:pPr>
      <w:bookmarkStart w:id="6" w:name="_Toc4472"/>
      <w:bookmarkStart w:id="7" w:name="_Toc20811"/>
      <w:bookmarkStart w:id="8" w:name="_Toc3289"/>
      <w:r>
        <w:rPr>
          <w:rFonts w:hint="eastAsia"/>
          <w:color w:val="auto"/>
        </w:rPr>
        <w:t>（二）项目绩效目标</w:t>
      </w:r>
      <w:bookmarkEnd w:id="6"/>
      <w:bookmarkEnd w:id="7"/>
      <w:bookmarkEnd w:id="8"/>
    </w:p>
    <w:p w14:paraId="7853E93E">
      <w:pPr>
        <w:pStyle w:val="4"/>
        <w:bidi w:val="0"/>
        <w:rPr>
          <w:rFonts w:hint="eastAsia"/>
          <w:color w:val="auto"/>
          <w:lang w:val="en-US" w:eastAsia="zh-CN"/>
        </w:rPr>
      </w:pPr>
      <w:r>
        <w:rPr>
          <w:rFonts w:hint="eastAsia"/>
          <w:color w:val="auto"/>
          <w:lang w:val="en-US" w:eastAsia="zh-CN"/>
        </w:rPr>
        <w:t>1.项目年度绩效目标</w:t>
      </w:r>
    </w:p>
    <w:p w14:paraId="3AA9B012">
      <w:pPr>
        <w:bidi w:val="0"/>
        <w:rPr>
          <w:rFonts w:hint="eastAsia"/>
          <w:color w:val="auto"/>
          <w:lang w:val="en-US" w:eastAsia="zh-CN"/>
        </w:rPr>
      </w:pPr>
      <w:r>
        <w:rPr>
          <w:rFonts w:hint="eastAsia"/>
          <w:color w:val="auto"/>
          <w:lang w:val="en-US" w:eastAsia="zh-CN"/>
        </w:rPr>
        <w:t>该项目年度绩效目标应为：通过采购设备及信息化建设，建立全旗规范化体检中心，极大地方便了本旗农牧民医疗体检服务。</w:t>
      </w:r>
    </w:p>
    <w:p w14:paraId="56C981B0">
      <w:pPr>
        <w:pStyle w:val="4"/>
        <w:bidi w:val="0"/>
        <w:rPr>
          <w:rFonts w:hint="eastAsia"/>
          <w:color w:val="auto"/>
          <w:highlight w:val="none"/>
          <w:lang w:val="en-US" w:eastAsia="zh-CN"/>
        </w:rPr>
      </w:pPr>
      <w:r>
        <w:rPr>
          <w:rFonts w:hint="eastAsia"/>
          <w:color w:val="auto"/>
          <w:highlight w:val="none"/>
          <w:lang w:val="en-US" w:eastAsia="zh-CN"/>
        </w:rPr>
        <w:t>2.项目绩效管理情况</w:t>
      </w:r>
    </w:p>
    <w:p w14:paraId="6272EEAF">
      <w:pPr>
        <w:bidi w:val="0"/>
        <w:rPr>
          <w:rFonts w:hint="eastAsia"/>
          <w:color w:val="auto"/>
          <w:lang w:val="en-US" w:eastAsia="zh-CN"/>
        </w:rPr>
      </w:pPr>
      <w:r>
        <w:rPr>
          <w:rFonts w:hint="eastAsia"/>
          <w:color w:val="auto"/>
          <w:lang w:val="en-US" w:eastAsia="zh-CN"/>
        </w:rPr>
        <w:t>根据</w:t>
      </w:r>
      <w:r>
        <w:rPr>
          <w:rFonts w:hint="eastAsia" w:ascii="Times New Roman" w:hAnsi="Times New Roman"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伊金霍洛旗人民政府办公室关于印发全面实施预算绩效管理意见的通知</w:t>
      </w:r>
      <w:r>
        <w:rPr>
          <w:rFonts w:hint="eastAsia" w:ascii="Times New Roman" w:hAnsi="Times New Roman" w:cs="Times New Roman"/>
          <w:color w:val="auto"/>
          <w:kern w:val="2"/>
          <w:szCs w:val="24"/>
          <w:lang w:val="en-US" w:eastAsia="zh-CN" w:bidi="ar-SA"/>
        </w:rPr>
        <w:t>》</w:t>
      </w:r>
      <w:r>
        <w:rPr>
          <w:rFonts w:hint="eastAsia" w:cs="Times New Roman"/>
          <w:color w:val="auto"/>
          <w:kern w:val="2"/>
          <w:szCs w:val="24"/>
          <w:lang w:val="en-US" w:eastAsia="zh-CN" w:bidi="ar-SA"/>
        </w:rPr>
        <w:t>（</w:t>
      </w:r>
      <w:r>
        <w:rPr>
          <w:rFonts w:hint="eastAsia" w:ascii="Times New Roman" w:hAnsi="Times New Roman" w:eastAsia="仿宋_GB2312" w:cs="Times New Roman"/>
          <w:color w:val="auto"/>
          <w:kern w:val="2"/>
          <w:szCs w:val="24"/>
          <w:lang w:val="en-US" w:eastAsia="zh-CN" w:bidi="ar-SA"/>
        </w:rPr>
        <w:t>伊政办发〔202</w:t>
      </w:r>
      <w:r>
        <w:rPr>
          <w:rFonts w:hint="eastAsia" w:ascii="Times New Roman" w:hAnsi="Times New Roman" w:cs="Times New Roman"/>
          <w:color w:val="auto"/>
          <w:kern w:val="2"/>
          <w:szCs w:val="24"/>
          <w:lang w:val="en-US" w:eastAsia="zh-CN" w:bidi="ar-SA"/>
        </w:rPr>
        <w:t>1</w:t>
      </w:r>
      <w:r>
        <w:rPr>
          <w:rFonts w:hint="eastAsia" w:ascii="Times New Roman" w:hAnsi="Times New Roman" w:eastAsia="仿宋_GB2312" w:cs="Times New Roman"/>
          <w:color w:val="auto"/>
          <w:kern w:val="2"/>
          <w:szCs w:val="24"/>
          <w:lang w:val="en-US" w:eastAsia="zh-CN" w:bidi="ar-SA"/>
        </w:rPr>
        <w:t>〕59号</w:t>
      </w:r>
      <w:r>
        <w:rPr>
          <w:rFonts w:hint="eastAsia" w:cs="Times New Roman"/>
          <w:color w:val="auto"/>
          <w:kern w:val="2"/>
          <w:szCs w:val="24"/>
          <w:lang w:val="en-US" w:eastAsia="zh-CN" w:bidi="ar-SA"/>
        </w:rPr>
        <w:t>）文件精神要求，</w:t>
      </w:r>
      <w:r>
        <w:rPr>
          <w:rFonts w:hint="eastAsia"/>
          <w:color w:val="auto"/>
          <w:lang w:val="en-US" w:eastAsia="zh-CN"/>
        </w:rPr>
        <w:t>伊</w:t>
      </w:r>
      <w:r>
        <w:rPr>
          <w:rFonts w:hint="eastAsia" w:ascii="仿宋" w:hAnsi="仿宋" w:eastAsia="仿宋" w:cs="仿宋"/>
          <w:sz w:val="32"/>
          <w:szCs w:val="32"/>
        </w:rPr>
        <w:t>金霍洛旗蒙医综合医院</w:t>
      </w:r>
      <w:r>
        <w:rPr>
          <w:rFonts w:hint="eastAsia" w:cs="Times New Roman"/>
          <w:color w:val="auto"/>
          <w:kern w:val="2"/>
          <w:szCs w:val="24"/>
          <w:lang w:val="en-US" w:eastAsia="zh-CN" w:bidi="ar-SA"/>
        </w:rPr>
        <w:t>作为</w:t>
      </w:r>
      <w:r>
        <w:rPr>
          <w:rFonts w:hint="eastAsia"/>
          <w:color w:val="auto"/>
          <w:lang w:val="en-US" w:eastAsia="zh-CN"/>
        </w:rPr>
        <w:t>该项目的具体实施单位，应该建立绩效目标运行监控管理机制，对绩效目标实现程度和预算执行进度实行“双监控”，定期采集绩效运行信息并汇总分析，跟踪绩效目标，及时掌握绩效目标完成情况、项目实施进程和支出执行进度，确保目标顺利实现。当绩效运行与预期目标发生偏离时，应及时采取措施纠正，预期无绩效、低绩效的项目停止执行。对存在严重问题的政策、项目暂缓或停止预算拨款，督促及时整改落实；确因政策变化、突发情况等因素影响绩效目标实现，需调整绩效目标的，要根据绩效目标管理要求和审核流程，随同预算一并调整。提高资金使用效益，及时开展财政预算支出项目绩效自评工作。</w:t>
      </w:r>
    </w:p>
    <w:p w14:paraId="123AF9B1">
      <w:pPr>
        <w:bidi w:val="0"/>
        <w:rPr>
          <w:rFonts w:hint="default"/>
          <w:color w:val="auto"/>
          <w:lang w:val="en-US" w:eastAsia="zh-CN"/>
        </w:rPr>
      </w:pPr>
      <w:r>
        <w:rPr>
          <w:rFonts w:hint="eastAsia" w:ascii="仿宋" w:hAnsi="仿宋" w:eastAsia="仿宋" w:cs="仿宋"/>
          <w:sz w:val="32"/>
          <w:szCs w:val="32"/>
        </w:rPr>
        <w:t>伊金霍洛旗蒙医综合医院</w:t>
      </w:r>
      <w:r>
        <w:rPr>
          <w:rFonts w:hint="eastAsia"/>
          <w:color w:val="auto"/>
          <w:lang w:val="en-US" w:eastAsia="zh-CN"/>
        </w:rPr>
        <w:t>对该项目实施了绩效目标申报及绩效自评工作，但存在绩效目标设定不明确及自评报告内容流于形式的问题。</w:t>
      </w:r>
    </w:p>
    <w:p w14:paraId="5D48D522">
      <w:pPr>
        <w:pStyle w:val="2"/>
        <w:bidi w:val="0"/>
        <w:rPr>
          <w:rFonts w:hint="eastAsia"/>
          <w:color w:val="auto"/>
        </w:rPr>
      </w:pPr>
      <w:bookmarkStart w:id="9" w:name="_Toc1226"/>
      <w:bookmarkStart w:id="10" w:name="_Toc18683"/>
      <w:bookmarkStart w:id="11" w:name="_Toc21978"/>
      <w:r>
        <w:rPr>
          <w:rFonts w:hint="eastAsia"/>
          <w:color w:val="auto"/>
        </w:rPr>
        <w:t>二、</w:t>
      </w:r>
      <w:bookmarkEnd w:id="9"/>
      <w:bookmarkEnd w:id="10"/>
      <w:bookmarkEnd w:id="11"/>
      <w:bookmarkStart w:id="12" w:name="_Toc28583"/>
      <w:bookmarkStart w:id="13" w:name="_Toc5793"/>
      <w:bookmarkStart w:id="14" w:name="_Toc3955"/>
      <w:r>
        <w:rPr>
          <w:rFonts w:hint="eastAsia"/>
          <w:color w:val="auto"/>
        </w:rPr>
        <w:t>综合评价分析情况及评价结论</w:t>
      </w:r>
      <w:bookmarkEnd w:id="12"/>
      <w:bookmarkEnd w:id="13"/>
      <w:bookmarkEnd w:id="14"/>
    </w:p>
    <w:p w14:paraId="18E50D76">
      <w:pPr>
        <w:bidi w:val="0"/>
        <w:rPr>
          <w:rFonts w:hint="eastAsia"/>
          <w:color w:val="auto"/>
          <w:highlight w:val="none"/>
          <w:lang w:val="en-US" w:eastAsia="zh-CN"/>
        </w:rPr>
      </w:pPr>
      <w:r>
        <w:rPr>
          <w:rFonts w:hint="eastAsia"/>
          <w:color w:val="auto"/>
          <w:highlight w:val="none"/>
          <w:lang w:val="en-US" w:eastAsia="zh-CN"/>
        </w:rPr>
        <w:t>评价认为该项目年度绩效目标基本实现，按照年初制定的设备采购计划基本完成，较好的建立了</w:t>
      </w:r>
      <w:r>
        <w:rPr>
          <w:rFonts w:hint="eastAsia"/>
          <w:lang w:val="en-US" w:eastAsia="zh-CN"/>
        </w:rPr>
        <w:t>全旗规范化和科学管理的体检中心，使得本旗职工和广大居民不需出旗就能享受更好的医疗服务，方便实现本旗职工和农牧民体检就医需求。</w:t>
      </w:r>
    </w:p>
    <w:p w14:paraId="6F955F11">
      <w:pPr>
        <w:rPr>
          <w:rFonts w:hint="eastAsia"/>
          <w:color w:val="auto"/>
          <w:highlight w:val="none"/>
          <w:lang w:val="en-US" w:eastAsia="zh-CN"/>
        </w:rPr>
      </w:pPr>
      <w:r>
        <w:rPr>
          <w:rFonts w:hint="eastAsia"/>
          <w:color w:val="auto"/>
          <w:lang w:val="en-US" w:eastAsia="zh-CN"/>
        </w:rPr>
        <w:t>但该项目存在绩效目标设定不合理、绩效管理较差、项目产出验收未达到预期目标等情况。该项目综合评价得分84分，评定级别为良。</w:t>
      </w:r>
      <w:bookmarkStart w:id="15" w:name="_Toc13595"/>
    </w:p>
    <w:p w14:paraId="1A57059D">
      <w:pPr>
        <w:pStyle w:val="3"/>
        <w:bidi w:val="0"/>
        <w:rPr>
          <w:rFonts w:hint="eastAsia" w:eastAsia="仿宋_GB2312"/>
          <w:lang w:eastAsia="zh-CN"/>
        </w:rPr>
      </w:pPr>
      <w:bookmarkStart w:id="16" w:name="_Toc19699"/>
      <w:bookmarkStart w:id="17" w:name="_Toc22875"/>
      <w:r>
        <w:rPr>
          <w:rFonts w:hint="eastAsia"/>
          <w:lang w:val="en-US" w:eastAsia="zh-CN"/>
        </w:rPr>
        <w:t>三</w:t>
      </w:r>
      <w:r>
        <w:rPr>
          <w:rFonts w:hint="eastAsia"/>
        </w:rPr>
        <w:t>、存在的问题及</w:t>
      </w:r>
      <w:bookmarkEnd w:id="15"/>
      <w:bookmarkEnd w:id="16"/>
      <w:bookmarkEnd w:id="17"/>
      <w:r>
        <w:rPr>
          <w:rFonts w:hint="eastAsia"/>
          <w:lang w:val="en-US" w:eastAsia="zh-CN"/>
        </w:rPr>
        <w:t>建议</w:t>
      </w:r>
    </w:p>
    <w:p w14:paraId="2505D362">
      <w:pPr>
        <w:pStyle w:val="4"/>
        <w:bidi w:val="0"/>
        <w:rPr>
          <w:rFonts w:hint="default"/>
          <w:lang w:val="en-US" w:eastAsia="zh-CN"/>
        </w:rPr>
      </w:pPr>
      <w:r>
        <w:rPr>
          <w:rFonts w:hint="eastAsia"/>
          <w:lang w:val="en-US" w:eastAsia="zh-CN"/>
        </w:rPr>
        <w:t>1.绩效管理流于形式</w:t>
      </w:r>
    </w:p>
    <w:p w14:paraId="3EC031D3">
      <w:pPr>
        <w:rPr>
          <w:rFonts w:hint="eastAsia"/>
          <w:color w:val="auto"/>
          <w:lang w:val="en-US" w:eastAsia="zh-CN"/>
        </w:rPr>
      </w:pPr>
      <w:r>
        <w:rPr>
          <w:rFonts w:hint="eastAsia"/>
          <w:color w:val="auto"/>
          <w:lang w:val="en-US" w:eastAsia="zh-CN"/>
        </w:rPr>
        <w:t>绩效管理工作中存在绩效目标设定不明确、绩效自评流于形式不能真实反映项目实施情况的问题，项目单位绩效管理意识薄弱，对财政预算绩效管理工作不够重视。</w:t>
      </w:r>
    </w:p>
    <w:p w14:paraId="2E8D6B7D">
      <w:pPr>
        <w:rPr>
          <w:rFonts w:hint="eastAsia"/>
          <w:color w:val="auto"/>
          <w:lang w:val="en-US" w:eastAsia="zh-CN"/>
        </w:rPr>
      </w:pPr>
      <w:r>
        <w:rPr>
          <w:rFonts w:hint="eastAsia"/>
          <w:color w:val="auto"/>
          <w:lang w:val="en-US" w:eastAsia="zh-CN"/>
        </w:rPr>
        <w:t>建议：财政支出预算绩效管理是财政支出项目的重要管理环节，建议项目单位加强相关人员的绩效管理培训，重视财政支出预算绩效管理工作，尤其绩效自评工作必须详细的阐述项目基本情况，真实反映项目实施后的效益情况。</w:t>
      </w:r>
    </w:p>
    <w:p w14:paraId="293F12BB">
      <w:pPr>
        <w:pStyle w:val="4"/>
        <w:bidi w:val="0"/>
        <w:rPr>
          <w:rFonts w:hint="eastAsia"/>
          <w:lang w:val="en-US" w:eastAsia="zh-CN"/>
        </w:rPr>
      </w:pPr>
      <w:r>
        <w:rPr>
          <w:rFonts w:hint="eastAsia"/>
          <w:lang w:val="en-US" w:eastAsia="zh-CN"/>
        </w:rPr>
        <w:t>2.产出不及时</w:t>
      </w:r>
    </w:p>
    <w:p w14:paraId="3F347E08">
      <w:pPr>
        <w:bidi w:val="0"/>
        <w:rPr>
          <w:rFonts w:hint="eastAsia"/>
          <w:color w:val="auto"/>
          <w:u w:val="none"/>
          <w:lang w:val="en-US" w:eastAsia="zh-CN"/>
        </w:rPr>
      </w:pPr>
      <w:r>
        <w:rPr>
          <w:rFonts w:hint="eastAsia"/>
          <w:color w:val="auto"/>
          <w:lang w:val="en-US" w:eastAsia="zh-CN"/>
        </w:rPr>
        <w:t>该项目共包括体检中心设施设备采购项目</w:t>
      </w:r>
      <w:r>
        <w:rPr>
          <w:rFonts w:hint="eastAsia"/>
          <w:color w:val="auto"/>
          <w:u w:val="none"/>
          <w:lang w:val="en-US" w:eastAsia="zh-CN"/>
        </w:rPr>
        <w:t>采购成像仪等设备、体检中心设施设备采购项目采购胃肠镜等设</w:t>
      </w:r>
      <w:r>
        <w:rPr>
          <w:rFonts w:hint="eastAsia"/>
          <w:color w:val="auto"/>
          <w:lang w:val="en-US" w:eastAsia="zh-CN"/>
        </w:rPr>
        <w:t>备、体检中心采购超声检查仪项目、信息化能力提升建设项目3个设备采购及1个信息化建设项目，其中信息化建设共9个系统模块。截止评价之日3个设备采购均已完成，信息化建设中9个系统模</w:t>
      </w:r>
      <w:r>
        <w:rPr>
          <w:rFonts w:hint="eastAsia"/>
          <w:color w:val="auto"/>
          <w:u w:val="none"/>
          <w:lang w:val="en-US" w:eastAsia="zh-CN"/>
        </w:rPr>
        <w:t>块已完成6个上线运行，3个未完成，导致项目未能按时进行验收，影响了项目整体效益的发挥。</w:t>
      </w:r>
    </w:p>
    <w:p w14:paraId="0608D26F">
      <w:pPr>
        <w:bidi w:val="0"/>
        <w:rPr>
          <w:rFonts w:hint="default"/>
          <w:lang w:val="en-US" w:eastAsia="zh-CN"/>
        </w:rPr>
      </w:pPr>
      <w:r>
        <w:rPr>
          <w:rFonts w:hint="eastAsia"/>
          <w:color w:val="auto"/>
          <w:u w:val="none"/>
          <w:lang w:val="en-US" w:eastAsia="zh-CN"/>
        </w:rPr>
        <w:t>建议：项目单位加强项目实施过程的监督管理，确保每个项目按时完成，并及时组织验收，保障项目整体效</w:t>
      </w:r>
      <w:r>
        <w:rPr>
          <w:rFonts w:hint="eastAsia"/>
          <w:color w:val="auto"/>
          <w:lang w:val="en-US" w:eastAsia="zh-CN"/>
        </w:rPr>
        <w:t>益的最大化发挥。</w:t>
      </w:r>
    </w:p>
    <w:p w14:paraId="3DE70587">
      <w:pPr>
        <w:ind w:left="0" w:leftChars="0" w:firstLine="0" w:firstLineChars="0"/>
        <w:rPr>
          <w:rFonts w:hint="default"/>
          <w:color w:val="auto"/>
          <w:lang w:val="en-US" w:eastAsia="zh-CN"/>
        </w:rPr>
        <w:sectPr>
          <w:footerReference r:id="rId5" w:type="default"/>
          <w:pgSz w:w="11906" w:h="16838"/>
          <w:pgMar w:top="1553" w:right="1800" w:bottom="1440" w:left="1800" w:header="851" w:footer="992" w:gutter="0"/>
          <w:pgNumType w:fmt="decimal"/>
          <w:cols w:space="425" w:num="1"/>
          <w:docGrid w:type="lines" w:linePitch="312" w:charSpace="0"/>
        </w:sectPr>
      </w:pPr>
    </w:p>
    <w:p w14:paraId="077AA3A4">
      <w:pPr>
        <w:pStyle w:val="3"/>
        <w:bidi w:val="0"/>
        <w:ind w:left="0" w:leftChars="0" w:firstLine="0" w:firstLineChars="0"/>
        <w:rPr>
          <w:rFonts w:hint="eastAsia"/>
          <w:color w:val="auto"/>
          <w:lang w:val="en-US" w:eastAsia="zh-CN"/>
        </w:rPr>
      </w:pPr>
      <w:bookmarkStart w:id="18" w:name="_Toc10828"/>
      <w:r>
        <w:rPr>
          <w:rFonts w:hint="eastAsia"/>
          <w:color w:val="auto"/>
          <w:lang w:val="en-US" w:eastAsia="zh-CN"/>
        </w:rPr>
        <w:t>附件：项目照片</w:t>
      </w:r>
      <w:bookmarkEnd w:id="18"/>
    </w:p>
    <w:p w14:paraId="52063DA7">
      <w:pPr>
        <w:ind w:left="0" w:leftChars="0" w:firstLine="0" w:firstLineChars="0"/>
        <w:rPr>
          <w:rFonts w:hint="default"/>
          <w:lang w:val="en-US" w:eastAsia="zh-CN"/>
        </w:rPr>
      </w:pPr>
      <w:r>
        <w:rPr>
          <w:rFonts w:hint="default"/>
          <w:lang w:val="en-US" w:eastAsia="zh-CN"/>
        </w:rPr>
        <w:drawing>
          <wp:inline distT="0" distB="0" distL="114300" distR="114300">
            <wp:extent cx="4853940" cy="3640455"/>
            <wp:effectExtent l="0" t="0" r="3810" b="17145"/>
            <wp:docPr id="25" name="图片 25" descr="74434cd680b77f9f3cc4d095a01d0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74434cd680b77f9f3cc4d095a01d02e"/>
                    <pic:cNvPicPr>
                      <a:picLocks noChangeAspect="1"/>
                    </pic:cNvPicPr>
                  </pic:nvPicPr>
                  <pic:blipFill>
                    <a:blip r:embed="rId8"/>
                    <a:stretch>
                      <a:fillRect/>
                    </a:stretch>
                  </pic:blipFill>
                  <pic:spPr>
                    <a:xfrm>
                      <a:off x="0" y="0"/>
                      <a:ext cx="4853940" cy="3640455"/>
                    </a:xfrm>
                    <a:prstGeom prst="rect">
                      <a:avLst/>
                    </a:prstGeom>
                  </pic:spPr>
                </pic:pic>
              </a:graphicData>
            </a:graphic>
          </wp:inline>
        </w:drawing>
      </w:r>
      <w:r>
        <w:rPr>
          <w:rFonts w:hint="default"/>
          <w:lang w:val="en-US" w:eastAsia="zh-CN"/>
        </w:rPr>
        <w:drawing>
          <wp:inline distT="0" distB="0" distL="114300" distR="114300">
            <wp:extent cx="4650740" cy="4314825"/>
            <wp:effectExtent l="0" t="0" r="16510" b="9525"/>
            <wp:docPr id="26" name="图片 26" descr="d81d988321eab336f3db1251376d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81d988321eab336f3db1251376dd19"/>
                    <pic:cNvPicPr>
                      <a:picLocks noChangeAspect="1"/>
                    </pic:cNvPicPr>
                  </pic:nvPicPr>
                  <pic:blipFill>
                    <a:blip r:embed="rId9"/>
                    <a:stretch>
                      <a:fillRect/>
                    </a:stretch>
                  </pic:blipFill>
                  <pic:spPr>
                    <a:xfrm>
                      <a:off x="0" y="0"/>
                      <a:ext cx="4650740" cy="4314825"/>
                    </a:xfrm>
                    <a:prstGeom prst="rect">
                      <a:avLst/>
                    </a:prstGeom>
                  </pic:spPr>
                </pic:pic>
              </a:graphicData>
            </a:graphic>
          </wp:inline>
        </w:drawing>
      </w:r>
      <w:r>
        <w:rPr>
          <w:rFonts w:hint="default"/>
          <w:lang w:val="en-US" w:eastAsia="zh-CN"/>
        </w:rPr>
        <w:drawing>
          <wp:inline distT="0" distB="0" distL="114300" distR="114300">
            <wp:extent cx="5273040" cy="3954780"/>
            <wp:effectExtent l="0" t="0" r="0" b="7620"/>
            <wp:docPr id="27" name="图片 27" descr="675b99243557a0d7359a6fbded52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675b99243557a0d7359a6fbded527f7"/>
                    <pic:cNvPicPr>
                      <a:picLocks noChangeAspect="1"/>
                    </pic:cNvPicPr>
                  </pic:nvPicPr>
                  <pic:blipFill>
                    <a:blip r:embed="rId10"/>
                    <a:stretch>
                      <a:fillRect/>
                    </a:stretch>
                  </pic:blipFill>
                  <pic:spPr>
                    <a:xfrm>
                      <a:off x="0" y="0"/>
                      <a:ext cx="5273040" cy="3954780"/>
                    </a:xfrm>
                    <a:prstGeom prst="rect">
                      <a:avLst/>
                    </a:prstGeom>
                  </pic:spPr>
                </pic:pic>
              </a:graphicData>
            </a:graphic>
          </wp:inline>
        </w:drawing>
      </w:r>
      <w:r>
        <w:rPr>
          <w:rFonts w:hint="default"/>
          <w:lang w:val="en-US" w:eastAsia="zh-CN"/>
        </w:rPr>
        <w:drawing>
          <wp:inline distT="0" distB="0" distL="114300" distR="114300">
            <wp:extent cx="5270500" cy="3181985"/>
            <wp:effectExtent l="0" t="0" r="2540" b="3175"/>
            <wp:docPr id="29" name="图片 29" descr="超声科检车使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超声科检车使用情况"/>
                    <pic:cNvPicPr>
                      <a:picLocks noChangeAspect="1"/>
                    </pic:cNvPicPr>
                  </pic:nvPicPr>
                  <pic:blipFill>
                    <a:blip r:embed="rId11"/>
                    <a:stretch>
                      <a:fillRect/>
                    </a:stretch>
                  </pic:blipFill>
                  <pic:spPr>
                    <a:xfrm>
                      <a:off x="0" y="0"/>
                      <a:ext cx="5270500" cy="3181985"/>
                    </a:xfrm>
                    <a:prstGeom prst="rect">
                      <a:avLst/>
                    </a:prstGeom>
                  </pic:spPr>
                </pic:pic>
              </a:graphicData>
            </a:graphic>
          </wp:inline>
        </w:drawing>
      </w:r>
    </w:p>
    <w:p w14:paraId="1A699064">
      <w:pPr>
        <w:ind w:left="0" w:leftChars="0" w:firstLine="0" w:firstLineChars="0"/>
        <w:rPr>
          <w:rFonts w:hint="default"/>
          <w:lang w:val="en-US" w:eastAsia="zh-CN"/>
        </w:rPr>
      </w:pPr>
    </w:p>
    <w:sectPr>
      <w:footerReference r:id="rId6" w:type="default"/>
      <w:pgSz w:w="11906" w:h="16838"/>
      <w:pgMar w:top="1553"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B04F8">
    <w:pPr>
      <w:pStyle w:val="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29725">
    <w:pPr>
      <w:pStyle w:val="8"/>
      <w:tabs>
        <w:tab w:val="clea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NTIzNzM2YzNlMmFhZWM2Yzc3ZWFmMzIyZjM0N2YifQ=="/>
  </w:docVars>
  <w:rsids>
    <w:rsidRoot w:val="7FF0B5AD"/>
    <w:rsid w:val="00A65FA9"/>
    <w:rsid w:val="033D70F0"/>
    <w:rsid w:val="05521B4B"/>
    <w:rsid w:val="05E205BF"/>
    <w:rsid w:val="06040DD9"/>
    <w:rsid w:val="061E4834"/>
    <w:rsid w:val="063E3C85"/>
    <w:rsid w:val="07BB67DE"/>
    <w:rsid w:val="07CD379B"/>
    <w:rsid w:val="08A914B5"/>
    <w:rsid w:val="096A6AAF"/>
    <w:rsid w:val="09C47ABE"/>
    <w:rsid w:val="0BEF68DE"/>
    <w:rsid w:val="0C3E61C8"/>
    <w:rsid w:val="0C4B68F0"/>
    <w:rsid w:val="0CE4363E"/>
    <w:rsid w:val="0DBA5896"/>
    <w:rsid w:val="0EDB59B8"/>
    <w:rsid w:val="103A7F67"/>
    <w:rsid w:val="11077D47"/>
    <w:rsid w:val="119B0F00"/>
    <w:rsid w:val="123F625E"/>
    <w:rsid w:val="14294516"/>
    <w:rsid w:val="14A423A8"/>
    <w:rsid w:val="14AC433A"/>
    <w:rsid w:val="16625FF0"/>
    <w:rsid w:val="16697C34"/>
    <w:rsid w:val="16797BD3"/>
    <w:rsid w:val="184E0FA9"/>
    <w:rsid w:val="18D030A0"/>
    <w:rsid w:val="19B3612E"/>
    <w:rsid w:val="1A823A41"/>
    <w:rsid w:val="1B656D35"/>
    <w:rsid w:val="1BEE3C6A"/>
    <w:rsid w:val="1C364831"/>
    <w:rsid w:val="1C947DDD"/>
    <w:rsid w:val="1D8C1D1C"/>
    <w:rsid w:val="1EA94722"/>
    <w:rsid w:val="21EE62A7"/>
    <w:rsid w:val="22B57DE4"/>
    <w:rsid w:val="23E25F14"/>
    <w:rsid w:val="23E91A24"/>
    <w:rsid w:val="24D813B9"/>
    <w:rsid w:val="27751963"/>
    <w:rsid w:val="28684FA2"/>
    <w:rsid w:val="287967FE"/>
    <w:rsid w:val="291B0A33"/>
    <w:rsid w:val="2BEB558F"/>
    <w:rsid w:val="2E132621"/>
    <w:rsid w:val="2E461D92"/>
    <w:rsid w:val="2E5E576B"/>
    <w:rsid w:val="2F4D3910"/>
    <w:rsid w:val="2F86652E"/>
    <w:rsid w:val="2FD42329"/>
    <w:rsid w:val="30714262"/>
    <w:rsid w:val="320C374D"/>
    <w:rsid w:val="333252F7"/>
    <w:rsid w:val="33C63C91"/>
    <w:rsid w:val="35054F1C"/>
    <w:rsid w:val="38431D54"/>
    <w:rsid w:val="38507793"/>
    <w:rsid w:val="385E739B"/>
    <w:rsid w:val="386A294C"/>
    <w:rsid w:val="39186D3D"/>
    <w:rsid w:val="3A0E4C4C"/>
    <w:rsid w:val="3B7641EF"/>
    <w:rsid w:val="3BC6395E"/>
    <w:rsid w:val="3C555222"/>
    <w:rsid w:val="3D2F64CE"/>
    <w:rsid w:val="3DC636AB"/>
    <w:rsid w:val="3E8938CE"/>
    <w:rsid w:val="3F3C3679"/>
    <w:rsid w:val="3F525A73"/>
    <w:rsid w:val="40F462E2"/>
    <w:rsid w:val="41324705"/>
    <w:rsid w:val="41BF6EFC"/>
    <w:rsid w:val="44AB7E78"/>
    <w:rsid w:val="471872E2"/>
    <w:rsid w:val="49AF4DDC"/>
    <w:rsid w:val="49E05CA0"/>
    <w:rsid w:val="4A457257"/>
    <w:rsid w:val="4C3E63E0"/>
    <w:rsid w:val="4C844611"/>
    <w:rsid w:val="4D500C0F"/>
    <w:rsid w:val="4F7801A4"/>
    <w:rsid w:val="50D42690"/>
    <w:rsid w:val="50E506DF"/>
    <w:rsid w:val="527D147C"/>
    <w:rsid w:val="55157CFC"/>
    <w:rsid w:val="56B172A0"/>
    <w:rsid w:val="57340D8E"/>
    <w:rsid w:val="57642CD4"/>
    <w:rsid w:val="581405C3"/>
    <w:rsid w:val="59771406"/>
    <w:rsid w:val="5A2C496A"/>
    <w:rsid w:val="5C885E22"/>
    <w:rsid w:val="5CE609DA"/>
    <w:rsid w:val="5D04179A"/>
    <w:rsid w:val="5D277B93"/>
    <w:rsid w:val="5D4810F0"/>
    <w:rsid w:val="5DCF4FA3"/>
    <w:rsid w:val="5E0A7521"/>
    <w:rsid w:val="5F196D4A"/>
    <w:rsid w:val="5FED3BEB"/>
    <w:rsid w:val="640F6E0B"/>
    <w:rsid w:val="65D279B4"/>
    <w:rsid w:val="66110CF0"/>
    <w:rsid w:val="66440592"/>
    <w:rsid w:val="66517871"/>
    <w:rsid w:val="685F7C35"/>
    <w:rsid w:val="69E93198"/>
    <w:rsid w:val="6AEA4B03"/>
    <w:rsid w:val="6B2A34C9"/>
    <w:rsid w:val="6D021A16"/>
    <w:rsid w:val="6D8D71CB"/>
    <w:rsid w:val="6EFA2EC9"/>
    <w:rsid w:val="6F2C33B6"/>
    <w:rsid w:val="6FE92DA8"/>
    <w:rsid w:val="72A12385"/>
    <w:rsid w:val="72B648F6"/>
    <w:rsid w:val="73D70FC8"/>
    <w:rsid w:val="751D0C5C"/>
    <w:rsid w:val="76522BE6"/>
    <w:rsid w:val="76880357"/>
    <w:rsid w:val="786F3594"/>
    <w:rsid w:val="78F51E83"/>
    <w:rsid w:val="79A55ABD"/>
    <w:rsid w:val="7A473EB8"/>
    <w:rsid w:val="7B3F6CCC"/>
    <w:rsid w:val="7B5D1DB2"/>
    <w:rsid w:val="7CA5451E"/>
    <w:rsid w:val="7D625DA6"/>
    <w:rsid w:val="7FE02FB2"/>
    <w:rsid w:val="7FF0B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仿宋_GB2312"/>
      <w:b/>
    </w:rPr>
  </w:style>
  <w:style w:type="paragraph" w:styleId="4">
    <w:name w:val="heading 3"/>
    <w:basedOn w:val="1"/>
    <w:next w:val="1"/>
    <w:unhideWhenUsed/>
    <w:qFormat/>
    <w:uiPriority w:val="0"/>
    <w:pPr>
      <w:keepNext/>
      <w:keepLines/>
      <w:spacing w:beforeLines="0" w:beforeAutospacing="0" w:afterLines="0" w:afterAutospacing="0" w:line="240" w:lineRule="auto"/>
      <w:outlineLvl w:val="2"/>
    </w:pPr>
    <w:rPr>
      <w:rFonts w:ascii="Times New Roman" w:hAnsi="Times New Roman"/>
      <w:b/>
    </w:rPr>
  </w:style>
  <w:style w:type="paragraph" w:styleId="5">
    <w:name w:val="heading 4"/>
    <w:basedOn w:val="1"/>
    <w:next w:val="1"/>
    <w:unhideWhenUsed/>
    <w:qFormat/>
    <w:uiPriority w:val="0"/>
    <w:pPr>
      <w:keepNext/>
      <w:keepLines/>
      <w:spacing w:beforeLines="0" w:beforeAutospacing="0" w:afterLines="0" w:afterAutospacing="0" w:line="360" w:lineRule="exact"/>
      <w:ind w:firstLine="0" w:firstLineChars="0"/>
      <w:jc w:val="center"/>
      <w:outlineLvl w:val="3"/>
    </w:pPr>
    <w:rPr>
      <w:rFonts w:ascii="Arial" w:hAnsi="Arial" w:eastAsia="宋体"/>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34"/>
    <w:pPr>
      <w:ind w:firstLine="420"/>
    </w:pPr>
  </w:style>
  <w:style w:type="character" w:customStyle="1" w:styleId="16">
    <w:name w:val="fontstyle01"/>
    <w:basedOn w:val="14"/>
    <w:qFormat/>
    <w:uiPriority w:val="0"/>
    <w:rPr>
      <w:rFonts w:hint="eastAsia" w:ascii="仿宋_GB2312" w:eastAsia="仿宋_GB2312"/>
      <w:color w:val="000000"/>
      <w:sz w:val="32"/>
      <w:szCs w:val="32"/>
    </w:rPr>
  </w:style>
  <w:style w:type="paragraph" w:customStyle="1" w:styleId="17">
    <w:name w:val="标题2"/>
    <w:basedOn w:val="18"/>
    <w:qFormat/>
    <w:uiPriority w:val="0"/>
    <w:pPr>
      <w:adjustRightInd w:val="0"/>
      <w:snapToGrid w:val="0"/>
      <w:spacing w:before="50" w:beforeLines="50" w:after="50" w:afterLines="50" w:line="760" w:lineRule="exact"/>
      <w:ind w:firstLine="200"/>
      <w:jc w:val="left"/>
    </w:pPr>
    <w:rPr>
      <w:rFonts w:ascii="楷体" w:hAnsi="楷体" w:eastAsia="楷体" w:cs="宋体"/>
      <w:b/>
      <w:bCs/>
      <w:szCs w:val="32"/>
    </w:rPr>
  </w:style>
  <w:style w:type="paragraph" w:customStyle="1" w:styleId="18">
    <w:name w:val="彩色列表 - 着色 11"/>
    <w:basedOn w:val="1"/>
    <w:qFormat/>
    <w:uiPriority w:val="34"/>
    <w:pPr>
      <w:ind w:firstLine="420"/>
    </w:pPr>
    <w:rPr>
      <w:szCs w:val="22"/>
    </w:rPr>
  </w:style>
  <w:style w:type="paragraph" w:customStyle="1" w:styleId="19">
    <w:name w:val="标题1"/>
    <w:basedOn w:val="18"/>
    <w:qFormat/>
    <w:uiPriority w:val="0"/>
    <w:pPr>
      <w:tabs>
        <w:tab w:val="center" w:pos="4422"/>
      </w:tabs>
      <w:adjustRightInd w:val="0"/>
      <w:snapToGrid w:val="0"/>
      <w:spacing w:line="760" w:lineRule="exact"/>
      <w:ind w:firstLine="0" w:firstLineChars="0"/>
      <w:jc w:val="left"/>
      <w:outlineLvl w:val="0"/>
    </w:pPr>
    <w:rPr>
      <w:rFonts w:ascii="黑体" w:hAnsi="黑体" w:eastAsia="黑体" w:cs="宋体"/>
      <w:szCs w:val="32"/>
    </w:rPr>
  </w:style>
  <w:style w:type="paragraph" w:customStyle="1" w:styleId="20">
    <w:name w:val="闻政标题5"/>
    <w:basedOn w:val="1"/>
    <w:qFormat/>
    <w:uiPriority w:val="0"/>
    <w:pPr>
      <w:spacing w:before="120" w:after="60" w:line="500" w:lineRule="exact"/>
      <w:ind w:firstLine="200" w:firstLineChars="200"/>
    </w:pPr>
    <w:rPr>
      <w:rFonts w:ascii="Times New Roman" w:hAnsi="Times New Roman" w:eastAsia="仿宋_GB2312"/>
      <w:b/>
      <w:kern w:val="0"/>
      <w:sz w:val="28"/>
      <w:szCs w:val="28"/>
    </w:rPr>
  </w:style>
  <w:style w:type="paragraph" w:customStyle="1" w:styleId="21">
    <w:name w:val="Table Paragraph"/>
    <w:basedOn w:val="1"/>
    <w:qFormat/>
    <w:uiPriority w:val="1"/>
    <w:rPr>
      <w:rFonts w:ascii="仿宋" w:hAnsi="仿宋" w:eastAsia="仿宋" w:cs="仿宋"/>
      <w:lang w:val="zh-CN" w:eastAsia="zh-CN" w:bidi="zh-CN"/>
    </w:rPr>
  </w:style>
  <w:style w:type="character" w:customStyle="1" w:styleId="22">
    <w:name w:val="font41"/>
    <w:basedOn w:val="1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13330</Words>
  <Characters>14287</Characters>
  <Lines>0</Lines>
  <Paragraphs>0</Paragraphs>
  <TotalTime>7</TotalTime>
  <ScaleCrop>false</ScaleCrop>
  <LinksUpToDate>false</LinksUpToDate>
  <CharactersWithSpaces>14504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2021-01-29T09:34:00Z</dcterms:created>
  <dc:creator>thtf</dc:creator>
  <cp:lastModifiedBy>杨勇</cp:lastModifiedBy>
  <cp:lastPrinted>2021-10-25T07:24:00Z</cp:lastPrinted>
  <dcterms:modified xsi:type="dcterms:W3CDTF">2024-08-21T12:37:05Z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F3398B364BA4495C9F67E9F70898D625</vt:lpwstr>
  </property>
</Properties>
</file>