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伊金霍洛旗能源局2023年度部门</w:t>
      </w:r>
    </w:p>
    <w:p w14:paraId="4D781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整体支出绩效评价报告简要版</w:t>
      </w:r>
    </w:p>
    <w:p w14:paraId="2542F5E7">
      <w:pPr>
        <w:pStyle w:val="4"/>
        <w:pageBreakBefore w:val="0"/>
        <w:widowControl w:val="0"/>
        <w:numPr>
          <w:numId w:val="0"/>
        </w:numPr>
        <w:wordWrap/>
        <w:topLinePunct w:val="0"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bookmarkStart w:id="0" w:name="_Toc12875"/>
    </w:p>
    <w:p w14:paraId="3F818DCC">
      <w:pPr>
        <w:pStyle w:val="4"/>
        <w:pageBreakBefore w:val="0"/>
        <w:widowControl w:val="0"/>
        <w:numPr>
          <w:numId w:val="0"/>
        </w:numPr>
        <w:wordWrap/>
        <w:topLinePunct w:val="0"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一、基本情况</w:t>
      </w:r>
      <w:bookmarkEnd w:id="0"/>
    </w:p>
    <w:p w14:paraId="5B48913C">
      <w:pPr>
        <w:pStyle w:val="5"/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bookmarkStart w:id="1" w:name="_Toc14532"/>
      <w:r>
        <w:rPr>
          <w:rFonts w:hint="eastAsia"/>
          <w:lang w:val="en-US" w:eastAsia="zh-CN"/>
        </w:rPr>
        <w:t>（一）部门概况</w:t>
      </w:r>
      <w:bookmarkEnd w:id="1"/>
    </w:p>
    <w:p w14:paraId="619761CC">
      <w:pPr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伊金霍洛旗能源局，机构性质为国家机关，统一社会信用代码</w:t>
      </w:r>
      <w:r>
        <w:rPr>
          <w:rFonts w:hint="eastAsia" w:ascii="仿宋_GB2312" w:hAnsi="仿宋_GB2312" w:eastAsia="仿宋_GB2312" w:cs="仿宋_GB2312"/>
          <w:lang w:val="en-US" w:eastAsia="zh-CN"/>
        </w:rPr>
        <w:t>11152728011741437N，</w:t>
      </w:r>
      <w:r>
        <w:rPr>
          <w:rFonts w:hint="eastAsia"/>
          <w:lang w:val="en-US" w:eastAsia="zh-CN"/>
        </w:rPr>
        <w:t>机构级别为正科级</w:t>
      </w:r>
      <w:bookmarkStart w:id="9" w:name="_GoBack"/>
      <w:bookmarkEnd w:id="9"/>
      <w:r>
        <w:rPr>
          <w:rFonts w:hint="eastAsia"/>
          <w:lang w:val="en-US" w:eastAsia="zh-CN"/>
        </w:rPr>
        <w:t>。</w:t>
      </w:r>
    </w:p>
    <w:p w14:paraId="14627C3B">
      <w:pPr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1.部门主要职能</w:t>
      </w:r>
    </w:p>
    <w:p w14:paraId="2AAC65D2">
      <w:pPr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贯彻执行国家、自治区、市、旗关于能源工作法律、法规、方针和政策。研究提出现代能源经济发展战略和政策 建议，拟订并组织实施能源发展规划和计划。推进能源体制 改革，组织拟订有关改革方案，协调能源发展和改革中的重大问题。</w:t>
      </w:r>
    </w:p>
    <w:p w14:paraId="3F550DA1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负责全旗能源行业节能和资源综合利用，参与研究能源消费总量控制目标建议，指导协调能源消费总量控制有关工作，衔接能源生产建设和供需平衡</w:t>
      </w:r>
      <w:r>
        <w:rPr>
          <w:rFonts w:hint="eastAsia"/>
          <w:lang w:eastAsia="zh-CN"/>
        </w:rPr>
        <w:t>，</w:t>
      </w:r>
      <w:r>
        <w:t>指导协调农村牧区能源发展工作。</w:t>
      </w:r>
    </w:p>
    <w:p w14:paraId="5B49F02C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t>负责全旗能源生产、运行和管理，规范维护能源市场秩序。参与制定与能源相关的资源、财税、环保等政策和能源行业地方标准，提出能源价格调整等建议。</w:t>
      </w:r>
    </w:p>
    <w:p w14:paraId="07A31521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  <w:lang w:eastAsia="zh-CN"/>
        </w:rPr>
        <w:t>组织推</w:t>
      </w:r>
      <w:r>
        <w:t>进全旗能源重大装备技术研发及相关重大科 研项目，指导能源科技进步、成套设备的引进消化创新，组织协调相关重大示范工程和新产品、新技术、新设备推广应用。</w:t>
      </w:r>
    </w:p>
    <w:p w14:paraId="71AA7BC5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t>承担全旗煤炭、电力、石油、天然气、新能源和可再生能源，以及炼油、煤制燃料和燃料乙醇等行业的管理。按规定权限审核转报全旗能源固定资产投资项目。</w:t>
      </w:r>
    </w:p>
    <w:p w14:paraId="2A873015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t>负责全旗地方煤矿、石油天然气长输管道安全生产监管、执法检查、专项整治工作，监督落实安全生产责任制， 指导地方煤矿安全基础建设和培训工作。配合协调全旗地方 煤矿、石油天然气长输管道重特大生产安全事故应急救援、 抢险救灾、调查处理等工作。负责全旗能源预测预警、信息发布，参与能源运行调节和应急保障。</w:t>
      </w:r>
    </w:p>
    <w:p w14:paraId="119F980C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t>负责监测分析全旗电力运行情况，协调处理电力运行和电网运行中的重大问题。指导全旗电力行业运行安全和电力技术监督工作。依法开展全旗电力设施保护和电力</w:t>
      </w:r>
      <w:r>
        <w:rPr>
          <w:rFonts w:hint="eastAsia"/>
          <w:lang w:eastAsia="zh-CN"/>
        </w:rPr>
        <w:t>行政执法</w:t>
      </w:r>
      <w:r>
        <w:t>工作，监督电力法律法规执行情况。</w:t>
      </w:r>
    </w:p>
    <w:p w14:paraId="4E64D2CB"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t>负责旗本级能源领域行政执法工作，查处全旗能源领域违法行为，办理大案</w:t>
      </w:r>
      <w:r>
        <w:rPr>
          <w:rFonts w:hint="eastAsia"/>
        </w:rPr>
        <w:t>要案。配合上级部门开展行政执法工作。</w:t>
      </w:r>
    </w:p>
    <w:p w14:paraId="23812FC7"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统筹全旗煤矿火区、采空区、沉陷区等灾害综合治理工作。</w:t>
      </w:r>
    </w:p>
    <w:p w14:paraId="1361B77B"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）</w:t>
      </w:r>
      <w:r>
        <w:rPr>
          <w:rFonts w:hint="eastAsia"/>
        </w:rPr>
        <w:t>完成旗委和旗人民政府交办的其他任务。</w:t>
      </w:r>
    </w:p>
    <w:p w14:paraId="686C6E3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机构</w:t>
      </w:r>
      <w:r>
        <w:rPr>
          <w:rFonts w:hint="eastAsia"/>
          <w:lang w:val="en-US" w:eastAsia="zh-CN"/>
        </w:rPr>
        <w:t>设置</w:t>
      </w:r>
    </w:p>
    <w:p w14:paraId="2B90B1F8">
      <w:pPr>
        <w:bidi w:val="0"/>
        <w:rPr>
          <w:rFonts w:hint="eastAsia"/>
          <w:lang w:eastAsia="zh-CN"/>
        </w:rPr>
      </w:pPr>
      <w:r>
        <w:rPr>
          <w:rFonts w:hint="eastAsia"/>
        </w:rPr>
        <w:t>伊金霍洛旗能源局</w:t>
      </w:r>
      <w:r>
        <w:rPr>
          <w:rFonts w:hint="eastAsia"/>
          <w:lang w:val="en-US" w:eastAsia="zh-CN"/>
        </w:rPr>
        <w:t>内设8个股级机构，</w:t>
      </w:r>
      <w:r>
        <w:rPr>
          <w:rFonts w:hint="eastAsia"/>
          <w:lang w:eastAsia="zh-CN"/>
        </w:rPr>
        <w:t>下设三个事业单位，</w:t>
      </w:r>
      <w:r>
        <w:rPr>
          <w:rFonts w:hint="eastAsia"/>
          <w:lang w:val="en-US" w:eastAsia="zh-CN"/>
        </w:rPr>
        <w:t>分别为</w:t>
      </w:r>
      <w:r>
        <w:rPr>
          <w:rFonts w:hint="eastAsia"/>
          <w:lang w:eastAsia="zh-CN"/>
        </w:rPr>
        <w:t>伊金霍洛旗能源综合服务中心、伊金霍洛旗能源事业发展中心、伊金霍洛旗能源</w:t>
      </w:r>
      <w:r>
        <w:rPr>
          <w:rFonts w:hint="eastAsia"/>
          <w:lang w:val="en-US" w:eastAsia="zh-CN"/>
        </w:rPr>
        <w:t>局</w:t>
      </w:r>
      <w:r>
        <w:rPr>
          <w:rFonts w:hint="eastAsia"/>
          <w:lang w:eastAsia="zh-CN"/>
        </w:rPr>
        <w:t>能源管理综合行政执法大队。</w:t>
      </w:r>
    </w:p>
    <w:p w14:paraId="65034CA0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</w:pPr>
      <w:r>
        <w:rPr>
          <w:rFonts w:hint="eastAsia"/>
          <w:lang w:val="en-US" w:eastAsia="zh-CN"/>
        </w:rPr>
        <w:t>3.人员情况</w:t>
      </w:r>
    </w:p>
    <w:p w14:paraId="5DAD8F0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截止2023年末，单位及下设机构共计在职人员284人（含社会工作者8人），其中编制内人数108人。单位2023年度调出4人，辞职2人，退休7人，调入7人。</w:t>
      </w:r>
      <w:bookmarkStart w:id="2" w:name="_Toc15545"/>
    </w:p>
    <w:p w14:paraId="2ABC261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年度重点工作计划</w:t>
      </w:r>
      <w:bookmarkEnd w:id="2"/>
    </w:p>
    <w:p w14:paraId="28267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1.聚焦科技集约发展，加快构建现代煤炭工业体系</w:t>
      </w:r>
    </w:p>
    <w:p w14:paraId="21D8A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坚决扛牢能源保供重任。全力协助推进台格庙矿区、纳林希里矿区前期建设工作，推动神华新街一井、二井项目核准和开工建设；推进白家梁、特拉布拉等煤矿完成技术改造工程；盘活常青、石场湾等停产停工煤矿，推动窝兔沟、马泰壕等6座增产煤矿释放产能840万吨，力争全年煤炭产销量达到2.3亿吨。加强煤炭中长期合同履约兑现监管，保障煤炭稳定供应。二是推进智能化煤矿建设。积极</w:t>
      </w:r>
      <w:r>
        <w:rPr>
          <w:rFonts w:hint="default"/>
          <w:lang w:val="en-US" w:eastAsia="zh-CN"/>
        </w:rPr>
        <w:t>引导第三批智能化煤矿建设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推广应用“矿鸿”系统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全方位促进煤矿</w:t>
      </w:r>
      <w:r>
        <w:rPr>
          <w:rFonts w:hint="eastAsia"/>
          <w:lang w:val="en-US" w:eastAsia="zh-CN"/>
        </w:rPr>
        <w:t>智能化、</w:t>
      </w:r>
      <w:r>
        <w:rPr>
          <w:rFonts w:hint="default"/>
          <w:lang w:val="en-US" w:eastAsia="zh-CN"/>
        </w:rPr>
        <w:t>数字化转型</w:t>
      </w:r>
      <w:r>
        <w:rPr>
          <w:rFonts w:hint="eastAsia"/>
          <w:lang w:val="en-US" w:eastAsia="zh-CN"/>
        </w:rPr>
        <w:t>。依托矿鸿工业互联创新国家重点实验室，在乌兰木伦河南岸打造矿鸿小镇。三是打造高效清洁煤电产业。推进九泰热力公司4×100MW背压式机组项目建设，保障城镇居民、蒙苏经济开发区热负荷，扩大清洁供热范围。加强存量煤电机组节能改造，积极争取布连二期200万千瓦火电扩建项目纳入自治区规划，加快推进纳林希里井田2×100万千瓦煤电一体化项目前期工作。四是统筹推进重点项目建设。稳步推进能源领域23个</w:t>
      </w:r>
      <w:r>
        <w:rPr>
          <w:rFonts w:hint="eastAsia"/>
        </w:rPr>
        <w:t>重点项目</w:t>
      </w:r>
      <w:r>
        <w:rPr>
          <w:rFonts w:hint="eastAsia"/>
          <w:lang w:val="en-US" w:eastAsia="zh-CN"/>
        </w:rPr>
        <w:t>建设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亿元以上18项，亿元以下5项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，按建设类型划分：新建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项、续建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总投资</w:t>
      </w:r>
      <w:r>
        <w:rPr>
          <w:rFonts w:hint="eastAsia"/>
          <w:lang w:val="en-US" w:eastAsia="zh-CN"/>
        </w:rPr>
        <w:t>122</w:t>
      </w:r>
      <w:r>
        <w:rPr>
          <w:rFonts w:hint="eastAsia"/>
        </w:rPr>
        <w:t>亿元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2023年计划完成投资57.5亿元，推动项目提速提质提效，以项目之进支撑发展之稳。</w:t>
      </w:r>
    </w:p>
    <w:p w14:paraId="19AF4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2.聚焦产业结构转型，全力打造新能源产业示范高地</w:t>
      </w:r>
    </w:p>
    <w:p w14:paraId="7274216A">
      <w:pPr>
        <w:numPr>
          <w:ilvl w:val="0"/>
          <w:numId w:val="0"/>
        </w:num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一是加快新能源项目建设。继续争取各类</w:t>
      </w:r>
      <w:r>
        <w:rPr>
          <w:rFonts w:hint="default"/>
          <w:lang w:val="en-US" w:eastAsia="zh-CN"/>
        </w:rPr>
        <w:t>新能源指标200万千瓦以上，</w:t>
      </w:r>
      <w:r>
        <w:rPr>
          <w:rFonts w:hint="eastAsia"/>
          <w:lang w:val="en-US" w:eastAsia="zh-CN"/>
        </w:rPr>
        <w:t>确保已到位的</w:t>
      </w:r>
      <w:r>
        <w:rPr>
          <w:rFonts w:hint="default"/>
          <w:lang w:val="en-US" w:eastAsia="zh-CN"/>
        </w:rPr>
        <w:t>零碳产业园50万千瓦风光储一体化示范项目、华电正能26万千瓦风光制氢一体化项目、</w:t>
      </w:r>
      <w:r>
        <w:rPr>
          <w:rFonts w:hint="eastAsia"/>
          <w:lang w:val="en-US" w:eastAsia="zh-CN"/>
        </w:rPr>
        <w:t>国电27万千瓦火电灵活性改造配套新能源项目、3.61万千瓦全额自发自用项目、3万千瓦分散式风电和3万千瓦分布式光伏项目年底全面建成投用。二是推进光伏全产业链发展。以隆基年产46GW单晶硅棒和切片、30GW光伏电池、5GW高效能光伏组件生产线和协鑫年产2+3GW高效能光伏组件生产线为核心，开展N型双面光伏电池及组件制造，带动光伏产业向上游玻璃边框、背板，下游逆变器设备、电站运维、技术培训等环节延伸。三是打造氢能应用示范基地。</w:t>
      </w:r>
      <w:r>
        <w:rPr>
          <w:rFonts w:hint="default"/>
          <w:lang w:val="en-US" w:eastAsia="zh-CN"/>
        </w:rPr>
        <w:t>以打造北疆氢都为目标，积极探索“风光氢储”一体化开发和氢气制、储、运、用的全产业链发展模式，</w:t>
      </w:r>
      <w:r>
        <w:rPr>
          <w:rFonts w:hint="eastAsia"/>
          <w:lang w:val="en-US" w:eastAsia="zh-CN"/>
        </w:rPr>
        <w:t>确保建成26万千瓦光伏制氢工厂，</w:t>
      </w:r>
      <w:r>
        <w:rPr>
          <w:rFonts w:hint="default"/>
          <w:lang w:val="en-US" w:eastAsia="zh-CN"/>
        </w:rPr>
        <w:t>加氢充电站</w:t>
      </w: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座，新增绿氢供给</w:t>
      </w:r>
      <w:r>
        <w:rPr>
          <w:rFonts w:hint="eastAsia"/>
          <w:lang w:val="en-US" w:eastAsia="zh-CN"/>
        </w:rPr>
        <w:t>1.5</w:t>
      </w:r>
      <w:r>
        <w:rPr>
          <w:rFonts w:hint="default"/>
          <w:lang w:val="en-US" w:eastAsia="zh-CN"/>
        </w:rPr>
        <w:t>万吨</w:t>
      </w:r>
      <w:r>
        <w:rPr>
          <w:rFonts w:hint="eastAsia"/>
          <w:lang w:val="en-US" w:eastAsia="zh-CN"/>
        </w:rPr>
        <w:t>。落实自治区电动重卡推广方案和我旗</w:t>
      </w:r>
      <w:r>
        <w:rPr>
          <w:rFonts w:hint="default"/>
          <w:lang w:val="en-US" w:eastAsia="zh-CN"/>
        </w:rPr>
        <w:t>新能源汽车购置及推广运营方案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推广</w:t>
      </w:r>
      <w:r>
        <w:rPr>
          <w:rFonts w:hint="eastAsia"/>
          <w:lang w:val="en-US" w:eastAsia="zh-CN"/>
        </w:rPr>
        <w:t>以氢能为主的新能源</w:t>
      </w:r>
      <w:r>
        <w:rPr>
          <w:rFonts w:hint="default"/>
          <w:lang w:val="en-US" w:eastAsia="zh-CN"/>
        </w:rPr>
        <w:t>重卡700辆</w:t>
      </w:r>
      <w:r>
        <w:rPr>
          <w:rFonts w:hint="eastAsia"/>
          <w:lang w:val="en-US" w:eastAsia="zh-CN"/>
        </w:rPr>
        <w:t>以上</w:t>
      </w:r>
      <w:r>
        <w:rPr>
          <w:rFonts w:hint="default"/>
          <w:lang w:val="en-US" w:eastAsia="zh-CN"/>
        </w:rPr>
        <w:t>，开通新能源重卡运输专线5条</w:t>
      </w:r>
      <w:r>
        <w:rPr>
          <w:rFonts w:hint="eastAsia"/>
          <w:lang w:val="en-US" w:eastAsia="zh-CN"/>
        </w:rPr>
        <w:t>。</w:t>
      </w:r>
    </w:p>
    <w:p w14:paraId="2691B84B">
      <w:pPr>
        <w:numPr>
          <w:ilvl w:val="0"/>
          <w:numId w:val="0"/>
        </w:num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3.强化责任落实，全面筑牢安全生产防线</w:t>
      </w:r>
    </w:p>
    <w:p w14:paraId="4323796A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 w:val="0"/>
        <w:snapToGrid w:val="0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进一步压实能源企业主体责任和部门监管责任落实，</w:t>
      </w:r>
      <w:r>
        <w:rPr>
          <w:rFonts w:hint="eastAsia"/>
          <w:lang w:eastAsia="zh-CN"/>
        </w:rPr>
        <w:t>坚持人“民至上、生命至上”，树牢安全发展理念，巩固提升安全生产专项整治三年行动成果，</w:t>
      </w:r>
      <w:r>
        <w:rPr>
          <w:rFonts w:hint="eastAsia"/>
        </w:rPr>
        <w:t>强化安全教育培训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构建安全风险分级管控和隐患排查治理双重预防机制</w:t>
      </w:r>
      <w:r>
        <w:rPr>
          <w:rFonts w:hint="eastAsia"/>
          <w:lang w:eastAsia="zh-CN"/>
        </w:rPr>
        <w:t>，推动</w:t>
      </w:r>
      <w:r>
        <w:rPr>
          <w:rFonts w:hint="eastAsia"/>
          <w:lang w:val="en-US" w:eastAsia="zh-CN"/>
        </w:rPr>
        <w:t>企业</w:t>
      </w:r>
      <w:r>
        <w:rPr>
          <w:rFonts w:hint="eastAsia"/>
          <w:lang w:eastAsia="zh-CN"/>
        </w:rPr>
        <w:t>安全生产标准化达标进程，</w:t>
      </w:r>
      <w:r>
        <w:rPr>
          <w:rFonts w:hint="eastAsia"/>
          <w:lang w:val="en-US" w:eastAsia="zh-CN"/>
        </w:rPr>
        <w:t>创新工作方式方法，</w:t>
      </w:r>
      <w:r>
        <w:rPr>
          <w:rFonts w:hint="eastAsia"/>
          <w:lang w:eastAsia="zh-CN"/>
        </w:rPr>
        <w:t>着力夯实</w:t>
      </w:r>
      <w:r>
        <w:rPr>
          <w:rFonts w:hint="eastAsia"/>
          <w:lang w:val="en-US" w:eastAsia="zh-CN"/>
        </w:rPr>
        <w:t>能源行业</w:t>
      </w:r>
      <w:r>
        <w:rPr>
          <w:rFonts w:hint="eastAsia"/>
          <w:lang w:eastAsia="zh-CN"/>
        </w:rPr>
        <w:t>安全生产基础。</w:t>
      </w:r>
      <w:r>
        <w:rPr>
          <w:rFonts w:hint="eastAsia"/>
          <w:lang w:val="en-US" w:eastAsia="zh-CN"/>
        </w:rPr>
        <w:t>全力保障</w:t>
      </w:r>
      <w:r>
        <w:rPr>
          <w:rFonts w:hint="eastAsia"/>
          <w:lang w:eastAsia="zh-CN"/>
        </w:rPr>
        <w:t>煤矿、煤厂、</w:t>
      </w:r>
      <w:r>
        <w:rPr>
          <w:rFonts w:hint="eastAsia"/>
          <w:lang w:val="en-US" w:eastAsia="zh-CN"/>
        </w:rPr>
        <w:t>集装站</w:t>
      </w:r>
      <w:r>
        <w:rPr>
          <w:rFonts w:hint="eastAsia"/>
          <w:lang w:eastAsia="zh-CN"/>
        </w:rPr>
        <w:t>安全生产形势稳定，保障电力系统安全稳定运行和电力可靠供应，有效管控油气长输管道高后果区，持续推进能源行业安全生产治理体系和治理能力现代化，为推动全旗能源经济高质量发展提供坚实安全保障。</w:t>
      </w:r>
    </w:p>
    <w:p w14:paraId="6AF2339D"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年度部门收支情况</w:t>
      </w:r>
    </w:p>
    <w:p w14:paraId="65D3F04B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1.部门资金收入情况</w:t>
      </w:r>
    </w:p>
    <w:p w14:paraId="10AC33AA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伊金霍洛旗能源局2023年部门资金总收入及上年结转结余共计7,082.65万元，其中：一般公共预算财政拨款收入7,082.65万元，年初结转结余0.00万元。</w:t>
      </w:r>
    </w:p>
    <w:p w14:paraId="27791A5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2.部门资金支出情况</w:t>
      </w:r>
    </w:p>
    <w:p w14:paraId="5B68A2AC">
      <w:pPr>
        <w:bidi w:val="0"/>
        <w:jc w:val="distribut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伊金霍洛旗能源局2023年部门资金总支出及年末结转结余共计7,082.65万元，按照支出性质分类：基本支出</w:t>
      </w:r>
    </w:p>
    <w:p w14:paraId="515FA4FB">
      <w:pPr>
        <w:bidi w:val="0"/>
        <w:ind w:left="0" w:leftChars="0" w:firstLine="0" w:firstLineChars="0"/>
      </w:pPr>
      <w:r>
        <w:rPr>
          <w:rFonts w:hint="eastAsia"/>
          <w:lang w:val="en-US" w:eastAsia="zh-CN"/>
        </w:rPr>
        <w:t>5,760.06万元，占全年支出的81.33%；项目支出1,322.59万元（含专项资金1,100.00万元），占全年支出的18.67%；年末结转和结余0.00万元。伊金霍洛旗能源局2023年财政资金收入支出具体情况见表1</w:t>
      </w:r>
      <w:r>
        <w:t>所示：</w:t>
      </w:r>
    </w:p>
    <w:p w14:paraId="20D6A78D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1：2023年度部门财政资金收入支出表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 xml:space="preserve"> </w:t>
      </w:r>
    </w:p>
    <w:p w14:paraId="6AC9909B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 xml:space="preserve">                                                              单位：万元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</w:p>
    <w:tbl>
      <w:tblPr>
        <w:tblStyle w:val="15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1786"/>
        <w:gridCol w:w="1664"/>
        <w:gridCol w:w="1599"/>
      </w:tblGrid>
      <w:tr w14:paraId="2053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9D0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B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C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F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 w14:paraId="6A14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3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7F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4,593.68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1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6,345.87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9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7,082.65</w:t>
            </w:r>
          </w:p>
        </w:tc>
      </w:tr>
      <w:tr w14:paraId="3A5E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62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5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5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0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8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4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三、上级补助收入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E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D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9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2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3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7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A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A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E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4,593.68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F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6,345.87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9B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7,082.65</w:t>
            </w:r>
          </w:p>
        </w:tc>
      </w:tr>
      <w:tr w14:paraId="7F60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4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FD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C3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1,100.00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5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46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A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4,593.68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F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7,445.87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7D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7,082.65</w:t>
            </w:r>
          </w:p>
        </w:tc>
      </w:tr>
      <w:tr w14:paraId="734E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D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5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4,442.68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57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6,014.89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5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5,760.06</w:t>
            </w:r>
          </w:p>
        </w:tc>
      </w:tr>
      <w:tr w14:paraId="4EE7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8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（一）人员经费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4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4,123.27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1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4,995.48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1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4,746.40</w:t>
            </w:r>
          </w:p>
        </w:tc>
      </w:tr>
      <w:tr w14:paraId="0989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99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（二）公用经费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5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319.41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F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1,019.41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2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1,013.66</w:t>
            </w:r>
          </w:p>
        </w:tc>
      </w:tr>
      <w:tr w14:paraId="3A29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F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E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5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1,430.98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3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1,322.59</w:t>
            </w:r>
          </w:p>
        </w:tc>
      </w:tr>
      <w:tr w14:paraId="22FB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5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4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4,593.68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76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7,445.87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A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7,082.65</w:t>
            </w:r>
          </w:p>
        </w:tc>
      </w:tr>
      <w:tr w14:paraId="3552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BD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D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E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C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9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F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4,593.68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7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7,445.87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D5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7,082.65</w:t>
            </w:r>
          </w:p>
        </w:tc>
      </w:tr>
    </w:tbl>
    <w:p w14:paraId="631839B2">
      <w:pPr>
        <w:numPr>
          <w:ilvl w:val="0"/>
          <w:numId w:val="0"/>
        </w:numPr>
        <w:bidi w:val="0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3.基本支出情况</w:t>
      </w:r>
    </w:p>
    <w:p w14:paraId="219158A6">
      <w:pPr>
        <w:numPr>
          <w:ilvl w:val="0"/>
          <w:numId w:val="0"/>
        </w:numPr>
        <w:bidi w:val="0"/>
        <w:spacing w:line="240" w:lineRule="auto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2023年伊金霍洛旗能源局基本支出5,760.06万元，其中人员支出4,746.40万元，较上年度4,794.00万元，减少47.60万元，降幅为0.99%。公用经费支出1,013.66万元，较上年度951.61万元，增加62.05万元，增幅为6.52%。部门2023年基本支出较2022年度基本支出总体变化不大。</w:t>
      </w:r>
    </w:p>
    <w:p w14:paraId="31D629A5">
      <w:p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4.项目支出情况</w:t>
      </w:r>
    </w:p>
    <w:p w14:paraId="5ACB626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2023年伊金霍洛旗能源局项目支出共2个，项目年初预算金额为151.00万元，实际支出金额 91.00万元，预算执行率为60.26%。除基本项目支出外，伊金霍洛旗能源局2023年还有专项资金支出1,100.00万元，支出项目为煤矿安全改造专项，该项支出为专项资金支出。具体项目支出情况及资金占比情况见表2：</w:t>
      </w:r>
    </w:p>
    <w:p w14:paraId="50E1FFBF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2：2023年度部门项目支出情况表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 xml:space="preserve"> </w:t>
      </w:r>
    </w:p>
    <w:p w14:paraId="2FE5C16E">
      <w:pPr>
        <w:bidi w:val="0"/>
        <w:ind w:left="0" w:leftChars="0" w:firstLine="0" w:firstLineChars="0"/>
        <w:rPr>
          <w:rFonts w:hint="default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 xml:space="preserve">                                                                    单位：万元</w:t>
      </w:r>
    </w:p>
    <w:tbl>
      <w:tblPr>
        <w:tblStyle w:val="1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110"/>
        <w:gridCol w:w="1545"/>
        <w:gridCol w:w="1813"/>
      </w:tblGrid>
      <w:tr w14:paraId="094B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36" w:type="dxa"/>
            <w:vAlign w:val="center"/>
          </w:tcPr>
          <w:p w14:paraId="6931310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4110" w:type="dxa"/>
            <w:vAlign w:val="center"/>
          </w:tcPr>
          <w:p w14:paraId="24DDF4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5" w:type="dxa"/>
            <w:vAlign w:val="center"/>
          </w:tcPr>
          <w:p w14:paraId="60E6171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1813" w:type="dxa"/>
            <w:vAlign w:val="center"/>
          </w:tcPr>
          <w:p w14:paraId="4638780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支出金额</w:t>
            </w:r>
          </w:p>
        </w:tc>
      </w:tr>
      <w:tr w14:paraId="4B7A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6" w:type="dxa"/>
            <w:vAlign w:val="center"/>
          </w:tcPr>
          <w:p w14:paraId="32BDC1F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 w14:paraId="6734A94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春节慰问金</w:t>
            </w:r>
          </w:p>
        </w:tc>
        <w:tc>
          <w:tcPr>
            <w:tcW w:w="1545" w:type="dxa"/>
            <w:vAlign w:val="center"/>
          </w:tcPr>
          <w:p w14:paraId="686426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1.00</w:t>
            </w:r>
          </w:p>
        </w:tc>
        <w:tc>
          <w:tcPr>
            <w:tcW w:w="1813" w:type="dxa"/>
            <w:vAlign w:val="center"/>
          </w:tcPr>
          <w:p w14:paraId="63DB30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1.00</w:t>
            </w:r>
          </w:p>
        </w:tc>
      </w:tr>
      <w:tr w14:paraId="5118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6" w:type="dxa"/>
            <w:vAlign w:val="center"/>
          </w:tcPr>
          <w:p w14:paraId="5E430AF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110" w:type="dxa"/>
            <w:vAlign w:val="center"/>
          </w:tcPr>
          <w:p w14:paraId="4D146CE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网源租用费</w:t>
            </w:r>
          </w:p>
        </w:tc>
        <w:tc>
          <w:tcPr>
            <w:tcW w:w="1545" w:type="dxa"/>
            <w:vAlign w:val="center"/>
          </w:tcPr>
          <w:p w14:paraId="3D0B6B3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150.00</w:t>
            </w:r>
          </w:p>
        </w:tc>
        <w:tc>
          <w:tcPr>
            <w:tcW w:w="1813" w:type="dxa"/>
            <w:vAlign w:val="center"/>
          </w:tcPr>
          <w:p w14:paraId="031A77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90.00</w:t>
            </w:r>
          </w:p>
        </w:tc>
      </w:tr>
      <w:tr w14:paraId="627A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6" w:type="dxa"/>
            <w:vAlign w:val="center"/>
          </w:tcPr>
          <w:p w14:paraId="067020A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110" w:type="dxa"/>
            <w:vAlign w:val="center"/>
          </w:tcPr>
          <w:p w14:paraId="1EF03F0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煤矿安全改造专项（专项资金）</w:t>
            </w:r>
          </w:p>
        </w:tc>
        <w:tc>
          <w:tcPr>
            <w:tcW w:w="1545" w:type="dxa"/>
            <w:vAlign w:val="center"/>
          </w:tcPr>
          <w:p w14:paraId="313B820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4E711A7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1,100.00</w:t>
            </w:r>
          </w:p>
        </w:tc>
      </w:tr>
      <w:tr w14:paraId="6BFA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6" w:type="dxa"/>
            <w:vAlign w:val="center"/>
          </w:tcPr>
          <w:p w14:paraId="4FF6F3D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110" w:type="dxa"/>
            <w:vAlign w:val="center"/>
          </w:tcPr>
          <w:p w14:paraId="241E7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信访专项奖励金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（存量项目）</w:t>
            </w:r>
          </w:p>
        </w:tc>
        <w:tc>
          <w:tcPr>
            <w:tcW w:w="1545" w:type="dxa"/>
            <w:vAlign w:val="center"/>
          </w:tcPr>
          <w:p w14:paraId="7E6B57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5BC38A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</w:tr>
      <w:tr w14:paraId="57BE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6" w:type="dxa"/>
            <w:vAlign w:val="center"/>
          </w:tcPr>
          <w:p w14:paraId="73B841E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4110" w:type="dxa"/>
            <w:vAlign w:val="center"/>
          </w:tcPr>
          <w:p w14:paraId="0D087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升级煤炭市场监管系统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（存量项目）</w:t>
            </w:r>
          </w:p>
        </w:tc>
        <w:tc>
          <w:tcPr>
            <w:tcW w:w="1545" w:type="dxa"/>
            <w:vAlign w:val="center"/>
          </w:tcPr>
          <w:p w14:paraId="53D1F3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3B305ED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.08</w:t>
            </w:r>
          </w:p>
        </w:tc>
      </w:tr>
      <w:tr w14:paraId="0AA7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6" w:type="dxa"/>
            <w:vAlign w:val="center"/>
          </w:tcPr>
          <w:p w14:paraId="2311E84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4110" w:type="dxa"/>
            <w:vAlign w:val="center"/>
          </w:tcPr>
          <w:p w14:paraId="2EBF9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煤炭行业安全生产隐患排查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（存量项目）</w:t>
            </w:r>
          </w:p>
        </w:tc>
        <w:tc>
          <w:tcPr>
            <w:tcW w:w="1545" w:type="dxa"/>
            <w:vAlign w:val="center"/>
          </w:tcPr>
          <w:p w14:paraId="2385F1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2ADCEE6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.62</w:t>
            </w:r>
          </w:p>
        </w:tc>
      </w:tr>
      <w:tr w14:paraId="5B2B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146" w:type="dxa"/>
            <w:gridSpan w:val="2"/>
            <w:vAlign w:val="center"/>
          </w:tcPr>
          <w:p w14:paraId="450E514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545" w:type="dxa"/>
            <w:vAlign w:val="center"/>
          </w:tcPr>
          <w:p w14:paraId="368A2CD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151.00</w:t>
            </w:r>
          </w:p>
        </w:tc>
        <w:tc>
          <w:tcPr>
            <w:tcW w:w="1813" w:type="dxa"/>
            <w:vAlign w:val="center"/>
          </w:tcPr>
          <w:p w14:paraId="3D81584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1,322.59</w:t>
            </w:r>
          </w:p>
        </w:tc>
      </w:tr>
    </w:tbl>
    <w:p w14:paraId="5ED1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 w14:paraId="25D9B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5.“三公经费”控制情况</w:t>
      </w:r>
    </w:p>
    <w:p w14:paraId="6B6BC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伊金霍洛旗能源局2022年度“三公经费”预算数3.00万元，决算数3.00万元，2023年度“三公经费”预算数3.00万元，决算数3.00万元，支出相比与上年度无变化，支出内容均为公务用车运行维护费，预算完成率均为100%。</w:t>
      </w:r>
    </w:p>
    <w:p w14:paraId="5D1231FD">
      <w:pPr>
        <w:pStyle w:val="5"/>
        <w:bidi w:val="0"/>
        <w:rPr>
          <w:rFonts w:hint="eastAsia"/>
          <w:lang w:val="en-US" w:eastAsia="zh-CN"/>
        </w:rPr>
      </w:pPr>
      <w:bookmarkStart w:id="3" w:name="_Toc14632"/>
      <w:r>
        <w:rPr>
          <w:rFonts w:hint="eastAsia"/>
          <w:lang w:val="en-US" w:eastAsia="zh-CN"/>
        </w:rPr>
        <w:t>（四）部门资产情况</w:t>
      </w:r>
      <w:bookmarkEnd w:id="3"/>
    </w:p>
    <w:p w14:paraId="339386C9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textAlignment w:val="auto"/>
        <w:rPr>
          <w:rFonts w:hint="eastAsia" w:ascii="方正仿宋_GB2312" w:hAnsi="方正仿宋_GB2312" w:eastAsia="方正仿宋_GB2312" w:cs="方正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截止2023年末，伊金霍洛旗能源局共有1317项固定资产，资产账面原值1,668.98万元，累计折旧1,078.48万元，账面净值为590.50万元。2023年度单位共新增28项固定资产，金额共计66.28万元。单位固定资产情况见表3：</w:t>
      </w:r>
    </w:p>
    <w:p w14:paraId="36C43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3：截止2023年末部门固定资产情况表</w:t>
      </w:r>
    </w:p>
    <w:p w14:paraId="71A68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单位：万元</w:t>
      </w:r>
    </w:p>
    <w:tbl>
      <w:tblPr>
        <w:tblStyle w:val="1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994"/>
        <w:gridCol w:w="1994"/>
        <w:gridCol w:w="1971"/>
      </w:tblGrid>
      <w:tr w14:paraId="2A15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757" w:type="dxa"/>
            <w:vAlign w:val="top"/>
          </w:tcPr>
          <w:p w14:paraId="1033E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类别</w:t>
            </w:r>
          </w:p>
        </w:tc>
        <w:tc>
          <w:tcPr>
            <w:tcW w:w="2133" w:type="dxa"/>
            <w:vAlign w:val="top"/>
          </w:tcPr>
          <w:p w14:paraId="53E07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账面原值</w:t>
            </w:r>
          </w:p>
        </w:tc>
        <w:tc>
          <w:tcPr>
            <w:tcW w:w="2133" w:type="dxa"/>
            <w:vAlign w:val="top"/>
          </w:tcPr>
          <w:p w14:paraId="7C8F8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累计折旧</w:t>
            </w:r>
          </w:p>
        </w:tc>
        <w:tc>
          <w:tcPr>
            <w:tcW w:w="2135" w:type="dxa"/>
            <w:vAlign w:val="top"/>
          </w:tcPr>
          <w:p w14:paraId="3367C9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净值</w:t>
            </w:r>
          </w:p>
        </w:tc>
      </w:tr>
      <w:tr w14:paraId="0EFE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57" w:type="dxa"/>
            <w:vAlign w:val="top"/>
          </w:tcPr>
          <w:p w14:paraId="5C246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房屋及构筑物</w:t>
            </w:r>
          </w:p>
        </w:tc>
        <w:tc>
          <w:tcPr>
            <w:tcW w:w="2133" w:type="dxa"/>
            <w:vAlign w:val="top"/>
          </w:tcPr>
          <w:p w14:paraId="78086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698.77</w:t>
            </w:r>
          </w:p>
        </w:tc>
        <w:tc>
          <w:tcPr>
            <w:tcW w:w="2133" w:type="dxa"/>
            <w:vAlign w:val="top"/>
          </w:tcPr>
          <w:p w14:paraId="4F3A1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348.43</w:t>
            </w:r>
          </w:p>
        </w:tc>
        <w:tc>
          <w:tcPr>
            <w:tcW w:w="2135" w:type="dxa"/>
            <w:vAlign w:val="top"/>
          </w:tcPr>
          <w:p w14:paraId="0C322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350.34</w:t>
            </w:r>
          </w:p>
        </w:tc>
      </w:tr>
      <w:tr w14:paraId="4918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57" w:type="dxa"/>
            <w:vAlign w:val="top"/>
          </w:tcPr>
          <w:p w14:paraId="7A02C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设备</w:t>
            </w:r>
          </w:p>
        </w:tc>
        <w:tc>
          <w:tcPr>
            <w:tcW w:w="2133" w:type="dxa"/>
            <w:vAlign w:val="top"/>
          </w:tcPr>
          <w:p w14:paraId="586FFA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881.40</w:t>
            </w:r>
          </w:p>
        </w:tc>
        <w:tc>
          <w:tcPr>
            <w:tcW w:w="2133" w:type="dxa"/>
            <w:vAlign w:val="top"/>
          </w:tcPr>
          <w:p w14:paraId="2D18B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699.46</w:t>
            </w:r>
          </w:p>
        </w:tc>
        <w:tc>
          <w:tcPr>
            <w:tcW w:w="2135" w:type="dxa"/>
            <w:vAlign w:val="top"/>
          </w:tcPr>
          <w:p w14:paraId="56761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181.94</w:t>
            </w:r>
          </w:p>
        </w:tc>
      </w:tr>
      <w:tr w14:paraId="2F6C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57" w:type="dxa"/>
            <w:vAlign w:val="top"/>
          </w:tcPr>
          <w:p w14:paraId="4F1D9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家具和用具</w:t>
            </w:r>
          </w:p>
        </w:tc>
        <w:tc>
          <w:tcPr>
            <w:tcW w:w="2133" w:type="dxa"/>
            <w:vAlign w:val="top"/>
          </w:tcPr>
          <w:p w14:paraId="1D850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48.87</w:t>
            </w:r>
          </w:p>
        </w:tc>
        <w:tc>
          <w:tcPr>
            <w:tcW w:w="2133" w:type="dxa"/>
            <w:vAlign w:val="top"/>
          </w:tcPr>
          <w:p w14:paraId="15BB0B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18.60</w:t>
            </w:r>
          </w:p>
        </w:tc>
        <w:tc>
          <w:tcPr>
            <w:tcW w:w="2135" w:type="dxa"/>
            <w:vAlign w:val="top"/>
          </w:tcPr>
          <w:p w14:paraId="74632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30.27</w:t>
            </w:r>
          </w:p>
        </w:tc>
      </w:tr>
      <w:tr w14:paraId="6625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57" w:type="dxa"/>
            <w:vAlign w:val="top"/>
          </w:tcPr>
          <w:p w14:paraId="224D7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无形资产</w:t>
            </w:r>
          </w:p>
        </w:tc>
        <w:tc>
          <w:tcPr>
            <w:tcW w:w="2133" w:type="dxa"/>
            <w:vAlign w:val="top"/>
          </w:tcPr>
          <w:p w14:paraId="430EF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39.94</w:t>
            </w:r>
          </w:p>
        </w:tc>
        <w:tc>
          <w:tcPr>
            <w:tcW w:w="2133" w:type="dxa"/>
            <w:vAlign w:val="top"/>
          </w:tcPr>
          <w:p w14:paraId="0E095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11.99</w:t>
            </w:r>
          </w:p>
        </w:tc>
        <w:tc>
          <w:tcPr>
            <w:tcW w:w="2135" w:type="dxa"/>
            <w:vAlign w:val="top"/>
          </w:tcPr>
          <w:p w14:paraId="7E44D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27.95</w:t>
            </w:r>
          </w:p>
        </w:tc>
      </w:tr>
      <w:tr w14:paraId="75F8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57" w:type="dxa"/>
            <w:vAlign w:val="top"/>
          </w:tcPr>
          <w:p w14:paraId="78267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2133" w:type="dxa"/>
            <w:vAlign w:val="top"/>
          </w:tcPr>
          <w:p w14:paraId="7B2A6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1,668.98 </w:t>
            </w:r>
          </w:p>
        </w:tc>
        <w:tc>
          <w:tcPr>
            <w:tcW w:w="2133" w:type="dxa"/>
            <w:vAlign w:val="top"/>
          </w:tcPr>
          <w:p w14:paraId="22CA3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1,078.48 </w:t>
            </w:r>
          </w:p>
        </w:tc>
        <w:tc>
          <w:tcPr>
            <w:tcW w:w="2135" w:type="dxa"/>
            <w:vAlign w:val="top"/>
          </w:tcPr>
          <w:p w14:paraId="5DC32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590.50 </w:t>
            </w:r>
          </w:p>
        </w:tc>
      </w:tr>
    </w:tbl>
    <w:p w14:paraId="5D993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黑体" w:cstheme="minorBidi"/>
          <w:kern w:val="44"/>
          <w:sz w:val="32"/>
          <w:szCs w:val="24"/>
          <w:lang w:val="en-US" w:eastAsia="zh-CN" w:bidi="ar-SA"/>
        </w:rPr>
      </w:pPr>
      <w:bookmarkStart w:id="4" w:name="_Toc5746"/>
    </w:p>
    <w:p w14:paraId="6AC07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黑体" w:cstheme="minorBidi"/>
          <w:kern w:val="44"/>
          <w:sz w:val="32"/>
          <w:szCs w:val="24"/>
          <w:lang w:val="en-US" w:eastAsia="zh-CN" w:bidi="ar-SA"/>
        </w:rPr>
      </w:pPr>
      <w:r>
        <w:rPr>
          <w:rFonts w:hint="eastAsia" w:eastAsia="黑体" w:cstheme="minorBidi"/>
          <w:kern w:val="44"/>
          <w:sz w:val="32"/>
          <w:szCs w:val="24"/>
          <w:lang w:val="en-US" w:eastAsia="zh-CN" w:bidi="ar-SA"/>
        </w:rPr>
        <w:t>二</w:t>
      </w:r>
      <w:r>
        <w:rPr>
          <w:rFonts w:hint="eastAsia" w:eastAsia="黑体" w:cstheme="minorBidi"/>
          <w:kern w:val="44"/>
          <w:sz w:val="32"/>
          <w:szCs w:val="24"/>
          <w:lang w:val="en-US" w:eastAsia="zh-CN" w:bidi="ar-SA"/>
        </w:rPr>
        <w:t>、综合评价情况及评价结论</w:t>
      </w:r>
      <w:bookmarkEnd w:id="4"/>
    </w:p>
    <w:p w14:paraId="04EE4AE7">
      <w:pPr>
        <w:pStyle w:val="4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  <w:t>根据此次调查收集的资料进行整理分析，对数据进行汇总计算，结合被调查部门的实际情况，真实客观地对伊金霍洛旗能源局2023年度部门整体绩效支出评价情况予以打分评价，最终评价得分为88.13分，总体评价等级为“良”。</w:t>
      </w:r>
      <w:bookmarkStart w:id="5" w:name="_Toc14673"/>
    </w:p>
    <w:p w14:paraId="41953EC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 w:cstheme="minorBidi"/>
          <w:kern w:val="44"/>
          <w:sz w:val="32"/>
          <w:szCs w:val="24"/>
          <w:lang w:val="en-US" w:eastAsia="zh-CN" w:bidi="ar-SA"/>
        </w:rPr>
        <w:t>三</w:t>
      </w:r>
      <w:r>
        <w:rPr>
          <w:rFonts w:hint="eastAsia" w:ascii="仿宋_GB2312" w:hAnsi="仿宋_GB2312" w:eastAsia="黑体" w:cstheme="minorBidi"/>
          <w:kern w:val="44"/>
          <w:sz w:val="32"/>
          <w:szCs w:val="24"/>
          <w:lang w:val="en-US" w:eastAsia="zh-CN" w:bidi="ar-SA"/>
        </w:rPr>
        <w:t>、</w:t>
      </w:r>
      <w:bookmarkEnd w:id="5"/>
      <w:bookmarkStart w:id="6" w:name="_Toc25705"/>
      <w:r>
        <w:rPr>
          <w:rFonts w:hint="eastAsia"/>
          <w:lang w:val="en-US" w:eastAsia="zh-CN"/>
        </w:rPr>
        <w:t>存在的问题及建议</w:t>
      </w:r>
      <w:bookmarkEnd w:id="6"/>
    </w:p>
    <w:p w14:paraId="3CC3BD55">
      <w:pPr>
        <w:pStyle w:val="5"/>
        <w:bidi w:val="0"/>
        <w:rPr>
          <w:rFonts w:hint="eastAsia"/>
          <w:lang w:val="en-US" w:eastAsia="zh-CN"/>
        </w:rPr>
      </w:pPr>
      <w:bookmarkStart w:id="7" w:name="_Toc28960"/>
      <w:r>
        <w:rPr>
          <w:rFonts w:hint="eastAsia"/>
          <w:lang w:val="en-US" w:eastAsia="zh-CN"/>
        </w:rPr>
        <w:t>（一）存在的问题及原因分析</w:t>
      </w:r>
      <w:bookmarkEnd w:id="7"/>
    </w:p>
    <w:p w14:paraId="79F9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1.预算编制不科学，公用经费预决算差异率大</w:t>
      </w:r>
    </w:p>
    <w:p w14:paraId="4182C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2023年度伊金霍洛旗能源局公用经费预决算差异率217.35%，公用经费预决算差异率大，原因为业务部门对自身公用经费预算金额不准确。</w:t>
      </w:r>
    </w:p>
    <w:p w14:paraId="06C28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2E54A1" w:themeColor="accent1" w:themeShade="B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2.部门对绩效评价管理工作重视程度不够，绩效评价管理工作有待加强</w:t>
      </w:r>
      <w:r>
        <w:rPr>
          <w:rFonts w:hint="eastAsia"/>
          <w:color w:val="2E54A1" w:themeColor="accent1" w:themeShade="BF"/>
          <w:lang w:val="en-US" w:eastAsia="zh-CN"/>
        </w:rPr>
        <w:t xml:space="preserve">  </w:t>
      </w:r>
    </w:p>
    <w:p w14:paraId="7400E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部门绩效评价管理工作未纳入部门党组会议议题，对绩效评价工作重视程度不够，具体业务部门对绩效管理工作的重要性认识不足。主要原因为部门绩效管理工作没有明确职责分工，项目相关科室参与指标设立、绩效监控与评价较少，导致自评报告质量不高，项目支出绩效监控不到位。</w:t>
      </w:r>
    </w:p>
    <w:p w14:paraId="46A12ABE"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/>
          <w:lang w:val="en-US" w:eastAsia="zh-CN"/>
        </w:rPr>
      </w:pPr>
      <w:bookmarkStart w:id="8" w:name="_Toc11210"/>
      <w:r>
        <w:rPr>
          <w:rFonts w:hint="eastAsia"/>
          <w:lang w:val="en-US" w:eastAsia="zh-CN"/>
        </w:rPr>
        <w:t>（二）有关建议</w:t>
      </w:r>
      <w:bookmarkEnd w:id="8"/>
    </w:p>
    <w:p w14:paraId="4EA9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1.提高预算编制的科学性</w:t>
      </w:r>
    </w:p>
    <w:p w14:paraId="07D03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部门预算编制的重要性，部门要给予充足的预算编制时间及人员配置，同时要求业务部门全力配合，使预算编制人员能够对本单位的财务运行状况加以总体把握，并做好预算编制参考数据及信息的收集整理工作，及时论证部门预算项目，在确保项目可行的基础上再制定出具体的编制计划，以提高预算编制的准确性和针对性。</w:t>
      </w:r>
    </w:p>
    <w:p w14:paraId="1784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2.加强部门绩效目标管理工作</w:t>
      </w:r>
    </w:p>
    <w:p w14:paraId="75CD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门应将绩效评价管理工作纳入部门党组会议议题，提高部门对绩效评价管理工作的重视程度。绩效管理部门与业务部门应加强对绩效评价相关法规、制度的学习，提升绩效评价目标制定、跟踪、自评能力，同时应将相关结果应用到业务部门及后续项目管理中。</w:t>
      </w:r>
    </w:p>
    <w:p w14:paraId="2975AD41">
      <w:pPr>
        <w:pStyle w:val="14"/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463" w:bottom="1440" w:left="146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784FA8-4DAD-4CBA-9384-76190E2B6E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8CDD50-5705-4502-B805-A95C7557BB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733B4C-C7D9-4649-8BB3-2A3D2E059378}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767AC6D-F536-46B9-BDCA-2ED5684ED11F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2EEBCE9-BBBC-452B-B72A-2ED543BD0A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17892">
    <w:pPr>
      <w:pStyle w:val="9"/>
      <w:tabs>
        <w:tab w:val="center" w:pos="4490"/>
        <w:tab w:val="clear" w:pos="4153"/>
      </w:tabs>
      <w:rPr>
        <w:rFonts w:hint="eastAsia"/>
        <w:lang w:eastAsia="zh-CN"/>
      </w:rPr>
    </w:pP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EFE7D">
    <w:pPr>
      <w:pStyle w:val="10"/>
      <w:ind w:left="0" w:leftChars="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0AB69"/>
    <w:multiLevelType w:val="singleLevel"/>
    <w:tmpl w:val="D4A0AB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TIzNzM2YzNlMmFhZWM2Yzc3ZWFmMzIyZjM0N2YifQ=="/>
  </w:docVars>
  <w:rsids>
    <w:rsidRoot w:val="00000000"/>
    <w:rsid w:val="01AE65B2"/>
    <w:rsid w:val="01FC78FE"/>
    <w:rsid w:val="034D1275"/>
    <w:rsid w:val="042711EB"/>
    <w:rsid w:val="04D7511B"/>
    <w:rsid w:val="04D85563"/>
    <w:rsid w:val="059B7E92"/>
    <w:rsid w:val="05A60D9A"/>
    <w:rsid w:val="079A67B1"/>
    <w:rsid w:val="08D628C5"/>
    <w:rsid w:val="09397C96"/>
    <w:rsid w:val="09DB5D48"/>
    <w:rsid w:val="0A724177"/>
    <w:rsid w:val="0A9B00BE"/>
    <w:rsid w:val="0B756AEB"/>
    <w:rsid w:val="0C1C783A"/>
    <w:rsid w:val="0D566E4E"/>
    <w:rsid w:val="0FA922C7"/>
    <w:rsid w:val="113D5440"/>
    <w:rsid w:val="11C049F1"/>
    <w:rsid w:val="123731EE"/>
    <w:rsid w:val="12755C92"/>
    <w:rsid w:val="138228A6"/>
    <w:rsid w:val="1399374C"/>
    <w:rsid w:val="149C1746"/>
    <w:rsid w:val="157B75AD"/>
    <w:rsid w:val="178356BB"/>
    <w:rsid w:val="194A79C2"/>
    <w:rsid w:val="1A50725A"/>
    <w:rsid w:val="1A7D3479"/>
    <w:rsid w:val="1B854CE1"/>
    <w:rsid w:val="1C065859"/>
    <w:rsid w:val="1C976361"/>
    <w:rsid w:val="1CAC2785"/>
    <w:rsid w:val="1D4A032F"/>
    <w:rsid w:val="1E215313"/>
    <w:rsid w:val="205E01F7"/>
    <w:rsid w:val="2091237A"/>
    <w:rsid w:val="210D69AE"/>
    <w:rsid w:val="21354C4D"/>
    <w:rsid w:val="22FD42C4"/>
    <w:rsid w:val="23493CB7"/>
    <w:rsid w:val="26815F37"/>
    <w:rsid w:val="26FE2F77"/>
    <w:rsid w:val="284E24F2"/>
    <w:rsid w:val="2A685EFA"/>
    <w:rsid w:val="2BF32AA6"/>
    <w:rsid w:val="2C5D5A84"/>
    <w:rsid w:val="2C9D32AB"/>
    <w:rsid w:val="2DDA7B1D"/>
    <w:rsid w:val="30BA48E7"/>
    <w:rsid w:val="31D10829"/>
    <w:rsid w:val="330E785B"/>
    <w:rsid w:val="336E33D1"/>
    <w:rsid w:val="33F04676"/>
    <w:rsid w:val="35732B30"/>
    <w:rsid w:val="35F7153B"/>
    <w:rsid w:val="369A5E70"/>
    <w:rsid w:val="36BC5F8D"/>
    <w:rsid w:val="37B7226F"/>
    <w:rsid w:val="3A5C534F"/>
    <w:rsid w:val="3AC40B2B"/>
    <w:rsid w:val="3CE6087F"/>
    <w:rsid w:val="3E686071"/>
    <w:rsid w:val="3F9A4950"/>
    <w:rsid w:val="4036303A"/>
    <w:rsid w:val="42664FBD"/>
    <w:rsid w:val="447333EF"/>
    <w:rsid w:val="44842BE1"/>
    <w:rsid w:val="487C41DD"/>
    <w:rsid w:val="48F36E7F"/>
    <w:rsid w:val="4942391C"/>
    <w:rsid w:val="4A2F7F55"/>
    <w:rsid w:val="4C171372"/>
    <w:rsid w:val="4CFE5A61"/>
    <w:rsid w:val="4D482FC0"/>
    <w:rsid w:val="4EB85158"/>
    <w:rsid w:val="4EEB202A"/>
    <w:rsid w:val="4FC450D1"/>
    <w:rsid w:val="50AB53FE"/>
    <w:rsid w:val="511215CC"/>
    <w:rsid w:val="51BD7008"/>
    <w:rsid w:val="5312631B"/>
    <w:rsid w:val="5338205E"/>
    <w:rsid w:val="54343F2E"/>
    <w:rsid w:val="554C0940"/>
    <w:rsid w:val="56156687"/>
    <w:rsid w:val="58EE54A3"/>
    <w:rsid w:val="5996188C"/>
    <w:rsid w:val="5A507229"/>
    <w:rsid w:val="5A613292"/>
    <w:rsid w:val="5B5E5B93"/>
    <w:rsid w:val="5E4B6C0C"/>
    <w:rsid w:val="602124A2"/>
    <w:rsid w:val="612B3253"/>
    <w:rsid w:val="61362835"/>
    <w:rsid w:val="6371393B"/>
    <w:rsid w:val="64D423E2"/>
    <w:rsid w:val="666F40FC"/>
    <w:rsid w:val="67040807"/>
    <w:rsid w:val="67D85766"/>
    <w:rsid w:val="690E38E8"/>
    <w:rsid w:val="69514042"/>
    <w:rsid w:val="6A120CD1"/>
    <w:rsid w:val="6A2563D3"/>
    <w:rsid w:val="6A647785"/>
    <w:rsid w:val="6DFE0F43"/>
    <w:rsid w:val="6E5813AF"/>
    <w:rsid w:val="703D00D3"/>
    <w:rsid w:val="70803AE8"/>
    <w:rsid w:val="714D0C31"/>
    <w:rsid w:val="72035AD5"/>
    <w:rsid w:val="729A0E22"/>
    <w:rsid w:val="75073003"/>
    <w:rsid w:val="76165DD7"/>
    <w:rsid w:val="77CD69BF"/>
    <w:rsid w:val="79CA3FA6"/>
    <w:rsid w:val="79F85E99"/>
    <w:rsid w:val="79FB70E4"/>
    <w:rsid w:val="7A1F11F7"/>
    <w:rsid w:val="7B1759BF"/>
    <w:rsid w:val="7D92659D"/>
    <w:rsid w:val="7EB2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unhideWhenUsed/>
    <w:qFormat/>
    <w:uiPriority w:val="0"/>
    <w:pPr>
      <w:keepNext w:val="0"/>
      <w:keepLines w:val="0"/>
      <w:kinsoku w:val="0"/>
      <w:overflowPunct w:val="0"/>
      <w:autoSpaceDE w:val="0"/>
      <w:autoSpaceDN w:val="0"/>
      <w:adjustRightInd w:val="0"/>
      <w:snapToGrid w:val="0"/>
      <w:spacing w:line="360" w:lineRule="auto"/>
      <w:ind w:firstLine="600" w:firstLineChars="200"/>
      <w:outlineLvl w:val="1"/>
    </w:pPr>
    <w:rPr>
      <w:rFonts w:ascii="Courier" w:hAnsi="Courier" w:eastAsia="楷体_GB2312"/>
      <w:bCs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54A1" w:themeColor="accent1" w:themeShade="BF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index 9"/>
    <w:basedOn w:val="1"/>
    <w:next w:val="1"/>
    <w:unhideWhenUsed/>
    <w:qFormat/>
    <w:uiPriority w:val="99"/>
    <w:pPr>
      <w:spacing w:beforeLines="0" w:afterLines="0"/>
      <w:ind w:left="3360"/>
    </w:pPr>
    <w:rPr>
      <w:rFonts w:hint="default"/>
      <w:sz w:val="21"/>
    </w:rPr>
  </w:style>
  <w:style w:type="paragraph" w:styleId="7">
    <w:name w:val="Normal Indent"/>
    <w:basedOn w:val="1"/>
    <w:next w:val="6"/>
    <w:qFormat/>
    <w:uiPriority w:val="99"/>
    <w:pPr>
      <w:ind w:firstLine="567"/>
    </w:pPr>
    <w:rPr>
      <w:rFonts w:ascii="Calibri" w:hAnsi="Calibri" w:eastAsia="宋体" w:cs="Calibri"/>
      <w:szCs w:val="21"/>
    </w:rPr>
  </w:style>
  <w:style w:type="paragraph" w:styleId="8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8714"/>
      </w:tabs>
      <w:spacing w:line="360" w:lineRule="auto"/>
      <w:ind w:left="350" w:leftChars="350"/>
      <w:jc w:val="left"/>
    </w:pPr>
    <w:rPr>
      <w:rFonts w:eastAsia="System" w:cs="MS Mincho"/>
      <w:smallCaps/>
      <w:sz w:val="30"/>
      <w:szCs w:val="20"/>
    </w:rPr>
  </w:style>
  <w:style w:type="paragraph" w:styleId="14">
    <w:name w:val="Body Text First Indent 2"/>
    <w:basedOn w:val="1"/>
    <w:qFormat/>
    <w:uiPriority w:val="0"/>
    <w:pPr>
      <w:spacing w:after="0" w:line="360" w:lineRule="auto"/>
      <w:ind w:left="0" w:leftChars="0" w:firstLine="420" w:firstLineChars="200"/>
    </w:pPr>
    <w:rPr>
      <w:rFonts w:ascii="Times New Roman" w:hAnsi="Times New Roman" w:eastAsia="宋体" w:cs="Times New Roman"/>
      <w:sz w:val="24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19">
    <w:name w:val="独立格式"/>
    <w:basedOn w:val="12"/>
    <w:autoRedefine/>
    <w:qFormat/>
    <w:uiPriority w:val="1"/>
    <w:pPr>
      <w:spacing w:before="0" w:after="0" w:line="360" w:lineRule="auto"/>
      <w:outlineLvl w:val="9"/>
    </w:pPr>
    <w:rPr>
      <w:rFonts w:ascii="Times New Roman" w:hAnsi="Times New Roman" w:eastAsia="System" w:cs="Times New Roman"/>
      <w:b w:val="0"/>
      <w:bCs w:val="0"/>
      <w:kern w:val="2"/>
      <w:szCs w:val="52"/>
    </w:rPr>
  </w:style>
  <w:style w:type="paragraph" w:customStyle="1" w:styleId="20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2">
    <w:name w:val="表格名称"/>
    <w:basedOn w:val="1"/>
    <w:autoRedefine/>
    <w:qFormat/>
    <w:uiPriority w:val="0"/>
    <w:pPr>
      <w:spacing w:line="360" w:lineRule="auto"/>
      <w:jc w:val="center"/>
    </w:pPr>
    <w:rPr>
      <w:rFonts w:eastAsia="System" w:cs="Wingdings"/>
      <w:b/>
      <w:sz w:val="24"/>
      <w:szCs w:val="24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19071</Words>
  <Characters>20820</Characters>
  <Lines>1</Lines>
  <Paragraphs>1</Paragraphs>
  <TotalTime>22</TotalTime>
  <ScaleCrop>false</ScaleCrop>
  <LinksUpToDate>false</LinksUpToDate>
  <CharactersWithSpaces>21348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杨勇</cp:lastModifiedBy>
  <cp:lastPrinted>2024-08-09T06:52:00Z</cp:lastPrinted>
  <dcterms:modified xsi:type="dcterms:W3CDTF">2024-08-21T12:46:20Z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0A4C5BC74C1B442786D79421C0466F9E_12</vt:lpwstr>
  </property>
</Properties>
</file>