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8031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基础设施维修维护</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lang w:eastAsia="zh-CN"/>
        </w:rPr>
        <w:t>绿化养护节点品质提升项目</w:t>
      </w:r>
    </w:p>
    <w:p w14:paraId="14B05D27">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rPr>
        <w:t>绩效评价报告</w:t>
      </w:r>
      <w:r>
        <w:rPr>
          <w:rFonts w:hint="eastAsia" w:ascii="方正小标宋简体" w:hAnsi="方正小标宋简体" w:eastAsia="方正小标宋简体" w:cs="方正小标宋简体"/>
          <w:sz w:val="36"/>
          <w:szCs w:val="36"/>
          <w:lang w:val="en-US" w:eastAsia="zh-CN"/>
        </w:rPr>
        <w:t>简要版</w:t>
      </w:r>
    </w:p>
    <w:p w14:paraId="44DE94DC">
      <w:pPr>
        <w:ind w:firstLine="640"/>
      </w:pPr>
    </w:p>
    <w:p w14:paraId="741F20FC">
      <w:pPr>
        <w:overflowPunct/>
        <w:autoSpaceDE/>
        <w:autoSpaceDN/>
        <w:ind w:firstLine="640"/>
        <w:outlineLvl w:val="0"/>
        <w:rPr>
          <w:rFonts w:hint="default" w:ascii="黑体" w:hAnsi="黑体" w:eastAsia="黑体" w:cs="黑体"/>
          <w:lang w:val="en-US" w:eastAsia="zh-CN"/>
        </w:rPr>
      </w:pPr>
      <w:bookmarkStart w:id="0" w:name="_Toc15106"/>
      <w:bookmarkStart w:id="1" w:name="_Toc23671"/>
      <w:bookmarkStart w:id="2" w:name="_Toc14046"/>
      <w:bookmarkStart w:id="3" w:name="_Toc5864"/>
      <w:bookmarkStart w:id="4" w:name="_Toc28702"/>
      <w:bookmarkStart w:id="5" w:name="_Toc11320"/>
      <w:bookmarkStart w:id="6" w:name="_Toc29733"/>
      <w:r>
        <w:rPr>
          <w:rFonts w:hint="eastAsia" w:ascii="黑体" w:hAnsi="黑体" w:eastAsia="黑体" w:cs="黑体"/>
          <w:lang w:val="en-US" w:eastAsia="zh-CN"/>
        </w:rPr>
        <w:t>一、</w:t>
      </w:r>
      <w:bookmarkEnd w:id="0"/>
      <w:r>
        <w:rPr>
          <w:rFonts w:hint="eastAsia" w:ascii="黑体" w:hAnsi="黑体" w:eastAsia="黑体" w:cs="黑体"/>
          <w:lang w:val="en-US" w:eastAsia="zh-CN"/>
        </w:rPr>
        <w:t>项目基本情况</w:t>
      </w:r>
      <w:bookmarkEnd w:id="1"/>
      <w:bookmarkEnd w:id="2"/>
      <w:bookmarkEnd w:id="3"/>
      <w:bookmarkEnd w:id="4"/>
      <w:bookmarkEnd w:id="5"/>
      <w:bookmarkEnd w:id="6"/>
    </w:p>
    <w:p w14:paraId="67B964F9">
      <w:pPr>
        <w:pStyle w:val="3"/>
        <w:keepNext w:val="0"/>
        <w:keepLines w:val="0"/>
        <w:ind w:firstLine="640"/>
        <w:rPr>
          <w:rFonts w:hint="default" w:eastAsia="楷体_GB2312"/>
          <w:lang w:val="en-US" w:eastAsia="zh-CN"/>
        </w:rPr>
      </w:pPr>
      <w:bookmarkStart w:id="7" w:name="_Toc12658"/>
      <w:bookmarkStart w:id="8" w:name="_Toc29433"/>
      <w:bookmarkStart w:id="9" w:name="_Toc9917"/>
      <w:bookmarkStart w:id="10" w:name="_Toc18800"/>
      <w:bookmarkStart w:id="11" w:name="_Toc30420"/>
      <w:bookmarkStart w:id="12" w:name="_Toc32341"/>
      <w:bookmarkStart w:id="13" w:name="_Toc28148"/>
      <w:r>
        <w:rPr>
          <w:rFonts w:hint="eastAsia"/>
        </w:rPr>
        <w:t>（一）</w:t>
      </w:r>
      <w:bookmarkEnd w:id="7"/>
      <w:r>
        <w:rPr>
          <w:rFonts w:hint="eastAsia"/>
          <w:lang w:val="en-US" w:eastAsia="zh-CN"/>
        </w:rPr>
        <w:t>项目背景</w:t>
      </w:r>
      <w:bookmarkEnd w:id="8"/>
      <w:bookmarkEnd w:id="9"/>
      <w:bookmarkEnd w:id="10"/>
      <w:bookmarkEnd w:id="11"/>
      <w:bookmarkEnd w:id="12"/>
      <w:bookmarkEnd w:id="13"/>
    </w:p>
    <w:p w14:paraId="6329A558">
      <w:pPr>
        <w:keepNext w:val="0"/>
        <w:keepLines w:val="0"/>
        <w:pageBreakBefore w:val="0"/>
        <w:widowControl w:val="0"/>
        <w:kinsoku/>
        <w:wordWrap/>
        <w:overflowPunct/>
        <w:topLinePunct w:val="0"/>
        <w:autoSpaceDE/>
        <w:autoSpaceDN/>
        <w:bidi w:val="0"/>
        <w:adjustRightInd w:val="0"/>
        <w:snapToGrid w:val="0"/>
        <w:ind w:firstLine="640"/>
        <w:textAlignment w:val="auto"/>
        <w:outlineLvl w:val="9"/>
        <w:rPr>
          <w:rFonts w:hint="eastAsia" w:ascii="仿宋_GB2312" w:cs="仿宋_GB2312"/>
          <w:kern w:val="2"/>
          <w:sz w:val="32"/>
          <w:szCs w:val="32"/>
          <w:highlight w:val="none"/>
          <w:lang w:val="en-US" w:eastAsia="zh" w:bidi="ar-SA"/>
        </w:rPr>
      </w:pPr>
      <w:bookmarkStart w:id="14" w:name="_Toc7782"/>
      <w:bookmarkStart w:id="15" w:name="_Toc107825647"/>
      <w:bookmarkStart w:id="16" w:name="_Toc66377480"/>
      <w:r>
        <w:rPr>
          <w:rFonts w:hint="eastAsia" w:ascii="仿宋_GB2312" w:cs="仿宋_GB2312"/>
          <w:kern w:val="2"/>
          <w:sz w:val="32"/>
          <w:szCs w:val="32"/>
          <w:highlight w:val="none"/>
          <w:lang w:val="en-US" w:eastAsia="zh" w:bidi="ar-SA"/>
        </w:rPr>
        <w:t>鄂尔多斯文化产业发展中心</w:t>
      </w:r>
      <w:bookmarkStart w:id="99" w:name="_GoBack"/>
      <w:bookmarkEnd w:id="99"/>
      <w:r>
        <w:rPr>
          <w:rFonts w:hint="eastAsia" w:ascii="仿宋_GB2312" w:cs="仿宋_GB2312"/>
          <w:kern w:val="2"/>
          <w:sz w:val="32"/>
          <w:szCs w:val="32"/>
          <w:highlight w:val="none"/>
          <w:lang w:val="en-US" w:eastAsia="zh" w:bidi="ar-SA"/>
        </w:rPr>
        <w:t>(曾用名：鄂尔多斯蒙古源流文化产业园区管理委员会)，为伊金霍洛旗人民政府直属公益一类事业单位</w:t>
      </w:r>
      <w:r>
        <w:rPr>
          <w:rFonts w:hint="eastAsia" w:ascii="仿宋_GB2312" w:cs="仿宋_GB2312"/>
          <w:kern w:val="2"/>
          <w:sz w:val="32"/>
          <w:szCs w:val="32"/>
          <w:highlight w:val="none"/>
          <w:lang w:val="en-US" w:eastAsia="zh-CN" w:bidi="ar-SA"/>
        </w:rPr>
        <w:t>。</w:t>
      </w:r>
      <w:r>
        <w:rPr>
          <w:rFonts w:hint="eastAsia" w:ascii="仿宋_GB2312" w:cs="仿宋_GB2312"/>
          <w:kern w:val="2"/>
          <w:sz w:val="32"/>
          <w:szCs w:val="32"/>
          <w:highlight w:val="none"/>
          <w:lang w:val="en-US" w:eastAsia="zh" w:bidi="ar-SA"/>
        </w:rPr>
        <w:t>鄂尔多斯文化产业发展中心承担鄂尔多斯历史文化研究、传承、展示、保护、创新等相关工作。主要职责是:</w:t>
      </w:r>
    </w:p>
    <w:p w14:paraId="2CF027CE">
      <w:pPr>
        <w:keepNext w:val="0"/>
        <w:keepLines w:val="0"/>
        <w:pageBreakBefore w:val="0"/>
        <w:widowControl w:val="0"/>
        <w:kinsoku/>
        <w:wordWrap/>
        <w:overflowPunct/>
        <w:topLinePunct w:val="0"/>
        <w:autoSpaceDE/>
        <w:autoSpaceDN/>
        <w:bidi w:val="0"/>
        <w:adjustRightInd w:val="0"/>
        <w:snapToGrid w:val="0"/>
        <w:ind w:firstLine="640"/>
        <w:textAlignment w:val="auto"/>
        <w:outlineLvl w:val="9"/>
        <w:rPr>
          <w:rFonts w:hint="eastAsia" w:ascii="仿宋_GB2312" w:cs="仿宋_GB2312"/>
          <w:kern w:val="2"/>
          <w:sz w:val="32"/>
          <w:szCs w:val="32"/>
          <w:highlight w:val="none"/>
          <w:lang w:val="en-US" w:eastAsia="zh-CN" w:bidi="ar-SA"/>
        </w:rPr>
      </w:pPr>
      <w:r>
        <w:rPr>
          <w:rFonts w:hint="eastAsia" w:ascii="仿宋_GB2312" w:cs="仿宋_GB2312"/>
          <w:kern w:val="2"/>
          <w:sz w:val="32"/>
          <w:szCs w:val="32"/>
          <w:highlight w:val="none"/>
          <w:lang w:val="en-US" w:eastAsia="zh-CN" w:bidi="ar-SA"/>
        </w:rPr>
        <w:t>1.</w:t>
      </w:r>
      <w:r>
        <w:rPr>
          <w:rFonts w:hint="eastAsia" w:ascii="仿宋_GB2312" w:cs="仿宋_GB2312"/>
          <w:kern w:val="2"/>
          <w:sz w:val="32"/>
          <w:szCs w:val="32"/>
          <w:highlight w:val="none"/>
          <w:lang w:val="en-US" w:eastAsia="zh" w:bidi="ar-SA"/>
        </w:rPr>
        <w:t>贯彻执行文化产业工作有关法律法规、规章政策和决策部署。参与拟订并组织实施中心文化产业发展战略和中长期发展规划，开展总体规划和控制性规划等编报工作</w:t>
      </w:r>
      <w:r>
        <w:rPr>
          <w:rFonts w:hint="eastAsia" w:ascii="仿宋_GB2312" w:cs="仿宋_GB2312"/>
          <w:kern w:val="2"/>
          <w:sz w:val="32"/>
          <w:szCs w:val="32"/>
          <w:highlight w:val="none"/>
          <w:lang w:val="en-US" w:eastAsia="zh-CN" w:bidi="ar-SA"/>
        </w:rPr>
        <w:t>。</w:t>
      </w:r>
    </w:p>
    <w:p w14:paraId="11BFF665">
      <w:pPr>
        <w:keepNext w:val="0"/>
        <w:keepLines w:val="0"/>
        <w:pageBreakBefore w:val="0"/>
        <w:widowControl w:val="0"/>
        <w:kinsoku/>
        <w:wordWrap/>
        <w:overflowPunct/>
        <w:topLinePunct w:val="0"/>
        <w:autoSpaceDE/>
        <w:autoSpaceDN/>
        <w:bidi w:val="0"/>
        <w:adjustRightInd w:val="0"/>
        <w:snapToGrid w:val="0"/>
        <w:ind w:firstLine="640"/>
        <w:textAlignment w:val="auto"/>
        <w:outlineLvl w:val="9"/>
        <w:rPr>
          <w:rFonts w:hint="eastAsia" w:ascii="仿宋_GB2312" w:cs="仿宋_GB2312"/>
          <w:kern w:val="2"/>
          <w:sz w:val="32"/>
          <w:szCs w:val="32"/>
          <w:highlight w:val="none"/>
          <w:lang w:val="en-US" w:eastAsia="zh" w:bidi="ar-SA"/>
        </w:rPr>
      </w:pPr>
      <w:r>
        <w:rPr>
          <w:rFonts w:hint="eastAsia" w:ascii="仿宋_GB2312" w:cs="仿宋_GB2312"/>
          <w:kern w:val="2"/>
          <w:sz w:val="32"/>
          <w:szCs w:val="32"/>
          <w:highlight w:val="none"/>
          <w:lang w:val="en-US" w:eastAsia="zh-CN" w:bidi="ar-SA"/>
        </w:rPr>
        <w:t>2.</w:t>
      </w:r>
      <w:r>
        <w:rPr>
          <w:rFonts w:hint="eastAsia" w:ascii="仿宋_GB2312" w:cs="仿宋_GB2312"/>
          <w:kern w:val="2"/>
          <w:sz w:val="32"/>
          <w:szCs w:val="32"/>
          <w:highlight w:val="none"/>
          <w:lang w:val="en-US" w:eastAsia="zh" w:bidi="ar-SA"/>
        </w:rPr>
        <w:t>承担中心建设项目申报、审查、报批和工程质量进度控制监督管理方面的基础性、辅助性工作。</w:t>
      </w:r>
    </w:p>
    <w:p w14:paraId="4F9357A0">
      <w:pPr>
        <w:keepNext w:val="0"/>
        <w:keepLines w:val="0"/>
        <w:pageBreakBefore w:val="0"/>
        <w:widowControl w:val="0"/>
        <w:kinsoku/>
        <w:wordWrap/>
        <w:overflowPunct/>
        <w:topLinePunct w:val="0"/>
        <w:autoSpaceDE/>
        <w:autoSpaceDN/>
        <w:bidi w:val="0"/>
        <w:adjustRightInd w:val="0"/>
        <w:snapToGrid w:val="0"/>
        <w:ind w:firstLine="640"/>
        <w:textAlignment w:val="auto"/>
        <w:outlineLvl w:val="9"/>
        <w:rPr>
          <w:rFonts w:hint="eastAsia" w:ascii="仿宋_GB2312" w:cs="仿宋_GB2312"/>
          <w:kern w:val="2"/>
          <w:sz w:val="32"/>
          <w:szCs w:val="32"/>
          <w:highlight w:val="none"/>
          <w:lang w:val="en-US" w:eastAsia="zh" w:bidi="ar-SA"/>
        </w:rPr>
      </w:pPr>
      <w:r>
        <w:rPr>
          <w:rFonts w:hint="eastAsia" w:ascii="仿宋_GB2312" w:cs="仿宋_GB2312"/>
          <w:kern w:val="2"/>
          <w:sz w:val="32"/>
          <w:szCs w:val="32"/>
          <w:highlight w:val="none"/>
          <w:lang w:val="en-US" w:eastAsia="zh-CN" w:bidi="ar-SA"/>
        </w:rPr>
        <w:t>3.</w:t>
      </w:r>
      <w:r>
        <w:rPr>
          <w:rFonts w:hint="eastAsia" w:ascii="仿宋_GB2312" w:cs="仿宋_GB2312"/>
          <w:kern w:val="2"/>
          <w:sz w:val="32"/>
          <w:szCs w:val="32"/>
          <w:highlight w:val="none"/>
          <w:lang w:val="en-US" w:eastAsia="zh" w:bidi="ar-SA"/>
        </w:rPr>
        <w:t>组织开展文化产业创新发展研究、孵化工作，开展文创市场开发、文创企业培育等相关服务工作;承担中心智慧文化旅游建设和文化旅游融合发展等工作。</w:t>
      </w:r>
    </w:p>
    <w:p w14:paraId="17C89310">
      <w:pPr>
        <w:keepNext w:val="0"/>
        <w:keepLines w:val="0"/>
        <w:pageBreakBefore w:val="0"/>
        <w:widowControl w:val="0"/>
        <w:kinsoku/>
        <w:wordWrap/>
        <w:overflowPunct/>
        <w:topLinePunct w:val="0"/>
        <w:autoSpaceDE/>
        <w:autoSpaceDN/>
        <w:bidi w:val="0"/>
        <w:adjustRightInd w:val="0"/>
        <w:snapToGrid w:val="0"/>
        <w:ind w:firstLine="640"/>
        <w:textAlignment w:val="auto"/>
        <w:outlineLvl w:val="9"/>
        <w:rPr>
          <w:rFonts w:hint="eastAsia" w:ascii="仿宋_GB2312" w:cs="仿宋_GB2312"/>
          <w:kern w:val="2"/>
          <w:sz w:val="32"/>
          <w:szCs w:val="32"/>
          <w:highlight w:val="none"/>
          <w:lang w:val="en-US" w:eastAsia="zh" w:bidi="ar-SA"/>
        </w:rPr>
      </w:pPr>
      <w:r>
        <w:rPr>
          <w:rFonts w:hint="eastAsia" w:ascii="仿宋_GB2312" w:cs="仿宋_GB2312"/>
          <w:kern w:val="2"/>
          <w:sz w:val="32"/>
          <w:szCs w:val="32"/>
          <w:highlight w:val="none"/>
          <w:lang w:val="en-US" w:eastAsia="zh-CN" w:bidi="ar-SA"/>
        </w:rPr>
        <w:t>4.</w:t>
      </w:r>
      <w:r>
        <w:rPr>
          <w:rFonts w:hint="eastAsia" w:ascii="仿宋_GB2312" w:cs="仿宋_GB2312"/>
          <w:kern w:val="2"/>
          <w:sz w:val="32"/>
          <w:szCs w:val="32"/>
          <w:highlight w:val="none"/>
          <w:lang w:val="en-US" w:eastAsia="zh" w:bidi="ar-SA"/>
        </w:rPr>
        <w:t>承担中心文化旅游项目策划包装、宣传推介、招商引资等相关工作;承担中心文化旅游节会的联络协调、组织策划和品牌运营等相关工作。</w:t>
      </w:r>
    </w:p>
    <w:p w14:paraId="544FA633">
      <w:pPr>
        <w:keepNext w:val="0"/>
        <w:keepLines w:val="0"/>
        <w:pageBreakBefore w:val="0"/>
        <w:widowControl w:val="0"/>
        <w:kinsoku/>
        <w:wordWrap/>
        <w:overflowPunct/>
        <w:topLinePunct w:val="0"/>
        <w:autoSpaceDE/>
        <w:autoSpaceDN/>
        <w:bidi w:val="0"/>
        <w:adjustRightInd w:val="0"/>
        <w:snapToGrid w:val="0"/>
        <w:ind w:firstLine="640"/>
        <w:textAlignment w:val="auto"/>
        <w:outlineLvl w:val="9"/>
        <w:rPr>
          <w:rFonts w:hint="eastAsia" w:ascii="仿宋_GB2312" w:cs="仿宋_GB2312"/>
          <w:kern w:val="2"/>
          <w:sz w:val="32"/>
          <w:szCs w:val="32"/>
          <w:highlight w:val="none"/>
          <w:lang w:val="en-US" w:eastAsia="zh" w:bidi="ar-SA"/>
        </w:rPr>
      </w:pPr>
      <w:r>
        <w:rPr>
          <w:rFonts w:hint="eastAsia" w:ascii="仿宋_GB2312" w:cs="仿宋_GB2312"/>
          <w:kern w:val="2"/>
          <w:sz w:val="32"/>
          <w:szCs w:val="32"/>
          <w:highlight w:val="none"/>
          <w:lang w:val="en-US" w:eastAsia="zh-CN" w:bidi="ar-SA"/>
        </w:rPr>
        <w:t>5.</w:t>
      </w:r>
      <w:r>
        <w:rPr>
          <w:rFonts w:hint="eastAsia" w:ascii="仿宋_GB2312" w:cs="仿宋_GB2312"/>
          <w:kern w:val="2"/>
          <w:sz w:val="32"/>
          <w:szCs w:val="32"/>
          <w:highlight w:val="none"/>
          <w:lang w:val="en-US" w:eastAsia="zh" w:bidi="ar-SA"/>
        </w:rPr>
        <w:t>承担鄂尔多斯影视产业试验区创建工作，开展影视企业引入、剧组引进等相关工作并提供影视产业配套服务，搭建影视全产业链条，建设全境影视基地。</w:t>
      </w:r>
    </w:p>
    <w:p w14:paraId="0AB97188">
      <w:pPr>
        <w:keepNext w:val="0"/>
        <w:keepLines w:val="0"/>
        <w:pageBreakBefore w:val="0"/>
        <w:widowControl w:val="0"/>
        <w:kinsoku/>
        <w:wordWrap/>
        <w:overflowPunct/>
        <w:topLinePunct w:val="0"/>
        <w:autoSpaceDE/>
        <w:autoSpaceDN/>
        <w:bidi w:val="0"/>
        <w:adjustRightInd w:val="0"/>
        <w:snapToGrid w:val="0"/>
        <w:ind w:firstLine="640"/>
        <w:textAlignment w:val="auto"/>
        <w:outlineLvl w:val="9"/>
        <w:rPr>
          <w:rFonts w:hint="eastAsia" w:ascii="仿宋_GB2312" w:cs="仿宋_GB2312"/>
          <w:kern w:val="2"/>
          <w:sz w:val="32"/>
          <w:szCs w:val="32"/>
          <w:highlight w:val="none"/>
          <w:lang w:val="en-US" w:eastAsia="zh" w:bidi="ar-SA"/>
        </w:rPr>
      </w:pPr>
      <w:r>
        <w:rPr>
          <w:rFonts w:hint="eastAsia" w:ascii="仿宋_GB2312" w:cs="仿宋_GB2312"/>
          <w:kern w:val="2"/>
          <w:sz w:val="32"/>
          <w:szCs w:val="32"/>
          <w:highlight w:val="none"/>
          <w:lang w:val="en-US" w:eastAsia="zh-CN" w:bidi="ar-SA"/>
        </w:rPr>
        <w:t>6.</w:t>
      </w:r>
      <w:r>
        <w:rPr>
          <w:rFonts w:hint="eastAsia" w:ascii="仿宋_GB2312" w:cs="仿宋_GB2312"/>
          <w:kern w:val="2"/>
          <w:sz w:val="32"/>
          <w:szCs w:val="32"/>
          <w:highlight w:val="none"/>
          <w:lang w:val="en-US" w:eastAsia="zh" w:bidi="ar-SA"/>
        </w:rPr>
        <w:t>组织协调有关部门开展鄂尔多斯文化保护、挖掘工作，推动学术研究工作，繁荣中华文化、促进民族团结;组织开展各类文化交流活动，负责中心博物馆管理及馆藏文物征集、鉴定、登编、修复、保管等工作。</w:t>
      </w:r>
    </w:p>
    <w:p w14:paraId="4844E5B9">
      <w:pPr>
        <w:keepNext w:val="0"/>
        <w:keepLines w:val="0"/>
        <w:pageBreakBefore w:val="0"/>
        <w:widowControl w:val="0"/>
        <w:kinsoku/>
        <w:wordWrap/>
        <w:overflowPunct/>
        <w:topLinePunct w:val="0"/>
        <w:autoSpaceDE/>
        <w:autoSpaceDN/>
        <w:bidi w:val="0"/>
        <w:adjustRightInd w:val="0"/>
        <w:snapToGrid w:val="0"/>
        <w:ind w:firstLine="640"/>
        <w:textAlignment w:val="auto"/>
        <w:outlineLvl w:val="9"/>
        <w:rPr>
          <w:rFonts w:hint="eastAsia" w:ascii="仿宋_GB2312" w:cs="仿宋_GB2312"/>
          <w:kern w:val="2"/>
          <w:sz w:val="32"/>
          <w:szCs w:val="32"/>
          <w:highlight w:val="none"/>
          <w:lang w:val="en-US" w:eastAsia="zh" w:bidi="ar-SA"/>
        </w:rPr>
      </w:pPr>
      <w:r>
        <w:rPr>
          <w:rFonts w:hint="eastAsia" w:ascii="仿宋_GB2312" w:cs="仿宋_GB2312"/>
          <w:kern w:val="2"/>
          <w:sz w:val="32"/>
          <w:szCs w:val="32"/>
          <w:highlight w:val="none"/>
          <w:lang w:val="en-US" w:eastAsia="zh-CN" w:bidi="ar-SA"/>
        </w:rPr>
        <w:t>7.</w:t>
      </w:r>
      <w:r>
        <w:rPr>
          <w:rFonts w:hint="eastAsia" w:ascii="仿宋_GB2312" w:cs="仿宋_GB2312"/>
          <w:kern w:val="2"/>
          <w:sz w:val="32"/>
          <w:szCs w:val="32"/>
          <w:highlight w:val="none"/>
          <w:lang w:val="en-US" w:eastAsia="zh" w:bidi="ar-SA"/>
        </w:rPr>
        <w:t>承担中心生态环境保护、森林草原防火、防汛环境卫生管理等工作;承担中心水、电、气、路、暖等公用基础设施的维护管理工作。</w:t>
      </w:r>
    </w:p>
    <w:p w14:paraId="157FF7A6">
      <w:pPr>
        <w:keepNext w:val="0"/>
        <w:keepLines w:val="0"/>
        <w:pageBreakBefore w:val="0"/>
        <w:widowControl w:val="0"/>
        <w:kinsoku/>
        <w:wordWrap/>
        <w:overflowPunct/>
        <w:topLinePunct w:val="0"/>
        <w:autoSpaceDE/>
        <w:autoSpaceDN/>
        <w:bidi w:val="0"/>
        <w:adjustRightInd w:val="0"/>
        <w:snapToGrid w:val="0"/>
        <w:ind w:firstLine="640"/>
        <w:textAlignment w:val="auto"/>
        <w:outlineLvl w:val="9"/>
        <w:rPr>
          <w:rFonts w:hint="eastAsia" w:ascii="仿宋_GB2312" w:eastAsia="仿宋_GB2312" w:cs="仿宋_GB2312"/>
          <w:kern w:val="2"/>
          <w:sz w:val="32"/>
          <w:szCs w:val="32"/>
          <w:highlight w:val="none"/>
          <w:lang w:val="en-US" w:eastAsia="zh-CN" w:bidi="ar-SA"/>
        </w:rPr>
      </w:pPr>
      <w:r>
        <w:rPr>
          <w:rFonts w:hint="eastAsia" w:ascii="仿宋_GB2312" w:cs="仿宋_GB2312"/>
          <w:kern w:val="2"/>
          <w:sz w:val="32"/>
          <w:szCs w:val="32"/>
          <w:highlight w:val="none"/>
          <w:lang w:val="en-US" w:eastAsia="zh-CN" w:bidi="ar-SA"/>
        </w:rPr>
        <w:t>8.</w:t>
      </w:r>
      <w:r>
        <w:rPr>
          <w:rFonts w:hint="eastAsia" w:ascii="仿宋_GB2312" w:cs="仿宋_GB2312"/>
          <w:kern w:val="2"/>
          <w:sz w:val="32"/>
          <w:szCs w:val="32"/>
          <w:highlight w:val="none"/>
          <w:lang w:val="en-US" w:eastAsia="zh" w:bidi="ar-SA"/>
        </w:rPr>
        <w:t>完成伊金霍洛旗人民政府交办的其他任务</w:t>
      </w:r>
      <w:r>
        <w:rPr>
          <w:rFonts w:hint="eastAsia" w:ascii="仿宋_GB2312" w:cs="仿宋_GB2312"/>
          <w:kern w:val="2"/>
          <w:sz w:val="32"/>
          <w:szCs w:val="32"/>
          <w:highlight w:val="none"/>
          <w:lang w:val="en-US" w:eastAsia="zh-CN" w:bidi="ar-SA"/>
        </w:rPr>
        <w:t>。</w:t>
      </w:r>
    </w:p>
    <w:bookmarkEnd w:id="14"/>
    <w:p w14:paraId="6AC0B7B9">
      <w:pPr>
        <w:pStyle w:val="3"/>
        <w:keepNext w:val="0"/>
        <w:keepLines w:val="0"/>
        <w:numPr>
          <w:ilvl w:val="0"/>
          <w:numId w:val="0"/>
        </w:numPr>
        <w:overflowPunct/>
        <w:autoSpaceDE/>
        <w:autoSpaceDN/>
        <w:ind w:firstLine="640" w:firstLineChars="200"/>
        <w:rPr>
          <w:rFonts w:hint="default"/>
          <w:lang w:val="en-US"/>
        </w:rPr>
      </w:pPr>
      <w:bookmarkStart w:id="17" w:name="_Toc20578"/>
      <w:bookmarkStart w:id="18" w:name="_Toc26530"/>
      <w:bookmarkStart w:id="19" w:name="_Toc30938"/>
      <w:bookmarkStart w:id="20" w:name="_Toc27518"/>
      <w:bookmarkStart w:id="21" w:name="_Toc8188"/>
      <w:bookmarkStart w:id="22" w:name="_Toc21478"/>
      <w:r>
        <w:rPr>
          <w:rFonts w:hint="eastAsia" w:ascii="Arial" w:hAnsi="Arial" w:eastAsia="楷体_GB2312" w:cs="仿宋_GB2312"/>
          <w:kern w:val="2"/>
          <w:sz w:val="32"/>
          <w:szCs w:val="32"/>
          <w:lang w:val="en-US" w:eastAsia="zh-CN" w:bidi="ar-SA"/>
        </w:rPr>
        <w:t>（二）</w:t>
      </w:r>
      <w:r>
        <w:rPr>
          <w:rFonts w:hint="eastAsia"/>
          <w:lang w:val="en-US" w:eastAsia="zh-CN"/>
        </w:rPr>
        <w:t>项目主要内容</w:t>
      </w:r>
      <w:bookmarkEnd w:id="17"/>
      <w:bookmarkEnd w:id="18"/>
      <w:bookmarkEnd w:id="19"/>
      <w:r>
        <w:rPr>
          <w:rFonts w:hint="eastAsia"/>
          <w:lang w:val="en-US" w:eastAsia="zh-CN"/>
        </w:rPr>
        <w:t>及实施情况</w:t>
      </w:r>
      <w:bookmarkEnd w:id="20"/>
      <w:bookmarkEnd w:id="21"/>
      <w:bookmarkEnd w:id="22"/>
    </w:p>
    <w:p w14:paraId="0CC5F5E2">
      <w:pPr>
        <w:keepNext w:val="0"/>
        <w:keepLines w:val="0"/>
        <w:pageBreakBefore w:val="0"/>
        <w:widowControl w:val="0"/>
        <w:numPr>
          <w:ilvl w:val="0"/>
          <w:numId w:val="0"/>
        </w:numPr>
        <w:kinsoku/>
        <w:wordWrap/>
        <w:overflowPunct/>
        <w:topLinePunct w:val="0"/>
        <w:autoSpaceDE/>
        <w:autoSpaceDN/>
        <w:bidi w:val="0"/>
        <w:adjustRightInd w:val="0"/>
        <w:snapToGrid w:val="0"/>
        <w:ind w:firstLine="640" w:firstLineChars="200"/>
        <w:textAlignment w:val="auto"/>
        <w:outlineLvl w:val="9"/>
        <w:rPr>
          <w:rFonts w:hint="eastAsia" w:ascii="仿宋_GB2312" w:hAnsi="仿宋_GB2312" w:eastAsia="仿宋_GB2312" w:cs="仿宋_GB2312"/>
          <w:spacing w:val="-5"/>
          <w:sz w:val="32"/>
          <w:szCs w:val="32"/>
          <w:lang w:val="en-US" w:eastAsia="zh-CN" w:bidi="ar-SA"/>
        </w:rPr>
      </w:pPr>
      <w:r>
        <w:rPr>
          <w:rFonts w:hint="eastAsia" w:ascii="仿宋_GB2312" w:eastAsia="仿宋_GB2312" w:cs="仿宋_GB2312" w:hAnsiTheme="minorHAnsi"/>
          <w:kern w:val="2"/>
          <w:sz w:val="32"/>
          <w:szCs w:val="32"/>
          <w:lang w:val="en-US" w:eastAsia="zh-CN" w:bidi="ar-SA"/>
        </w:rPr>
        <w:t>本次绩效评价对象为</w:t>
      </w:r>
      <w:r>
        <w:rPr>
          <w:rFonts w:hint="eastAsia" w:ascii="仿宋_GB2312" w:hAnsi="仿宋_GB2312"/>
          <w:lang w:eastAsia="zh-CN"/>
        </w:rPr>
        <w:t>基础设施维修维护，绿化养护节点品质提升项目，</w:t>
      </w:r>
      <w:r>
        <w:rPr>
          <w:rFonts w:hint="eastAsia" w:ascii="仿宋_GB2312" w:hAnsi="仿宋_GB2312" w:eastAsia="仿宋_GB2312" w:cs="仿宋_GB2312"/>
          <w:spacing w:val="-5"/>
          <w:sz w:val="32"/>
          <w:szCs w:val="32"/>
          <w:lang w:val="en-US" w:eastAsia="zh-CN" w:bidi="ar-SA"/>
        </w:rPr>
        <w:t>该项目主要内容为</w:t>
      </w:r>
      <w:r>
        <w:rPr>
          <w:rFonts w:hint="eastAsia" w:ascii="仿宋_GB2312" w:cs="仿宋_GB2312"/>
          <w:kern w:val="2"/>
          <w:sz w:val="32"/>
          <w:szCs w:val="32"/>
          <w:highlight w:val="none"/>
          <w:lang w:val="en-US" w:eastAsia="zh" w:bidi="ar-SA"/>
        </w:rPr>
        <w:t>鄂尔多斯文化产业发展中心</w:t>
      </w:r>
      <w:r>
        <w:rPr>
          <w:rFonts w:hint="eastAsia" w:ascii="仿宋_GB2312" w:cs="仿宋_GB2312"/>
          <w:kern w:val="2"/>
          <w:sz w:val="32"/>
          <w:szCs w:val="32"/>
          <w:highlight w:val="none"/>
          <w:lang w:val="en-US" w:eastAsia="zh-CN" w:bidi="ar-SA"/>
        </w:rPr>
        <w:t>（以下简称“项目单位”）保障</w:t>
      </w:r>
      <w:r>
        <w:rPr>
          <w:rFonts w:hint="eastAsia" w:ascii="仿宋_GB2312" w:hAnsi="仿宋_GB2312" w:eastAsia="仿宋_GB2312" w:cs="仿宋_GB2312"/>
          <w:spacing w:val="-5"/>
          <w:sz w:val="32"/>
          <w:szCs w:val="32"/>
          <w:lang w:val="en-US" w:eastAsia="zh-CN" w:bidi="ar-SA"/>
        </w:rPr>
        <w:t>鄂尔多斯文化产业园区</w:t>
      </w:r>
      <w:r>
        <w:rPr>
          <w:rFonts w:hint="eastAsia" w:ascii="仿宋_GB2312" w:hAnsi="仿宋_GB2312" w:cs="仿宋_GB2312"/>
          <w:spacing w:val="-5"/>
          <w:sz w:val="32"/>
          <w:szCs w:val="32"/>
          <w:lang w:val="en-US" w:eastAsia="zh-CN" w:bidi="ar-SA"/>
        </w:rPr>
        <w:t>正常运行的基础性工作，包括园区相关</w:t>
      </w:r>
      <w:r>
        <w:rPr>
          <w:rFonts w:hint="eastAsia" w:ascii="仿宋_GB2312" w:hAnsi="仿宋_GB2312" w:eastAsia="仿宋_GB2312" w:cs="仿宋_GB2312"/>
          <w:spacing w:val="-5"/>
          <w:sz w:val="32"/>
          <w:szCs w:val="32"/>
          <w:lang w:val="en-US" w:eastAsia="zh-CN" w:bidi="ar-SA"/>
        </w:rPr>
        <w:t>基础设施维修维护，绿化植被种植养护，景点建筑品质提升</w:t>
      </w:r>
      <w:r>
        <w:rPr>
          <w:rFonts w:hint="eastAsia" w:ascii="仿宋_GB2312" w:hAnsi="仿宋_GB2312" w:cs="仿宋_GB2312"/>
          <w:spacing w:val="-5"/>
          <w:sz w:val="32"/>
          <w:szCs w:val="32"/>
          <w:lang w:val="en-US" w:eastAsia="zh-CN" w:bidi="ar-SA"/>
        </w:rPr>
        <w:t>。本次绩效评价资金覆盖的具体项目内容如下</w:t>
      </w:r>
      <w:r>
        <w:rPr>
          <w:rFonts w:hint="eastAsia" w:ascii="仿宋_GB2312" w:hAnsi="仿宋_GB2312" w:eastAsia="仿宋_GB2312" w:cs="仿宋_GB2312"/>
          <w:spacing w:val="-5"/>
          <w:sz w:val="32"/>
          <w:szCs w:val="32"/>
          <w:lang w:val="en-US" w:eastAsia="zh-CN" w:bidi="ar-SA"/>
        </w:rPr>
        <w:t>：花海项目、花池花钵摆放和种植、树木修剪涂白打药、打扫卫生及零星维修、更换及维修电缆、硬化及栏杆维修、购买放置一米线警戒桩购买电动车、购买果皮箱暖手宝防臭地漏、购买及制作木栈道、箱涵墙面喷涂料维修、仿古村落相关维修、大明殿北摆放花卉、东西土山大明殿周围等景点建筑养护</w:t>
      </w:r>
      <w:r>
        <w:rPr>
          <w:rFonts w:hint="eastAsia" w:ascii="仿宋_GB2312" w:hAnsi="仿宋_GB2312" w:cs="仿宋_GB2312"/>
          <w:spacing w:val="-5"/>
          <w:sz w:val="32"/>
          <w:szCs w:val="32"/>
          <w:lang w:val="en-US" w:eastAsia="zh-CN" w:bidi="ar-SA"/>
        </w:rPr>
        <w:t>、</w:t>
      </w:r>
      <w:r>
        <w:rPr>
          <w:rFonts w:hint="eastAsia" w:ascii="仿宋_GB2312" w:hAnsi="仿宋_GB2312" w:eastAsia="仿宋_GB2312" w:cs="仿宋_GB2312"/>
          <w:spacing w:val="-5"/>
          <w:sz w:val="32"/>
          <w:szCs w:val="32"/>
          <w:lang w:val="en-US" w:eastAsia="zh-CN" w:bidi="ar-SA"/>
        </w:rPr>
        <w:t>朔方影视城红色街景氛围营造、采购垃圾桶、仿古村影视造景、摄影棚卫生清扫、采购基础设施设备、停车场改造、凤仪门东侧品质提升、马匹饲养、记忆小院打造、大明殿前殿室内照明、砂岩海角周边配套设施、丰收节晚会保障物资采购、打卡吧吃货团、周庑崇天门供暖改造、马厩增加供暖设施、影视拍摄小镇修缮、相关工程监理、项目结算审计、档案管理、办公室维修、办公用品购买、园林社区暖心事领办制暖心基金等。</w:t>
      </w:r>
    </w:p>
    <w:p w14:paraId="6DBC396F">
      <w:pPr>
        <w:keepNext w:val="0"/>
        <w:keepLines w:val="0"/>
        <w:pageBreakBefore w:val="0"/>
        <w:widowControl w:val="0"/>
        <w:numPr>
          <w:ilvl w:val="0"/>
          <w:numId w:val="0"/>
        </w:numPr>
        <w:kinsoku/>
        <w:wordWrap/>
        <w:overflowPunct/>
        <w:topLinePunct w:val="0"/>
        <w:autoSpaceDE/>
        <w:autoSpaceDN/>
        <w:bidi w:val="0"/>
        <w:adjustRightInd w:val="0"/>
        <w:snapToGrid w:val="0"/>
        <w:ind w:firstLine="640" w:firstLineChars="200"/>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截至2023年12月31日，</w:t>
      </w:r>
      <w:r>
        <w:rPr>
          <w:rFonts w:hint="eastAsia" w:ascii="仿宋_GB2312" w:hAnsi="仿宋_GB2312" w:cs="仿宋_GB2312"/>
          <w:lang w:val="en-US" w:eastAsia="zh-CN"/>
        </w:rPr>
        <w:t>基础设施维修维护，绿化养护节点品质提升项目</w:t>
      </w:r>
      <w:r>
        <w:rPr>
          <w:rFonts w:hint="eastAsia" w:ascii="仿宋_GB2312" w:hAnsi="仿宋_GB2312" w:eastAsia="仿宋_GB2312" w:cs="仿宋_GB2312"/>
          <w:lang w:val="en-US" w:eastAsia="zh-CN"/>
        </w:rPr>
        <w:t>已</w:t>
      </w:r>
      <w:r>
        <w:rPr>
          <w:rFonts w:hint="eastAsia" w:ascii="仿宋_GB2312" w:hAnsi="仿宋_GB2312" w:cs="仿宋_GB2312"/>
          <w:lang w:val="en-US" w:eastAsia="zh-CN"/>
        </w:rPr>
        <w:t>基本</w:t>
      </w:r>
      <w:r>
        <w:rPr>
          <w:rFonts w:hint="eastAsia" w:ascii="仿宋_GB2312" w:hAnsi="仿宋_GB2312" w:eastAsia="仿宋_GB2312" w:cs="仿宋_GB2312"/>
          <w:lang w:val="en-US" w:eastAsia="zh-CN"/>
        </w:rPr>
        <w:t>完成。</w:t>
      </w:r>
    </w:p>
    <w:p w14:paraId="54CE620E">
      <w:pPr>
        <w:pStyle w:val="3"/>
        <w:keepNext w:val="0"/>
        <w:keepLines w:val="0"/>
        <w:pageBreakBefore w:val="0"/>
        <w:widowControl w:val="0"/>
        <w:numPr>
          <w:ilvl w:val="0"/>
          <w:numId w:val="0"/>
        </w:numPr>
        <w:kinsoku/>
        <w:wordWrap/>
        <w:overflowPunct/>
        <w:topLinePunct w:val="0"/>
        <w:autoSpaceDE/>
        <w:autoSpaceDN/>
        <w:bidi w:val="0"/>
        <w:adjustRightInd w:val="0"/>
        <w:snapToGrid w:val="0"/>
        <w:ind w:firstLine="640" w:firstLineChars="200"/>
        <w:textAlignment w:val="auto"/>
        <w:rPr>
          <w:rFonts w:hint="eastAsia"/>
          <w:lang w:val="en-US" w:eastAsia="zh-CN"/>
        </w:rPr>
      </w:pPr>
      <w:bookmarkStart w:id="23" w:name="_Toc29849"/>
      <w:bookmarkStart w:id="24" w:name="_Toc25077"/>
      <w:bookmarkStart w:id="25" w:name="_Toc8499"/>
      <w:r>
        <w:rPr>
          <w:rFonts w:hint="eastAsia" w:ascii="Arial" w:hAnsi="Arial" w:eastAsia="楷体_GB2312" w:cs="仿宋_GB2312"/>
          <w:kern w:val="2"/>
          <w:sz w:val="32"/>
          <w:szCs w:val="32"/>
          <w:lang w:val="en-US" w:eastAsia="zh-CN" w:bidi="ar-SA"/>
        </w:rPr>
        <w:t>（三）</w:t>
      </w:r>
      <w:r>
        <w:rPr>
          <w:rFonts w:hint="eastAsia" w:cs="仿宋_GB2312"/>
          <w:kern w:val="2"/>
          <w:sz w:val="32"/>
          <w:szCs w:val="32"/>
          <w:lang w:val="en-US" w:eastAsia="zh-CN" w:bidi="ar-SA"/>
        </w:rPr>
        <w:t>资金投入和使用情况</w:t>
      </w:r>
      <w:bookmarkEnd w:id="23"/>
      <w:bookmarkEnd w:id="24"/>
      <w:bookmarkEnd w:id="25"/>
    </w:p>
    <w:p w14:paraId="3F680002">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jc w:val="both"/>
        <w:textAlignment w:val="auto"/>
        <w:outlineLvl w:val="9"/>
        <w:rPr>
          <w:rFonts w:hint="eastAsia" w:ascii="仿宋_GB2312" w:hAnsi="仿宋_GB2312" w:eastAsia="仿宋_GB2312" w:cs="仿宋_GB2312"/>
          <w:lang w:val="en-US" w:eastAsia="zh-CN"/>
        </w:rPr>
      </w:pPr>
      <w:bookmarkStart w:id="26" w:name="_Toc10656"/>
      <w:bookmarkStart w:id="27" w:name="_Toc17338"/>
      <w:r>
        <w:rPr>
          <w:rFonts w:hint="eastAsia" w:ascii="仿宋_GB2312" w:hAnsi="仿宋_GB2312" w:eastAsia="仿宋_GB2312" w:cs="仿宋_GB2312"/>
          <w:sz w:val="32"/>
          <w:szCs w:val="32"/>
          <w:highlight w:val="none"/>
          <w:lang w:val="en-US" w:eastAsia="zh-Hans"/>
        </w:rPr>
        <w:t>本次评价涉及</w:t>
      </w:r>
      <w:r>
        <w:rPr>
          <w:rFonts w:hint="eastAsia" w:ascii="仿宋_GB2312" w:hAnsi="仿宋_GB2312" w:cs="仿宋_GB2312"/>
          <w:sz w:val="32"/>
          <w:szCs w:val="32"/>
          <w:highlight w:val="none"/>
          <w:lang w:val="en-US" w:eastAsia="zh-CN"/>
        </w:rPr>
        <w:t>资金629.00</w:t>
      </w:r>
      <w:r>
        <w:rPr>
          <w:rFonts w:hint="eastAsia" w:ascii="仿宋_GB2312" w:hAnsi="仿宋_GB2312" w:eastAsia="仿宋_GB2312" w:cs="仿宋_GB2312"/>
          <w:sz w:val="32"/>
          <w:szCs w:val="32"/>
          <w:highlight w:val="none"/>
          <w:lang w:val="en-US" w:eastAsia="zh-Hans"/>
        </w:rPr>
        <w:t>万元</w:t>
      </w:r>
      <w:r>
        <w:rPr>
          <w:rFonts w:hint="default" w:ascii="仿宋_GB2312" w:hAnsi="仿宋_GB2312" w:eastAsia="仿宋_GB2312" w:cs="仿宋_GB2312"/>
          <w:sz w:val="32"/>
          <w:szCs w:val="32"/>
          <w:highlight w:val="none"/>
          <w:lang w:eastAsia="zh-Hans"/>
        </w:rPr>
        <w:t>，</w:t>
      </w:r>
      <w:r>
        <w:rPr>
          <w:rFonts w:hint="eastAsia" w:ascii="仿宋_GB2312" w:hAnsi="仿宋_GB2312" w:cs="仿宋_GB2312"/>
          <w:sz w:val="32"/>
          <w:szCs w:val="32"/>
          <w:highlight w:val="none"/>
          <w:lang w:val="en-US" w:eastAsia="zh-CN"/>
        </w:rPr>
        <w:t>到位资金629.00万元，</w:t>
      </w:r>
      <w:r>
        <w:rPr>
          <w:rFonts w:hint="eastAsia" w:ascii="仿宋_GB2312" w:hAnsi="仿宋_GB2312" w:eastAsia="仿宋_GB2312" w:cs="仿宋_GB2312"/>
          <w:lang w:val="en-US" w:eastAsia="zh-CN"/>
        </w:rPr>
        <w:t>截至2023年12月31日，实际</w:t>
      </w:r>
      <w:r>
        <w:rPr>
          <w:rFonts w:hint="eastAsia" w:ascii="仿宋_GB2312" w:hAnsi="仿宋_GB2312" w:cs="仿宋_GB2312"/>
          <w:lang w:val="en-US" w:eastAsia="zh-CN"/>
        </w:rPr>
        <w:t>支出</w:t>
      </w:r>
      <w:r>
        <w:rPr>
          <w:rFonts w:hint="eastAsia" w:ascii="仿宋_GB2312" w:hAnsi="仿宋_GB2312" w:cs="仿宋_GB2312"/>
          <w:highlight w:val="none"/>
          <w:lang w:val="en-US" w:eastAsia="zh-CN"/>
        </w:rPr>
        <w:t>463.45</w:t>
      </w:r>
      <w:r>
        <w:rPr>
          <w:rFonts w:hint="eastAsia" w:ascii="仿宋_GB2312" w:hAnsi="仿宋_GB2312" w:eastAsia="仿宋_GB2312" w:cs="仿宋_GB2312"/>
          <w:highlight w:val="none"/>
          <w:lang w:val="en-US" w:eastAsia="zh-CN"/>
        </w:rPr>
        <w:t>万元，资金执行率</w:t>
      </w:r>
      <w:r>
        <w:rPr>
          <w:rFonts w:hint="eastAsia" w:ascii="仿宋_GB2312" w:hAnsi="仿宋_GB2312" w:cs="仿宋_GB2312"/>
          <w:highlight w:val="none"/>
          <w:lang w:val="en-US" w:eastAsia="zh-CN"/>
        </w:rPr>
        <w:t>73.68%</w:t>
      </w:r>
      <w:r>
        <w:rPr>
          <w:rFonts w:hint="eastAsia" w:ascii="仿宋_GB2312" w:hAnsi="仿宋_GB2312" w:eastAsia="仿宋_GB2312" w:cs="仿宋_GB2312"/>
          <w:lang w:val="en-US" w:eastAsia="zh-CN"/>
        </w:rPr>
        <w:t>。</w:t>
      </w:r>
    </w:p>
    <w:p w14:paraId="28F2430D">
      <w:pPr>
        <w:keepNext w:val="0"/>
        <w:keepLines w:val="0"/>
        <w:pageBreakBefore w:val="0"/>
        <w:widowControl w:val="0"/>
        <w:kinsoku/>
        <w:wordWrap/>
        <w:overflowPunct w:val="0"/>
        <w:topLinePunct w:val="0"/>
        <w:autoSpaceDE w:val="0"/>
        <w:autoSpaceDN w:val="0"/>
        <w:bidi w:val="0"/>
        <w:adjustRightInd w:val="0"/>
        <w:snapToGrid w:val="0"/>
        <w:spacing w:line="360" w:lineRule="auto"/>
        <w:ind w:firstLine="640" w:firstLineChars="200"/>
        <w:jc w:val="both"/>
        <w:textAlignment w:val="auto"/>
        <w:outlineLvl w:val="9"/>
        <w:rPr>
          <w:rFonts w:hint="eastAsia" w:ascii="仿宋_GB2312" w:hAnsi="仿宋_GB2312" w:cs="仿宋_GB2312"/>
          <w:spacing w:val="-5"/>
          <w:sz w:val="32"/>
          <w:szCs w:val="32"/>
          <w:highlight w:val="none"/>
          <w:lang w:val="en-US" w:eastAsia="zh-CN" w:bidi="ar-SA"/>
        </w:rPr>
      </w:pPr>
      <w:r>
        <w:rPr>
          <w:rFonts w:hint="eastAsia" w:ascii="仿宋_GB2312" w:hAnsi="仿宋_GB2312" w:eastAsia="仿宋_GB2312" w:cs="仿宋_GB2312"/>
          <w:sz w:val="32"/>
          <w:szCs w:val="32"/>
          <w:highlight w:val="none"/>
          <w:lang w:val="en-US" w:eastAsia="zh-Hans"/>
        </w:rPr>
        <w:t>工作组抽</w:t>
      </w:r>
      <w:r>
        <w:rPr>
          <w:rFonts w:hint="eastAsia" w:ascii="仿宋_GB2312" w:hAnsi="仿宋_GB2312" w:eastAsia="仿宋_GB2312" w:cs="仿宋_GB2312"/>
          <w:sz w:val="32"/>
          <w:szCs w:val="32"/>
          <w:highlight w:val="none"/>
          <w:lang w:val="en-US" w:eastAsia="zh-CN"/>
        </w:rPr>
        <w:t>取</w:t>
      </w:r>
      <w:r>
        <w:rPr>
          <w:rFonts w:hint="eastAsia" w:ascii="仿宋_GB2312" w:hAnsi="仿宋_GB2312" w:cs="仿宋_GB2312"/>
          <w:sz w:val="32"/>
          <w:szCs w:val="32"/>
          <w:highlight w:val="none"/>
          <w:lang w:val="en-US" w:eastAsia="zh-CN"/>
        </w:rPr>
        <w:t>11个重点项目，涉及</w:t>
      </w:r>
      <w:r>
        <w:rPr>
          <w:rFonts w:hint="eastAsia" w:ascii="仿宋_GB2312" w:hAnsi="仿宋_GB2312" w:eastAsia="仿宋_GB2312" w:cs="仿宋_GB2312"/>
          <w:spacing w:val="-5"/>
          <w:sz w:val="32"/>
          <w:szCs w:val="32"/>
          <w:highlight w:val="none"/>
          <w:lang w:val="en-US" w:eastAsia="zh-CN" w:bidi="ar-SA"/>
        </w:rPr>
        <w:t>资金</w:t>
      </w:r>
      <w:r>
        <w:rPr>
          <w:rFonts w:hint="eastAsia" w:ascii="仿宋_GB2312" w:hAnsi="仿宋_GB2312" w:cs="仿宋_GB2312"/>
          <w:sz w:val="32"/>
          <w:szCs w:val="32"/>
          <w:highlight w:val="none"/>
          <w:lang w:val="en-US" w:eastAsia="zh-CN"/>
        </w:rPr>
        <w:t>219.06</w:t>
      </w:r>
      <w:r>
        <w:rPr>
          <w:rFonts w:hint="eastAsia" w:ascii="仿宋_GB2312" w:hAnsi="仿宋_GB2312" w:eastAsia="仿宋_GB2312" w:cs="仿宋_GB2312"/>
          <w:spacing w:val="-5"/>
          <w:sz w:val="32"/>
          <w:szCs w:val="32"/>
          <w:highlight w:val="none"/>
          <w:lang w:val="en-US" w:eastAsia="zh-Hans" w:bidi="ar-SA"/>
        </w:rPr>
        <w:t>万元</w:t>
      </w:r>
      <w:r>
        <w:rPr>
          <w:rFonts w:hint="default" w:ascii="仿宋_GB2312" w:hAnsi="仿宋_GB2312" w:eastAsia="仿宋_GB2312" w:cs="仿宋_GB2312"/>
          <w:spacing w:val="-5"/>
          <w:sz w:val="32"/>
          <w:szCs w:val="32"/>
          <w:highlight w:val="none"/>
          <w:lang w:eastAsia="zh-Hans" w:bidi="ar-SA"/>
        </w:rPr>
        <w:t>，</w:t>
      </w:r>
      <w:r>
        <w:rPr>
          <w:rFonts w:hint="eastAsia" w:ascii="仿宋_GB2312" w:hAnsi="仿宋_GB2312" w:cs="仿宋_GB2312"/>
          <w:spacing w:val="-5"/>
          <w:sz w:val="32"/>
          <w:szCs w:val="32"/>
          <w:highlight w:val="none"/>
          <w:lang w:val="en-US" w:eastAsia="zh-CN" w:bidi="ar-SA"/>
        </w:rPr>
        <w:t>具体</w:t>
      </w:r>
      <w:r>
        <w:rPr>
          <w:rFonts w:hint="eastAsia" w:ascii="仿宋_GB2312" w:hAnsi="仿宋_GB2312" w:eastAsia="仿宋_GB2312" w:cs="仿宋_GB2312"/>
          <w:spacing w:val="-5"/>
          <w:sz w:val="32"/>
          <w:szCs w:val="32"/>
          <w:highlight w:val="none"/>
          <w:lang w:val="en-US" w:eastAsia="zh-Hans" w:bidi="ar-SA"/>
        </w:rPr>
        <w:t>内容</w:t>
      </w:r>
      <w:r>
        <w:rPr>
          <w:rFonts w:hint="eastAsia" w:ascii="仿宋_GB2312" w:hAnsi="仿宋_GB2312" w:cs="仿宋_GB2312"/>
          <w:spacing w:val="-5"/>
          <w:sz w:val="32"/>
          <w:szCs w:val="32"/>
          <w:highlight w:val="none"/>
          <w:lang w:val="en-US" w:eastAsia="zh-CN" w:bidi="ar-SA"/>
        </w:rPr>
        <w:t>及资金使用情况</w:t>
      </w:r>
      <w:r>
        <w:rPr>
          <w:rFonts w:hint="eastAsia" w:ascii="仿宋_GB2312" w:hAnsi="仿宋_GB2312" w:eastAsia="仿宋_GB2312" w:cs="仿宋_GB2312"/>
          <w:spacing w:val="-5"/>
          <w:sz w:val="32"/>
          <w:szCs w:val="32"/>
          <w:highlight w:val="none"/>
          <w:lang w:val="en-US" w:eastAsia="zh-Hans" w:bidi="ar-SA"/>
        </w:rPr>
        <w:t>见下表</w:t>
      </w:r>
      <w:r>
        <w:rPr>
          <w:rFonts w:hint="default" w:ascii="仿宋_GB2312" w:hAnsi="仿宋_GB2312" w:eastAsia="仿宋_GB2312" w:cs="仿宋_GB2312"/>
          <w:spacing w:val="-5"/>
          <w:sz w:val="32"/>
          <w:szCs w:val="32"/>
          <w:highlight w:val="none"/>
          <w:lang w:eastAsia="zh-Hans" w:bidi="ar-SA"/>
        </w:rPr>
        <w:t>1</w:t>
      </w:r>
      <w:r>
        <w:rPr>
          <w:rFonts w:hint="eastAsia" w:ascii="仿宋_GB2312" w:hAnsi="仿宋_GB2312" w:cs="仿宋_GB2312"/>
          <w:spacing w:val="-5"/>
          <w:sz w:val="32"/>
          <w:szCs w:val="32"/>
          <w:highlight w:val="none"/>
          <w:lang w:eastAsia="zh-CN" w:bidi="ar-SA"/>
        </w:rPr>
        <w:t>。</w:t>
      </w:r>
    </w:p>
    <w:p w14:paraId="59F39C51">
      <w:pPr>
        <w:pStyle w:val="56"/>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textAlignment w:val="auto"/>
        <w:rPr>
          <w:rFonts w:hint="eastAsia" w:eastAsia="仿宋" w:cs="华文仿宋"/>
          <w:lang w:val="en-US" w:eastAsia="zh-Hans"/>
        </w:rPr>
      </w:pPr>
      <w:r>
        <w:rPr>
          <w:rFonts w:hint="eastAsia" w:ascii="黑体" w:hAnsi="黑体" w:eastAsia="黑体" w:cs="黑体"/>
          <w:b w:val="0"/>
          <w:bCs/>
          <w:sz w:val="28"/>
          <w:szCs w:val="28"/>
        </w:rPr>
        <w:t>表1：</w:t>
      </w:r>
      <w:r>
        <w:rPr>
          <w:rFonts w:hint="eastAsia" w:ascii="黑体" w:hAnsi="黑体" w:eastAsia="黑体" w:cs="黑体"/>
          <w:b w:val="0"/>
          <w:bCs/>
          <w:sz w:val="28"/>
          <w:szCs w:val="28"/>
          <w:lang w:val="en-US" w:eastAsia="zh-CN"/>
        </w:rPr>
        <w:t>基础设施维修维护，绿化养护节点品质提升</w:t>
      </w:r>
      <w:r>
        <w:rPr>
          <w:rFonts w:hint="eastAsia" w:ascii="黑体" w:hAnsi="黑体" w:eastAsia="黑体" w:cs="黑体"/>
          <w:b w:val="0"/>
          <w:bCs/>
          <w:sz w:val="28"/>
          <w:szCs w:val="28"/>
          <w:lang w:val="en-US" w:eastAsia="zh-Hans"/>
        </w:rPr>
        <w:t>抽查</w:t>
      </w:r>
      <w:r>
        <w:rPr>
          <w:rFonts w:hint="eastAsia" w:ascii="黑体" w:hAnsi="黑体" w:eastAsia="黑体" w:cs="黑体"/>
          <w:b w:val="0"/>
          <w:bCs/>
          <w:sz w:val="28"/>
          <w:szCs w:val="28"/>
        </w:rPr>
        <w:t>项目</w:t>
      </w:r>
      <w:r>
        <w:rPr>
          <w:rFonts w:hint="eastAsia" w:ascii="黑体" w:hAnsi="黑体" w:eastAsia="黑体" w:cs="黑体"/>
          <w:b w:val="0"/>
          <w:bCs/>
          <w:sz w:val="28"/>
          <w:szCs w:val="28"/>
          <w:lang w:val="en-US" w:eastAsia="zh-Hans"/>
        </w:rPr>
        <w:t>内容表</w:t>
      </w:r>
    </w:p>
    <w:tbl>
      <w:tblPr>
        <w:tblStyle w:val="21"/>
        <w:tblW w:w="4978" w:type="pct"/>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153"/>
        <w:gridCol w:w="5076"/>
        <w:gridCol w:w="1093"/>
      </w:tblGrid>
      <w:tr w14:paraId="5BFF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blHeader/>
        </w:trPr>
        <w:tc>
          <w:tcPr>
            <w:tcW w:w="387" w:type="pct"/>
            <w:vAlign w:val="center"/>
          </w:tcPr>
          <w:p w14:paraId="58E1FF66">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eastAsia="宋体" w:cs="宋体"/>
                <w:b/>
                <w:bCs/>
                <w:i w:val="0"/>
                <w:iCs w:val="0"/>
                <w:color w:val="000000"/>
                <w:kern w:val="0"/>
                <w:sz w:val="20"/>
                <w:szCs w:val="20"/>
                <w:u w:val="none"/>
                <w:lang w:val="en-US" w:eastAsia="zh-Hans" w:bidi="ar"/>
              </w:rPr>
            </w:pPr>
            <w:r>
              <w:rPr>
                <w:rFonts w:hint="eastAsia" w:ascii="宋体" w:hAnsi="宋体" w:eastAsia="宋体" w:cs="宋体"/>
                <w:b/>
                <w:bCs/>
                <w:i w:val="0"/>
                <w:iCs w:val="0"/>
                <w:color w:val="000000"/>
                <w:kern w:val="0"/>
                <w:sz w:val="20"/>
                <w:szCs w:val="20"/>
                <w:u w:val="none"/>
                <w:lang w:val="en-US" w:eastAsia="zh-Hans" w:bidi="ar"/>
              </w:rPr>
              <w:t>序号</w:t>
            </w:r>
          </w:p>
        </w:tc>
        <w:tc>
          <w:tcPr>
            <w:tcW w:w="1193" w:type="pct"/>
            <w:vAlign w:val="center"/>
          </w:tcPr>
          <w:p w14:paraId="4C48B0E2">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项目名称</w:t>
            </w:r>
          </w:p>
        </w:tc>
        <w:tc>
          <w:tcPr>
            <w:tcW w:w="2812" w:type="pct"/>
            <w:vAlign w:val="center"/>
          </w:tcPr>
          <w:p w14:paraId="4880E1C9">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主要建设内容</w:t>
            </w:r>
          </w:p>
        </w:tc>
        <w:tc>
          <w:tcPr>
            <w:tcW w:w="606" w:type="pct"/>
            <w:vAlign w:val="center"/>
          </w:tcPr>
          <w:p w14:paraId="187AF5AF">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支出金额（万元）</w:t>
            </w:r>
          </w:p>
        </w:tc>
      </w:tr>
      <w:tr w14:paraId="4AFE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387" w:type="pct"/>
            <w:vAlign w:val="center"/>
          </w:tcPr>
          <w:p w14:paraId="12D46B43">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1</w:t>
            </w:r>
          </w:p>
        </w:tc>
        <w:tc>
          <w:tcPr>
            <w:tcW w:w="1193" w:type="pct"/>
            <w:vAlign w:val="center"/>
          </w:tcPr>
          <w:p w14:paraId="76D28357">
            <w:pPr>
              <w:keepNext w:val="0"/>
              <w:keepLines w:val="0"/>
              <w:numPr>
                <w:ilvl w:val="0"/>
                <w:numId w:val="0"/>
              </w:numPr>
              <w:suppressLineNumbers w:val="0"/>
              <w:spacing w:before="0" w:beforeAutospacing="0" w:after="0" w:afterAutospacing="0"/>
              <w:ind w:left="0" w:leftChars="0" w:right="0"/>
              <w:jc w:val="center"/>
              <w:rPr>
                <w:rFonts w:hint="eastAsia" w:ascii="宋体" w:hAnsi="宋体" w:eastAsia="宋体" w:cs="宋体"/>
                <w:sz w:val="20"/>
                <w:szCs w:val="20"/>
                <w:vertAlign w:val="baseline"/>
              </w:rPr>
            </w:pPr>
            <w:r>
              <w:rPr>
                <w:rFonts w:hint="eastAsia" w:ascii="宋体" w:hAnsi="宋体" w:eastAsia="宋体" w:cs="宋体"/>
                <w:sz w:val="20"/>
                <w:szCs w:val="20"/>
                <w:vertAlign w:val="baseline"/>
              </w:rPr>
              <w:t>购买及制作木栈道</w:t>
            </w:r>
          </w:p>
        </w:tc>
        <w:tc>
          <w:tcPr>
            <w:tcW w:w="2812" w:type="pct"/>
            <w:vAlign w:val="center"/>
          </w:tcPr>
          <w:p w14:paraId="10D59527">
            <w:pPr>
              <w:keepNext w:val="0"/>
              <w:keepLines w:val="0"/>
              <w:suppressLineNumbers w:val="0"/>
              <w:spacing w:before="0" w:beforeAutospacing="0" w:after="0" w:afterAutospacing="0"/>
              <w:ind w:left="0" w:leftChars="0" w:right="0" w:firstLine="0" w:firstLineChars="0"/>
              <w:jc w:val="left"/>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为鄂尔多斯文化产业园区内购买木栈道、小桥栈道，并进行栈道制作及维修。</w:t>
            </w:r>
          </w:p>
        </w:tc>
        <w:tc>
          <w:tcPr>
            <w:tcW w:w="606" w:type="pct"/>
            <w:vAlign w:val="center"/>
          </w:tcPr>
          <w:p w14:paraId="60EECB21">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eastAsia="宋体" w:cs="宋体"/>
                <w:b w:val="0"/>
                <w:bCs w:val="0"/>
                <w:i w:val="0"/>
                <w:iCs w:val="0"/>
                <w:color w:val="auto"/>
                <w:kern w:val="2"/>
                <w:sz w:val="20"/>
                <w:szCs w:val="20"/>
                <w:u w:val="none"/>
                <w:lang w:val="en-US" w:eastAsia="zh-CN" w:bidi="ar-SA"/>
              </w:rPr>
            </w:pPr>
            <w:r>
              <w:rPr>
                <w:rFonts w:hint="eastAsia" w:ascii="宋体" w:hAnsi="宋体" w:eastAsia="宋体" w:cs="宋体"/>
                <w:b w:val="0"/>
                <w:bCs w:val="0"/>
                <w:i w:val="0"/>
                <w:iCs w:val="0"/>
                <w:color w:val="auto"/>
                <w:kern w:val="0"/>
                <w:sz w:val="20"/>
                <w:szCs w:val="20"/>
                <w:u w:val="none"/>
                <w:lang w:val="en-US" w:eastAsia="zh-CN" w:bidi="ar"/>
              </w:rPr>
              <w:t>16.38</w:t>
            </w:r>
          </w:p>
        </w:tc>
      </w:tr>
      <w:tr w14:paraId="3CD2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387" w:type="pct"/>
            <w:vAlign w:val="center"/>
          </w:tcPr>
          <w:p w14:paraId="5F81EBDF">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w:t>
            </w:r>
          </w:p>
        </w:tc>
        <w:tc>
          <w:tcPr>
            <w:tcW w:w="1193" w:type="pct"/>
            <w:vAlign w:val="center"/>
          </w:tcPr>
          <w:p w14:paraId="35D36E19">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rPr>
            </w:pPr>
            <w:r>
              <w:rPr>
                <w:rFonts w:hint="eastAsia" w:ascii="宋体" w:hAnsi="宋体" w:eastAsia="宋体" w:cs="宋体"/>
                <w:sz w:val="20"/>
                <w:szCs w:val="20"/>
                <w:vertAlign w:val="baseline"/>
                <w:lang w:val="en-US" w:eastAsia="zh-CN"/>
              </w:rPr>
              <w:t>园区入口</w:t>
            </w:r>
            <w:r>
              <w:rPr>
                <w:rFonts w:hint="eastAsia" w:ascii="宋体" w:hAnsi="宋体" w:eastAsia="宋体" w:cs="宋体"/>
                <w:sz w:val="20"/>
                <w:szCs w:val="20"/>
                <w:vertAlign w:val="baseline"/>
              </w:rPr>
              <w:t>箱涵墙面喷涂料维修</w:t>
            </w:r>
          </w:p>
        </w:tc>
        <w:tc>
          <w:tcPr>
            <w:tcW w:w="2812" w:type="pct"/>
            <w:vAlign w:val="center"/>
          </w:tcPr>
          <w:p w14:paraId="14C5F66B">
            <w:pPr>
              <w:keepNext w:val="0"/>
              <w:keepLines w:val="0"/>
              <w:suppressLineNumbers w:val="0"/>
              <w:spacing w:before="0" w:beforeAutospacing="0" w:after="0" w:afterAutospacing="0"/>
              <w:ind w:left="0" w:leftChars="0" w:right="0" w:firstLine="0" w:firstLineChars="0"/>
              <w:jc w:val="both"/>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rPr>
              <w:t>园区入口箱涵墙面喷涂料维修</w:t>
            </w:r>
            <w:r>
              <w:rPr>
                <w:rFonts w:hint="eastAsia" w:ascii="宋体" w:hAnsi="宋体" w:eastAsia="宋体" w:cs="宋体"/>
                <w:sz w:val="20"/>
                <w:szCs w:val="20"/>
                <w:vertAlign w:val="baseline"/>
                <w:lang w:eastAsia="zh-CN"/>
              </w:rPr>
              <w:t>，</w:t>
            </w:r>
            <w:r>
              <w:rPr>
                <w:rFonts w:hint="eastAsia" w:ascii="宋体" w:hAnsi="宋体" w:eastAsia="宋体" w:cs="宋体"/>
                <w:sz w:val="20"/>
                <w:szCs w:val="20"/>
                <w:vertAlign w:val="baseline"/>
              </w:rPr>
              <w:t>抹灰面油漆9869.37平米</w:t>
            </w:r>
            <w:r>
              <w:rPr>
                <w:rFonts w:hint="eastAsia" w:ascii="宋体" w:hAnsi="宋体" w:eastAsia="宋体" w:cs="宋体"/>
                <w:sz w:val="20"/>
                <w:szCs w:val="20"/>
                <w:vertAlign w:val="baseline"/>
                <w:lang w:eastAsia="zh-CN"/>
              </w:rPr>
              <w:t>。</w:t>
            </w:r>
          </w:p>
        </w:tc>
        <w:tc>
          <w:tcPr>
            <w:tcW w:w="606" w:type="pct"/>
            <w:vAlign w:val="center"/>
          </w:tcPr>
          <w:p w14:paraId="525D15D3">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b w:val="0"/>
                <w:bCs w:val="0"/>
                <w:i w:val="0"/>
                <w:iCs w:val="0"/>
                <w:color w:val="auto"/>
                <w:kern w:val="2"/>
                <w:sz w:val="20"/>
                <w:szCs w:val="20"/>
                <w:u w:val="none"/>
                <w:lang w:val="en-US" w:eastAsia="zh-CN" w:bidi="ar-SA"/>
              </w:rPr>
            </w:pPr>
            <w:r>
              <w:rPr>
                <w:rFonts w:hint="eastAsia" w:ascii="宋体" w:hAnsi="宋体" w:eastAsia="宋体" w:cs="宋体"/>
                <w:b w:val="0"/>
                <w:bCs w:val="0"/>
                <w:i w:val="0"/>
                <w:iCs w:val="0"/>
                <w:color w:val="auto"/>
                <w:kern w:val="0"/>
                <w:sz w:val="20"/>
                <w:szCs w:val="20"/>
                <w:u w:val="none"/>
                <w:lang w:val="en-US" w:eastAsia="zh-CN" w:bidi="ar"/>
              </w:rPr>
              <w:t>20.00</w:t>
            </w:r>
          </w:p>
        </w:tc>
      </w:tr>
      <w:tr w14:paraId="1537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387" w:type="pct"/>
            <w:vAlign w:val="center"/>
          </w:tcPr>
          <w:p w14:paraId="2AEE6CC4">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lang w:eastAsia="zh-Hans"/>
              </w:rPr>
            </w:pPr>
            <w:r>
              <w:rPr>
                <w:rFonts w:hint="eastAsia" w:ascii="宋体" w:hAnsi="宋体" w:eastAsia="宋体" w:cs="宋体"/>
                <w:sz w:val="20"/>
                <w:szCs w:val="20"/>
                <w:vertAlign w:val="baseline"/>
                <w:lang w:eastAsia="zh-Hans"/>
              </w:rPr>
              <w:t>3</w:t>
            </w:r>
          </w:p>
        </w:tc>
        <w:tc>
          <w:tcPr>
            <w:tcW w:w="1193" w:type="pct"/>
            <w:vAlign w:val="center"/>
          </w:tcPr>
          <w:p w14:paraId="58D1A716">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rPr>
            </w:pPr>
            <w:r>
              <w:rPr>
                <w:rFonts w:hint="eastAsia" w:ascii="宋体" w:hAnsi="宋体" w:eastAsia="宋体" w:cs="宋体"/>
                <w:sz w:val="20"/>
                <w:szCs w:val="20"/>
                <w:vertAlign w:val="baseline"/>
              </w:rPr>
              <w:t>仿古村落零星维修</w:t>
            </w:r>
          </w:p>
        </w:tc>
        <w:tc>
          <w:tcPr>
            <w:tcW w:w="2812" w:type="pct"/>
            <w:vAlign w:val="center"/>
          </w:tcPr>
          <w:p w14:paraId="080B6AE1">
            <w:pPr>
              <w:keepNext w:val="0"/>
              <w:keepLines w:val="0"/>
              <w:suppressLineNumbers w:val="0"/>
              <w:spacing w:before="0" w:beforeAutospacing="0" w:after="0" w:afterAutospacing="0"/>
              <w:ind w:left="0" w:leftChars="0" w:right="0" w:firstLine="0" w:firstLineChars="0"/>
              <w:jc w:val="both"/>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鄂尔多斯文化产业园区仿古村落土房子维修、风车走廊维修。</w:t>
            </w:r>
          </w:p>
        </w:tc>
        <w:tc>
          <w:tcPr>
            <w:tcW w:w="606" w:type="pct"/>
            <w:vAlign w:val="center"/>
          </w:tcPr>
          <w:p w14:paraId="532FC294">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eastAsia="宋体" w:cs="宋体"/>
                <w:b w:val="0"/>
                <w:bCs w:val="0"/>
                <w:i w:val="0"/>
                <w:iCs w:val="0"/>
                <w:color w:val="auto"/>
                <w:kern w:val="2"/>
                <w:sz w:val="20"/>
                <w:szCs w:val="20"/>
                <w:u w:val="none"/>
                <w:lang w:val="en-US" w:eastAsia="zh-CN" w:bidi="ar-SA"/>
              </w:rPr>
            </w:pPr>
            <w:r>
              <w:rPr>
                <w:rFonts w:hint="eastAsia" w:ascii="宋体" w:hAnsi="宋体" w:eastAsia="宋体" w:cs="宋体"/>
                <w:b w:val="0"/>
                <w:bCs w:val="0"/>
                <w:i w:val="0"/>
                <w:iCs w:val="0"/>
                <w:color w:val="auto"/>
                <w:kern w:val="0"/>
                <w:sz w:val="20"/>
                <w:szCs w:val="20"/>
                <w:u w:val="none"/>
                <w:lang w:val="en-US" w:eastAsia="zh-CN" w:bidi="ar"/>
              </w:rPr>
              <w:t>40.02</w:t>
            </w:r>
          </w:p>
        </w:tc>
      </w:tr>
      <w:tr w14:paraId="312C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387" w:type="pct"/>
            <w:vAlign w:val="center"/>
          </w:tcPr>
          <w:p w14:paraId="1EC4BD6E">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w:t>
            </w:r>
          </w:p>
        </w:tc>
        <w:tc>
          <w:tcPr>
            <w:tcW w:w="1193" w:type="pct"/>
            <w:vAlign w:val="center"/>
          </w:tcPr>
          <w:p w14:paraId="505B7623">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rPr>
            </w:pPr>
            <w:r>
              <w:rPr>
                <w:rFonts w:hint="eastAsia" w:ascii="宋体" w:hAnsi="宋体" w:eastAsia="宋体" w:cs="宋体"/>
                <w:sz w:val="20"/>
                <w:szCs w:val="20"/>
                <w:vertAlign w:val="baseline"/>
              </w:rPr>
              <w:t>花池花钵鲜花摆放</w:t>
            </w:r>
          </w:p>
        </w:tc>
        <w:tc>
          <w:tcPr>
            <w:tcW w:w="2812" w:type="pct"/>
            <w:vAlign w:val="center"/>
          </w:tcPr>
          <w:p w14:paraId="67191A37">
            <w:pPr>
              <w:keepNext w:val="0"/>
              <w:keepLines w:val="0"/>
              <w:suppressLineNumbers w:val="0"/>
              <w:spacing w:before="0" w:beforeAutospacing="0" w:after="0" w:afterAutospacing="0"/>
              <w:ind w:left="0" w:leftChars="0" w:right="0" w:firstLine="0" w:firstLineChars="0"/>
              <w:jc w:val="both"/>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鄂尔多斯文化产业园区内花池、花钵、节点的鲜花摆放和种植等。</w:t>
            </w:r>
          </w:p>
        </w:tc>
        <w:tc>
          <w:tcPr>
            <w:tcW w:w="606" w:type="pct"/>
            <w:vAlign w:val="center"/>
          </w:tcPr>
          <w:p w14:paraId="08738F76">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20.80</w:t>
            </w:r>
          </w:p>
        </w:tc>
      </w:tr>
      <w:tr w14:paraId="2C3FE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387" w:type="pct"/>
            <w:vAlign w:val="center"/>
          </w:tcPr>
          <w:p w14:paraId="140A095A">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w:t>
            </w:r>
          </w:p>
        </w:tc>
        <w:tc>
          <w:tcPr>
            <w:tcW w:w="1193" w:type="pct"/>
            <w:vAlign w:val="center"/>
          </w:tcPr>
          <w:p w14:paraId="06BC2408">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rPr>
            </w:pPr>
            <w:r>
              <w:rPr>
                <w:rFonts w:hint="eastAsia" w:ascii="宋体" w:hAnsi="宋体" w:eastAsia="宋体" w:cs="宋体"/>
                <w:sz w:val="20"/>
                <w:szCs w:val="20"/>
                <w:vertAlign w:val="baseline"/>
              </w:rPr>
              <w:t>丰收节晚会保障物资采购</w:t>
            </w:r>
          </w:p>
        </w:tc>
        <w:tc>
          <w:tcPr>
            <w:tcW w:w="2812" w:type="pct"/>
            <w:vAlign w:val="center"/>
          </w:tcPr>
          <w:p w14:paraId="0262025F">
            <w:pPr>
              <w:keepNext w:val="0"/>
              <w:keepLines w:val="0"/>
              <w:suppressLineNumbers w:val="0"/>
              <w:spacing w:before="0" w:beforeAutospacing="0" w:after="0" w:afterAutospacing="0"/>
              <w:ind w:left="0" w:leftChars="0" w:right="0" w:firstLine="0" w:firstLineChars="0"/>
              <w:jc w:val="both"/>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保障丰收节晚会顺利进行,采购垃圾桶、灭火器、阀门等设备,在约定时间交付产品并安装。</w:t>
            </w:r>
          </w:p>
        </w:tc>
        <w:tc>
          <w:tcPr>
            <w:tcW w:w="606" w:type="pct"/>
            <w:vAlign w:val="center"/>
          </w:tcPr>
          <w:p w14:paraId="4F7F0D6C">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15.61</w:t>
            </w:r>
          </w:p>
        </w:tc>
      </w:tr>
      <w:tr w14:paraId="564A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387" w:type="pct"/>
            <w:vAlign w:val="center"/>
          </w:tcPr>
          <w:p w14:paraId="6AA28D63">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6</w:t>
            </w:r>
          </w:p>
        </w:tc>
        <w:tc>
          <w:tcPr>
            <w:tcW w:w="1193" w:type="pct"/>
            <w:vAlign w:val="center"/>
          </w:tcPr>
          <w:p w14:paraId="765E948E">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rPr>
            </w:pPr>
            <w:r>
              <w:rPr>
                <w:rFonts w:hint="eastAsia" w:ascii="宋体" w:hAnsi="宋体" w:eastAsia="宋体" w:cs="宋体"/>
                <w:sz w:val="20"/>
                <w:szCs w:val="20"/>
                <w:vertAlign w:val="baseline"/>
              </w:rPr>
              <w:t>办公室维修</w:t>
            </w:r>
          </w:p>
        </w:tc>
        <w:tc>
          <w:tcPr>
            <w:tcW w:w="2812" w:type="pct"/>
            <w:vAlign w:val="center"/>
          </w:tcPr>
          <w:p w14:paraId="1DBD2E18">
            <w:pPr>
              <w:keepNext w:val="0"/>
              <w:keepLines w:val="0"/>
              <w:suppressLineNumbers w:val="0"/>
              <w:spacing w:before="0" w:beforeAutospacing="0" w:after="0" w:afterAutospacing="0"/>
              <w:ind w:left="0" w:leftChars="0" w:right="0" w:firstLine="0" w:firstLineChars="0"/>
              <w:jc w:val="both"/>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鄂尔多斯文化产业发展中心办公室部分建材拆除工程、抹灰面油漆、屋檐钉铝塑板等。</w:t>
            </w:r>
          </w:p>
        </w:tc>
        <w:tc>
          <w:tcPr>
            <w:tcW w:w="606" w:type="pct"/>
            <w:vAlign w:val="center"/>
          </w:tcPr>
          <w:p w14:paraId="6400DD2E">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14.00</w:t>
            </w:r>
          </w:p>
        </w:tc>
      </w:tr>
      <w:tr w14:paraId="1CE36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387" w:type="pct"/>
            <w:vAlign w:val="center"/>
          </w:tcPr>
          <w:p w14:paraId="623512B1">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7</w:t>
            </w:r>
          </w:p>
        </w:tc>
        <w:tc>
          <w:tcPr>
            <w:tcW w:w="1193" w:type="pct"/>
            <w:vAlign w:val="center"/>
          </w:tcPr>
          <w:p w14:paraId="02838612">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rPr>
            </w:pPr>
            <w:r>
              <w:rPr>
                <w:rFonts w:hint="eastAsia" w:ascii="宋体" w:hAnsi="宋体" w:eastAsia="宋体" w:cs="宋体"/>
                <w:sz w:val="20"/>
                <w:szCs w:val="20"/>
                <w:vertAlign w:val="baseline"/>
              </w:rPr>
              <w:t>项目结算审计</w:t>
            </w:r>
          </w:p>
        </w:tc>
        <w:tc>
          <w:tcPr>
            <w:tcW w:w="2812" w:type="pct"/>
            <w:vAlign w:val="center"/>
          </w:tcPr>
          <w:p w14:paraId="26149D49">
            <w:pPr>
              <w:keepNext w:val="0"/>
              <w:keepLines w:val="0"/>
              <w:suppressLineNumbers w:val="0"/>
              <w:spacing w:before="0" w:beforeAutospacing="0" w:after="0" w:afterAutospacing="0"/>
              <w:ind w:left="0" w:leftChars="0" w:right="0" w:firstLine="0" w:firstLineChars="0"/>
              <w:jc w:val="both"/>
              <w:rPr>
                <w:rFonts w:hint="eastAsia" w:ascii="宋体" w:hAnsi="宋体" w:eastAsia="宋体" w:cs="宋体"/>
                <w:sz w:val="20"/>
                <w:szCs w:val="20"/>
                <w:vertAlign w:val="baseline"/>
              </w:rPr>
            </w:pPr>
            <w:r>
              <w:rPr>
                <w:rFonts w:hint="eastAsia" w:ascii="宋体" w:hAnsi="宋体" w:eastAsia="宋体" w:cs="宋体"/>
                <w:sz w:val="20"/>
                <w:szCs w:val="20"/>
                <w:vertAlign w:val="baseline"/>
              </w:rPr>
              <w:t>对</w:t>
            </w:r>
            <w:r>
              <w:rPr>
                <w:rFonts w:hint="eastAsia" w:ascii="宋体" w:hAnsi="宋体" w:eastAsia="宋体" w:cs="宋体"/>
                <w:sz w:val="20"/>
                <w:szCs w:val="20"/>
                <w:vertAlign w:val="baseline"/>
                <w:lang w:val="en-US" w:eastAsia="zh-CN"/>
              </w:rPr>
              <w:t>2023年</w:t>
            </w:r>
            <w:r>
              <w:rPr>
                <w:rFonts w:hint="eastAsia" w:ascii="宋体" w:hAnsi="宋体" w:eastAsia="宋体" w:cs="宋体"/>
                <w:sz w:val="20"/>
                <w:szCs w:val="20"/>
                <w:vertAlign w:val="baseline"/>
              </w:rPr>
              <w:t>鄂尔多斯文化产业园</w:t>
            </w:r>
            <w:r>
              <w:rPr>
                <w:rFonts w:hint="eastAsia" w:ascii="宋体" w:hAnsi="宋体" w:eastAsia="宋体" w:cs="宋体"/>
                <w:sz w:val="20"/>
                <w:szCs w:val="20"/>
                <w:vertAlign w:val="baseline"/>
                <w:lang w:val="en-US" w:eastAsia="zh-CN"/>
              </w:rPr>
              <w:t>36个竣工结算</w:t>
            </w:r>
            <w:r>
              <w:rPr>
                <w:rFonts w:hint="eastAsia" w:ascii="宋体" w:hAnsi="宋体" w:eastAsia="宋体" w:cs="宋体"/>
                <w:sz w:val="20"/>
                <w:szCs w:val="20"/>
                <w:vertAlign w:val="baseline"/>
              </w:rPr>
              <w:t>项目进行跟踪与结算审核。</w:t>
            </w:r>
          </w:p>
        </w:tc>
        <w:tc>
          <w:tcPr>
            <w:tcW w:w="606" w:type="pct"/>
            <w:vAlign w:val="center"/>
          </w:tcPr>
          <w:p w14:paraId="02B92051">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13.00</w:t>
            </w:r>
          </w:p>
        </w:tc>
      </w:tr>
      <w:tr w14:paraId="0FEC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387" w:type="pct"/>
            <w:vAlign w:val="center"/>
          </w:tcPr>
          <w:p w14:paraId="344862B4">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8</w:t>
            </w:r>
          </w:p>
        </w:tc>
        <w:tc>
          <w:tcPr>
            <w:tcW w:w="1193" w:type="pct"/>
            <w:vAlign w:val="center"/>
          </w:tcPr>
          <w:p w14:paraId="6A12A583">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rPr>
            </w:pPr>
            <w:r>
              <w:rPr>
                <w:rFonts w:hint="eastAsia" w:ascii="宋体" w:hAnsi="宋体" w:eastAsia="宋体" w:cs="宋体"/>
                <w:sz w:val="20"/>
                <w:szCs w:val="20"/>
                <w:vertAlign w:val="baseline"/>
              </w:rPr>
              <w:t>周庑崇天门供暖改造</w:t>
            </w:r>
          </w:p>
        </w:tc>
        <w:tc>
          <w:tcPr>
            <w:tcW w:w="2812" w:type="pct"/>
            <w:vAlign w:val="center"/>
          </w:tcPr>
          <w:p w14:paraId="7CA57183">
            <w:pPr>
              <w:keepNext w:val="0"/>
              <w:keepLines w:val="0"/>
              <w:suppressLineNumbers w:val="0"/>
              <w:spacing w:before="0" w:beforeAutospacing="0" w:after="0" w:afterAutospacing="0"/>
              <w:ind w:left="0" w:leftChars="0" w:right="0" w:firstLine="0" w:firstLineChars="0"/>
              <w:jc w:val="both"/>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鄂尔多斯文化产业园区周庑、崇天门的</w:t>
            </w:r>
            <w:r>
              <w:rPr>
                <w:rFonts w:hint="eastAsia" w:ascii="宋体" w:hAnsi="宋体" w:eastAsia="宋体" w:cs="宋体"/>
                <w:sz w:val="20"/>
                <w:szCs w:val="20"/>
                <w:vertAlign w:val="baseline"/>
              </w:rPr>
              <w:t>地沟内供暖管网锈蚀严重的管道、管件更换，支管、干管拆除原有保温，二次重做，室内供暖系统的维修，分水器的移位等工程</w:t>
            </w:r>
            <w:r>
              <w:rPr>
                <w:rFonts w:hint="eastAsia" w:ascii="宋体" w:hAnsi="宋体" w:eastAsia="宋体" w:cs="宋体"/>
                <w:sz w:val="20"/>
                <w:szCs w:val="20"/>
                <w:vertAlign w:val="baseline"/>
                <w:lang w:eastAsia="zh-CN"/>
              </w:rPr>
              <w:t>。</w:t>
            </w:r>
          </w:p>
        </w:tc>
        <w:tc>
          <w:tcPr>
            <w:tcW w:w="606" w:type="pct"/>
            <w:vAlign w:val="center"/>
          </w:tcPr>
          <w:p w14:paraId="077397E9">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35.00</w:t>
            </w:r>
          </w:p>
        </w:tc>
      </w:tr>
      <w:tr w14:paraId="699E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387" w:type="pct"/>
            <w:vAlign w:val="center"/>
          </w:tcPr>
          <w:p w14:paraId="7CCF9771">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9</w:t>
            </w:r>
          </w:p>
        </w:tc>
        <w:tc>
          <w:tcPr>
            <w:tcW w:w="1193" w:type="pct"/>
            <w:vAlign w:val="center"/>
          </w:tcPr>
          <w:p w14:paraId="726A11D1">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档案管理</w:t>
            </w:r>
          </w:p>
        </w:tc>
        <w:tc>
          <w:tcPr>
            <w:tcW w:w="2812" w:type="pct"/>
            <w:vAlign w:val="center"/>
          </w:tcPr>
          <w:p w14:paraId="64F97AA4">
            <w:pPr>
              <w:keepNext w:val="0"/>
              <w:keepLines w:val="0"/>
              <w:suppressLineNumbers w:val="0"/>
              <w:spacing w:before="0" w:beforeAutospacing="0" w:after="0" w:afterAutospacing="0"/>
              <w:ind w:left="0" w:leftChars="0" w:right="0" w:firstLine="0" w:firstLineChars="0"/>
              <w:jc w:val="both"/>
              <w:rPr>
                <w:rFonts w:hint="eastAsia" w:ascii="宋体" w:hAnsi="宋体" w:eastAsia="宋体" w:cs="宋体"/>
                <w:sz w:val="20"/>
                <w:szCs w:val="20"/>
                <w:vertAlign w:val="baseline"/>
              </w:rPr>
            </w:pPr>
            <w:r>
              <w:rPr>
                <w:rFonts w:hint="eastAsia" w:ascii="宋体" w:hAnsi="宋体" w:eastAsia="宋体" w:cs="宋体"/>
                <w:sz w:val="20"/>
                <w:szCs w:val="20"/>
                <w:vertAlign w:val="baseline"/>
                <w:lang w:val="en-US" w:eastAsia="zh-CN"/>
              </w:rPr>
              <w:t>将</w:t>
            </w:r>
            <w:r>
              <w:rPr>
                <w:rFonts w:hint="eastAsia" w:ascii="宋体" w:hAnsi="宋体" w:eastAsia="宋体" w:cs="宋体"/>
                <w:sz w:val="20"/>
                <w:szCs w:val="20"/>
                <w:vertAlign w:val="baseline"/>
              </w:rPr>
              <w:t>鄂尔多斯文化产业园历年来形成的各类具有保存和利用价值的工程档案,依据档案整理的相关规范和要求,完成归档文件材料的鉴定、编号、分类、编页、编目、装盒等工作,并编制各门类档案检索目录。按照规范要求,对文件保管期限为永久和30年的档案进行扫描、纠偏、去污、核查核对、录入,形成数字化成品数据,保证扫描后数字、图像等内容清晰、完整、不失真。</w:t>
            </w:r>
          </w:p>
        </w:tc>
        <w:tc>
          <w:tcPr>
            <w:tcW w:w="606" w:type="pct"/>
            <w:vAlign w:val="center"/>
          </w:tcPr>
          <w:p w14:paraId="359572F5">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40.00</w:t>
            </w:r>
          </w:p>
        </w:tc>
      </w:tr>
      <w:tr w14:paraId="2A55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387" w:type="pct"/>
            <w:vAlign w:val="center"/>
          </w:tcPr>
          <w:p w14:paraId="64E1F00B">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10</w:t>
            </w:r>
          </w:p>
        </w:tc>
        <w:tc>
          <w:tcPr>
            <w:tcW w:w="1193" w:type="pct"/>
            <w:vAlign w:val="center"/>
          </w:tcPr>
          <w:p w14:paraId="7FC802F9">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rPr>
            </w:pPr>
            <w:r>
              <w:rPr>
                <w:rFonts w:hint="eastAsia" w:ascii="宋体" w:hAnsi="宋体" w:eastAsia="宋体" w:cs="宋体"/>
                <w:sz w:val="20"/>
                <w:szCs w:val="20"/>
                <w:vertAlign w:val="baseline"/>
              </w:rPr>
              <w:t>园林社区暖心事领办制暖心基金</w:t>
            </w:r>
          </w:p>
        </w:tc>
        <w:tc>
          <w:tcPr>
            <w:tcW w:w="2812" w:type="pct"/>
            <w:vAlign w:val="center"/>
          </w:tcPr>
          <w:p w14:paraId="042C37BA">
            <w:pPr>
              <w:keepNext w:val="0"/>
              <w:keepLines w:val="0"/>
              <w:suppressLineNumbers w:val="0"/>
              <w:spacing w:before="0" w:beforeAutospacing="0" w:after="0" w:afterAutospacing="0"/>
              <w:ind w:left="0" w:leftChars="0" w:right="0" w:firstLine="0" w:firstLineChars="0"/>
              <w:jc w:val="both"/>
              <w:rPr>
                <w:rFonts w:hint="eastAsia" w:ascii="宋体" w:hAnsi="宋体" w:eastAsia="宋体" w:cs="宋体"/>
                <w:sz w:val="20"/>
                <w:szCs w:val="20"/>
                <w:vertAlign w:val="baseline"/>
              </w:rPr>
            </w:pPr>
            <w:r>
              <w:rPr>
                <w:rFonts w:hint="eastAsia" w:ascii="宋体" w:hAnsi="宋体" w:eastAsia="宋体" w:cs="宋体"/>
                <w:sz w:val="20"/>
                <w:szCs w:val="20"/>
                <w:vertAlign w:val="baseline"/>
              </w:rPr>
              <w:t>资助园林社区做铁制椅子。</w:t>
            </w:r>
          </w:p>
        </w:tc>
        <w:tc>
          <w:tcPr>
            <w:tcW w:w="606" w:type="pct"/>
            <w:vAlign w:val="center"/>
          </w:tcPr>
          <w:p w14:paraId="0CEA387F">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1.00</w:t>
            </w:r>
          </w:p>
        </w:tc>
      </w:tr>
      <w:tr w14:paraId="671B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387" w:type="pct"/>
            <w:vAlign w:val="center"/>
          </w:tcPr>
          <w:p w14:paraId="0B85D45E">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11</w:t>
            </w:r>
          </w:p>
        </w:tc>
        <w:tc>
          <w:tcPr>
            <w:tcW w:w="1193" w:type="pct"/>
            <w:vAlign w:val="center"/>
          </w:tcPr>
          <w:p w14:paraId="1860B327">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办公用品采购</w:t>
            </w:r>
          </w:p>
        </w:tc>
        <w:tc>
          <w:tcPr>
            <w:tcW w:w="2812" w:type="pct"/>
            <w:vAlign w:val="center"/>
          </w:tcPr>
          <w:p w14:paraId="58B9B159">
            <w:pPr>
              <w:keepNext w:val="0"/>
              <w:keepLines w:val="0"/>
              <w:suppressLineNumbers w:val="0"/>
              <w:spacing w:before="0" w:beforeAutospacing="0" w:after="0" w:afterAutospacing="0"/>
              <w:ind w:left="0" w:leftChars="0" w:right="0" w:firstLine="0" w:firstLineChars="0"/>
              <w:jc w:val="both"/>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为鄂尔多斯文化产业发展中心采购中性笔、笔袋、档案盒、会议用品、密码锁等办公用品，暖风机、洗洁精、卫生器具、插座等日用品。</w:t>
            </w:r>
          </w:p>
        </w:tc>
        <w:tc>
          <w:tcPr>
            <w:tcW w:w="606" w:type="pct"/>
            <w:vAlign w:val="center"/>
          </w:tcPr>
          <w:p w14:paraId="6BB79F3C">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3.25</w:t>
            </w:r>
          </w:p>
        </w:tc>
      </w:tr>
      <w:tr w14:paraId="4C90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93" w:type="pct"/>
            <w:gridSpan w:val="3"/>
            <w:vAlign w:val="center"/>
          </w:tcPr>
          <w:p w14:paraId="68108FB6">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sz w:val="20"/>
                <w:szCs w:val="20"/>
                <w:vertAlign w:val="baseline"/>
                <w:lang w:val="en-US" w:eastAsia="zh-Hans"/>
              </w:rPr>
            </w:pPr>
            <w:r>
              <w:rPr>
                <w:rFonts w:hint="eastAsia" w:ascii="宋体" w:hAnsi="宋体" w:eastAsia="宋体" w:cs="宋体"/>
                <w:b/>
                <w:bCs/>
                <w:sz w:val="20"/>
                <w:szCs w:val="20"/>
                <w:vertAlign w:val="baseline"/>
                <w:lang w:val="en-US" w:eastAsia="zh-Hans"/>
              </w:rPr>
              <w:t>合计</w:t>
            </w:r>
          </w:p>
        </w:tc>
        <w:tc>
          <w:tcPr>
            <w:tcW w:w="606" w:type="pct"/>
            <w:vAlign w:val="center"/>
          </w:tcPr>
          <w:p w14:paraId="08F7D7A5">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eastAsia="zh-CN" w:bidi="ar"/>
              </w:rPr>
              <w:t>219.0</w:t>
            </w:r>
            <w:r>
              <w:rPr>
                <w:rFonts w:hint="eastAsia" w:ascii="宋体" w:hAnsi="宋体" w:eastAsia="宋体" w:cs="宋体"/>
                <w:b/>
                <w:bCs/>
                <w:i w:val="0"/>
                <w:iCs w:val="0"/>
                <w:color w:val="auto"/>
                <w:kern w:val="0"/>
                <w:sz w:val="20"/>
                <w:szCs w:val="20"/>
                <w:u w:val="none"/>
                <w:lang w:val="en-US" w:eastAsia="zh-CN" w:bidi="ar"/>
              </w:rPr>
              <w:t>6</w:t>
            </w:r>
          </w:p>
        </w:tc>
      </w:tr>
    </w:tbl>
    <w:p w14:paraId="37C38E7A">
      <w:pPr>
        <w:overflowPunct w:val="0"/>
        <w:autoSpaceDE/>
        <w:autoSpaceDN/>
        <w:ind w:firstLine="640" w:firstLineChars="200"/>
        <w:outlineLvl w:val="9"/>
        <w:rPr>
          <w:rFonts w:hint="default" w:ascii="黑体" w:hAnsi="黑体" w:eastAsia="黑体" w:cs="黑体"/>
          <w:lang w:val="en-US" w:eastAsia="zh-CN"/>
        </w:rPr>
      </w:pPr>
    </w:p>
    <w:p w14:paraId="5C18E79A">
      <w:pPr>
        <w:overflowPunct/>
        <w:autoSpaceDE/>
        <w:autoSpaceDN/>
        <w:ind w:firstLine="640"/>
        <w:outlineLvl w:val="0"/>
        <w:rPr>
          <w:rFonts w:ascii="黑体" w:hAnsi="黑体" w:eastAsia="黑体" w:cs="黑体"/>
        </w:rPr>
      </w:pPr>
      <w:bookmarkStart w:id="28" w:name="_Toc9459"/>
      <w:bookmarkStart w:id="29" w:name="_Toc28297"/>
      <w:bookmarkStart w:id="30" w:name="_Toc32756"/>
      <w:bookmarkStart w:id="31" w:name="_Toc19307"/>
      <w:bookmarkStart w:id="32" w:name="_Toc9074"/>
      <w:r>
        <w:rPr>
          <w:rFonts w:hint="eastAsia" w:ascii="黑体" w:hAnsi="黑体" w:eastAsia="黑体" w:cs="黑体"/>
          <w:lang w:val="en-US" w:eastAsia="zh-CN"/>
        </w:rPr>
        <w:t>二</w:t>
      </w:r>
      <w:r>
        <w:rPr>
          <w:rFonts w:hint="eastAsia" w:ascii="黑体" w:hAnsi="黑体" w:eastAsia="黑体" w:cs="黑体"/>
        </w:rPr>
        <w:t>、</w:t>
      </w:r>
      <w:bookmarkEnd w:id="15"/>
      <w:bookmarkEnd w:id="16"/>
      <w:bookmarkEnd w:id="26"/>
      <w:bookmarkEnd w:id="27"/>
      <w:bookmarkEnd w:id="28"/>
      <w:bookmarkEnd w:id="29"/>
      <w:bookmarkEnd w:id="30"/>
      <w:bookmarkEnd w:id="31"/>
      <w:bookmarkEnd w:id="32"/>
      <w:bookmarkStart w:id="33" w:name="_Toc15012"/>
      <w:r>
        <w:rPr>
          <w:rFonts w:hint="eastAsia" w:ascii="黑体" w:hAnsi="黑体" w:eastAsia="黑体" w:cs="黑体"/>
        </w:rPr>
        <w:t>综合评价分析及评价结论</w:t>
      </w:r>
      <w:bookmarkEnd w:id="33"/>
    </w:p>
    <w:p w14:paraId="78B4FB99">
      <w:pPr>
        <w:rPr>
          <w:rFonts w:hint="eastAsia" w:ascii="仿宋_GB2312"/>
        </w:rPr>
      </w:pPr>
      <w:bookmarkStart w:id="34" w:name="_Toc23562"/>
      <w:bookmarkStart w:id="35" w:name="_Toc30358"/>
      <w:bookmarkStart w:id="36" w:name="_Toc28036"/>
      <w:bookmarkStart w:id="37" w:name="_Toc30074"/>
      <w:bookmarkStart w:id="38" w:name="_Toc107825669"/>
      <w:bookmarkStart w:id="39" w:name="_Toc1199"/>
      <w:bookmarkStart w:id="40" w:name="_Toc66377492"/>
      <w:bookmarkStart w:id="41" w:name="_Toc25478"/>
      <w:bookmarkStart w:id="42" w:name="_Toc13102"/>
      <w:r>
        <w:rPr>
          <w:rFonts w:hint="eastAsia" w:ascii="仿宋_GB2312"/>
        </w:rPr>
        <w:t>通过评价，</w:t>
      </w:r>
      <w:r>
        <w:rPr>
          <w:rFonts w:hint="eastAsia" w:ascii="仿宋_GB2312"/>
          <w:lang w:eastAsia="zh-CN"/>
        </w:rPr>
        <w:t>基础设施维修维护，绿化养护节点品质提升项目</w:t>
      </w:r>
      <w:r>
        <w:rPr>
          <w:rFonts w:hint="eastAsia" w:ascii="仿宋_GB2312"/>
        </w:rPr>
        <w:t>绩效评价综合得分</w:t>
      </w:r>
      <w:r>
        <w:rPr>
          <w:rFonts w:hint="eastAsia" w:ascii="仿宋_GB2312"/>
          <w:lang w:val="en-US" w:eastAsia="zh-CN"/>
        </w:rPr>
        <w:t>62.21</w:t>
      </w:r>
      <w:r>
        <w:rPr>
          <w:rFonts w:hint="eastAsia" w:ascii="仿宋_GB2312"/>
        </w:rPr>
        <w:t>分，</w:t>
      </w:r>
      <w:r>
        <w:rPr>
          <w:rFonts w:hint="eastAsia" w:ascii="仿宋_GB2312"/>
          <w:lang w:val="en-US" w:eastAsia="zh-CN"/>
        </w:rPr>
        <w:t>绩效</w:t>
      </w:r>
      <w:r>
        <w:rPr>
          <w:rFonts w:hint="eastAsia" w:ascii="仿宋_GB2312"/>
        </w:rPr>
        <w:t>综合评价等级为“</w:t>
      </w:r>
      <w:r>
        <w:rPr>
          <w:rFonts w:hint="eastAsia" w:ascii="仿宋_GB2312"/>
          <w:lang w:val="en-US" w:eastAsia="zh-CN"/>
        </w:rPr>
        <w:t>中</w:t>
      </w:r>
      <w:r>
        <w:rPr>
          <w:rFonts w:hint="eastAsia" w:ascii="仿宋_GB2312"/>
        </w:rPr>
        <w:t>”。</w:t>
      </w:r>
    </w:p>
    <w:p w14:paraId="6ACE3FAA">
      <w:pPr>
        <w:rPr>
          <w:rFonts w:hint="eastAsia" w:ascii="仿宋_GB2312" w:hAnsi="仿宋_GB2312"/>
          <w:b w:val="0"/>
          <w:bCs w:val="0"/>
          <w:highlight w:val="none"/>
        </w:rPr>
      </w:pPr>
      <w:r>
        <w:rPr>
          <w:rFonts w:hint="eastAsia" w:ascii="仿宋_GB2312"/>
          <w:b w:val="0"/>
          <w:bCs w:val="0"/>
          <w:lang w:val="en-US" w:eastAsia="zh-CN"/>
        </w:rPr>
        <w:t>决策</w:t>
      </w:r>
      <w:r>
        <w:rPr>
          <w:rFonts w:hint="eastAsia" w:ascii="仿宋_GB2312"/>
          <w:b w:val="0"/>
          <w:bCs w:val="0"/>
        </w:rPr>
        <w:t>方面</w:t>
      </w:r>
      <w:r>
        <w:rPr>
          <w:rFonts w:hint="eastAsia" w:ascii="仿宋_GB2312" w:hAnsi="仿宋_GB2312"/>
          <w:b w:val="0"/>
          <w:bCs w:val="0"/>
        </w:rPr>
        <w:t>包括项目立项、绩效目标、资金投入</w:t>
      </w:r>
      <w:r>
        <w:rPr>
          <w:rFonts w:hint="eastAsia" w:ascii="仿宋_GB2312" w:hAnsi="仿宋_GB2312"/>
          <w:b w:val="0"/>
          <w:bCs w:val="0"/>
          <w:lang w:val="en-US" w:eastAsia="zh-CN"/>
        </w:rPr>
        <w:t>3</w:t>
      </w:r>
      <w:r>
        <w:rPr>
          <w:rFonts w:hint="eastAsia" w:ascii="仿宋_GB2312" w:hAnsi="仿宋_GB2312"/>
          <w:b w:val="0"/>
          <w:bCs w:val="0"/>
        </w:rPr>
        <w:t>个二级指标。</w:t>
      </w:r>
      <w:r>
        <w:rPr>
          <w:rFonts w:hint="eastAsia" w:ascii="仿宋_GB2312" w:hAnsi="仿宋_GB2312"/>
          <w:b w:val="0"/>
          <w:bCs w:val="0"/>
          <w:highlight w:val="none"/>
        </w:rPr>
        <w:t>①</w:t>
      </w:r>
      <w:r>
        <w:rPr>
          <w:rFonts w:hint="eastAsia" w:ascii="仿宋_GB2312" w:hAnsi="仿宋_GB2312"/>
          <w:b w:val="0"/>
          <w:bCs w:val="0"/>
          <w:highlight w:val="none"/>
          <w:lang w:val="en-US" w:eastAsia="zh-CN"/>
        </w:rPr>
        <w:t>项目立项方面，基础设施维修维护，绿化养护节点品质提升项目为鄂尔多斯文化产业园区基础性保障工作，</w:t>
      </w:r>
      <w:r>
        <w:rPr>
          <w:rFonts w:hint="eastAsia" w:ascii="仿宋_GB2312" w:hAnsi="仿宋_GB2312" w:cs="仿宋_GB2312"/>
          <w:b w:val="0"/>
          <w:bCs w:val="0"/>
          <w:color w:val="auto"/>
          <w:kern w:val="0"/>
          <w:sz w:val="32"/>
          <w:szCs w:val="32"/>
          <w:highlight w:val="none"/>
          <w:lang w:val="en-US" w:eastAsia="zh-CN"/>
        </w:rPr>
        <w:t>无相关立项材料</w:t>
      </w:r>
      <w:r>
        <w:rPr>
          <w:rFonts w:hint="eastAsia" w:ascii="仿宋_GB2312" w:hAnsi="仿宋_GB2312" w:cs="仿宋_GB2312"/>
          <w:b w:val="0"/>
          <w:bCs w:val="0"/>
          <w:color w:val="auto"/>
          <w:kern w:val="0"/>
          <w:sz w:val="32"/>
          <w:szCs w:val="32"/>
          <w:highlight w:val="none"/>
          <w:lang w:val="zh-CN" w:eastAsia="zh-CN"/>
        </w:rPr>
        <w:t>，</w:t>
      </w:r>
      <w:r>
        <w:rPr>
          <w:rFonts w:hint="eastAsia" w:ascii="仿宋_GB2312" w:hAnsi="仿宋_GB2312" w:cs="仿宋_GB2312"/>
          <w:b w:val="0"/>
          <w:bCs w:val="0"/>
          <w:color w:val="auto"/>
          <w:kern w:val="0"/>
          <w:sz w:val="32"/>
          <w:szCs w:val="32"/>
          <w:highlight w:val="none"/>
          <w:lang w:val="en-US" w:eastAsia="zh-CN"/>
        </w:rPr>
        <w:t>项目立项不具备依据，</w:t>
      </w:r>
      <w:r>
        <w:rPr>
          <w:rFonts w:hint="eastAsia" w:ascii="仿宋_GB2312" w:hAnsi="仿宋_GB2312" w:cs="仿宋_GB2312"/>
          <w:b w:val="0"/>
          <w:bCs w:val="0"/>
          <w:color w:val="auto"/>
          <w:kern w:val="0"/>
          <w:sz w:val="32"/>
          <w:szCs w:val="32"/>
          <w:highlight w:val="none"/>
          <w:lang w:val="zh-CN" w:eastAsia="zh-CN"/>
        </w:rPr>
        <w:t>申请、设立过程</w:t>
      </w:r>
      <w:r>
        <w:rPr>
          <w:rFonts w:hint="eastAsia" w:ascii="仿宋_GB2312" w:hAnsi="仿宋_GB2312" w:cs="仿宋_GB2312"/>
          <w:b w:val="0"/>
          <w:bCs w:val="0"/>
          <w:color w:val="auto"/>
          <w:kern w:val="0"/>
          <w:sz w:val="32"/>
          <w:szCs w:val="32"/>
          <w:highlight w:val="none"/>
          <w:lang w:val="en-US" w:eastAsia="zh-CN"/>
        </w:rPr>
        <w:t>不</w:t>
      </w:r>
      <w:r>
        <w:rPr>
          <w:rFonts w:hint="eastAsia" w:ascii="仿宋_GB2312" w:hAnsi="仿宋_GB2312" w:cs="仿宋_GB2312"/>
          <w:b w:val="0"/>
          <w:bCs w:val="0"/>
          <w:color w:val="auto"/>
          <w:kern w:val="0"/>
          <w:sz w:val="32"/>
          <w:szCs w:val="32"/>
          <w:highlight w:val="none"/>
          <w:lang w:val="zh-CN" w:eastAsia="zh-CN"/>
        </w:rPr>
        <w:t>符合相关要求</w:t>
      </w:r>
      <w:r>
        <w:rPr>
          <w:rFonts w:hint="eastAsia" w:ascii="仿宋_GB2312" w:hAnsi="仿宋_GB2312" w:eastAsia="仿宋_GB2312" w:cs="仿宋_GB2312"/>
          <w:b w:val="0"/>
          <w:bCs w:val="0"/>
          <w:color w:val="auto"/>
          <w:kern w:val="0"/>
          <w:sz w:val="32"/>
          <w:szCs w:val="32"/>
          <w:highlight w:val="none"/>
          <w:lang w:val="zh-CN" w:eastAsia="zh-CN"/>
        </w:rPr>
        <w:t>。</w:t>
      </w:r>
      <w:r>
        <w:rPr>
          <w:rFonts w:hint="eastAsia" w:ascii="仿宋_GB2312" w:hAnsi="仿宋_GB2312"/>
          <w:b w:val="0"/>
          <w:bCs w:val="0"/>
          <w:highlight w:val="none"/>
        </w:rPr>
        <w:t>②</w:t>
      </w:r>
      <w:r>
        <w:rPr>
          <w:rFonts w:hint="eastAsia" w:ascii="仿宋_GB2312" w:hAnsi="仿宋_GB2312"/>
          <w:b w:val="0"/>
          <w:bCs w:val="0"/>
          <w:highlight w:val="none"/>
          <w:lang w:val="en-US" w:eastAsia="zh-CN"/>
        </w:rPr>
        <w:t>绩效目标方面，鄂尔多斯文化发展中心</w:t>
      </w:r>
      <w:r>
        <w:rPr>
          <w:rFonts w:hint="eastAsia" w:ascii="仿宋_GB2312" w:hAnsi="仿宋_GB2312"/>
          <w:b w:val="0"/>
          <w:bCs w:val="0"/>
          <w:highlight w:val="none"/>
        </w:rPr>
        <w:t>制定了</w:t>
      </w:r>
      <w:r>
        <w:rPr>
          <w:rFonts w:hint="eastAsia" w:ascii="仿宋_GB2312" w:hAnsi="仿宋_GB2312" w:cs="仿宋_GB2312"/>
          <w:b w:val="0"/>
          <w:bCs w:val="0"/>
          <w:sz w:val="32"/>
          <w:szCs w:val="32"/>
          <w:highlight w:val="none"/>
          <w:lang w:val="en-US" w:eastAsia="zh-CN" w:bidi="ar"/>
        </w:rPr>
        <w:t>基础设施维修维护 绿化养护节点品质提升项目绩效目标表</w:t>
      </w:r>
      <w:r>
        <w:rPr>
          <w:rFonts w:hint="eastAsia" w:ascii="仿宋_GB2312" w:hAnsi="仿宋_GB2312"/>
          <w:b w:val="0"/>
          <w:bCs w:val="0"/>
          <w:highlight w:val="none"/>
          <w:lang w:val="en-US" w:eastAsia="zh-CN"/>
        </w:rPr>
        <w:t>，但</w:t>
      </w:r>
      <w:r>
        <w:rPr>
          <w:rFonts w:hint="eastAsia" w:ascii="仿宋_GB2312" w:hAnsi="仿宋_GB2312" w:eastAsia="仿宋_GB2312" w:cs="仿宋_GB2312"/>
          <w:b w:val="0"/>
          <w:bCs w:val="0"/>
          <w:highlight w:val="none"/>
        </w:rPr>
        <w:t>项目绩效目标</w:t>
      </w:r>
      <w:r>
        <w:rPr>
          <w:rFonts w:hint="eastAsia" w:ascii="仿宋_GB2312" w:hAnsi="仿宋_GB2312" w:cs="仿宋_GB2312"/>
          <w:b w:val="0"/>
          <w:bCs w:val="0"/>
          <w:highlight w:val="none"/>
          <w:lang w:val="en-US" w:eastAsia="zh-CN"/>
        </w:rPr>
        <w:t>合理性不高，绩效指标不明确</w:t>
      </w:r>
      <w:r>
        <w:rPr>
          <w:rFonts w:hint="eastAsia" w:ascii="仿宋_GB2312" w:hAnsi="仿宋_GB2312"/>
          <w:b w:val="0"/>
          <w:bCs w:val="0"/>
          <w:highlight w:val="none"/>
        </w:rPr>
        <w:t>。③</w:t>
      </w:r>
      <w:r>
        <w:rPr>
          <w:rFonts w:hint="eastAsia" w:ascii="仿宋_GB2312" w:hAnsi="仿宋_GB2312"/>
          <w:b w:val="0"/>
          <w:bCs w:val="0"/>
          <w:highlight w:val="none"/>
          <w:lang w:val="en-US" w:eastAsia="zh-CN"/>
        </w:rPr>
        <w:t>资金投入方面</w:t>
      </w:r>
      <w:r>
        <w:rPr>
          <w:rFonts w:hint="eastAsia" w:ascii="仿宋_GB2312" w:hAnsi="仿宋_GB2312"/>
          <w:b w:val="0"/>
          <w:bCs w:val="0"/>
          <w:highlight w:val="none"/>
        </w:rPr>
        <w:t>，</w:t>
      </w:r>
      <w:r>
        <w:rPr>
          <w:rFonts w:hint="eastAsia" w:ascii="仿宋_GB2312" w:hAnsi="仿宋_GB2312"/>
          <w:b w:val="0"/>
          <w:bCs w:val="0"/>
          <w:highlight w:val="none"/>
          <w:lang w:val="en-US" w:eastAsia="zh-CN"/>
        </w:rPr>
        <w:t>由于项目单位未提供相关佐证材料，故无法证明项目预算经过科学论证，无法体现项目预算编制的科学性、合理性</w:t>
      </w:r>
      <w:r>
        <w:rPr>
          <w:rFonts w:hint="eastAsia" w:ascii="仿宋_GB2312" w:hAnsi="仿宋_GB2312"/>
          <w:b w:val="0"/>
          <w:bCs w:val="0"/>
          <w:highlight w:val="none"/>
          <w:lang w:eastAsia="zh-CN"/>
        </w:rPr>
        <w:t>；项目预算资金分配</w:t>
      </w:r>
      <w:r>
        <w:rPr>
          <w:rFonts w:hint="eastAsia" w:ascii="仿宋_GB2312" w:hAnsi="仿宋_GB2312"/>
          <w:b w:val="0"/>
          <w:bCs w:val="0"/>
          <w:highlight w:val="none"/>
          <w:lang w:val="en-US" w:eastAsia="zh-CN"/>
        </w:rPr>
        <w:t>无</w:t>
      </w:r>
      <w:r>
        <w:rPr>
          <w:rFonts w:hint="eastAsia" w:ascii="仿宋_GB2312" w:hAnsi="仿宋_GB2312"/>
          <w:b w:val="0"/>
          <w:bCs w:val="0"/>
          <w:highlight w:val="none"/>
          <w:lang w:eastAsia="zh-CN"/>
        </w:rPr>
        <w:t>测算</w:t>
      </w:r>
      <w:r>
        <w:rPr>
          <w:rFonts w:hint="eastAsia" w:ascii="仿宋_GB2312" w:hAnsi="仿宋_GB2312"/>
          <w:b w:val="0"/>
          <w:bCs w:val="0"/>
          <w:highlight w:val="none"/>
          <w:lang w:val="en-US" w:eastAsia="zh-CN"/>
        </w:rPr>
        <w:t>依据</w:t>
      </w:r>
      <w:r>
        <w:rPr>
          <w:rFonts w:hint="eastAsia" w:ascii="仿宋_GB2312" w:hAnsi="仿宋_GB2312"/>
          <w:b w:val="0"/>
          <w:bCs w:val="0"/>
          <w:highlight w:val="none"/>
          <w:lang w:eastAsia="zh-CN"/>
        </w:rPr>
        <w:t>，</w:t>
      </w:r>
      <w:r>
        <w:rPr>
          <w:rFonts w:hint="eastAsia" w:ascii="仿宋_GB2312" w:hAnsi="仿宋_GB2312"/>
          <w:b w:val="0"/>
          <w:bCs w:val="0"/>
          <w:highlight w:val="none"/>
          <w:lang w:val="en-US" w:eastAsia="zh-CN"/>
        </w:rPr>
        <w:t>但具体项目</w:t>
      </w:r>
      <w:r>
        <w:rPr>
          <w:rFonts w:hint="eastAsia" w:ascii="仿宋_GB2312" w:hAnsi="仿宋_GB2312"/>
          <w:b w:val="0"/>
          <w:bCs w:val="0"/>
          <w:highlight w:val="none"/>
          <w:lang w:eastAsia="zh-CN"/>
        </w:rPr>
        <w:t>资金分配与项目单位实际相适应</w:t>
      </w:r>
      <w:r>
        <w:rPr>
          <w:rFonts w:hint="eastAsia" w:ascii="仿宋_GB2312" w:hAnsi="仿宋_GB2312"/>
          <w:b w:val="0"/>
          <w:bCs w:val="0"/>
          <w:highlight w:val="none"/>
        </w:rPr>
        <w:t>。</w:t>
      </w:r>
    </w:p>
    <w:p w14:paraId="7E850B54">
      <w:pPr>
        <w:pStyle w:val="19"/>
        <w:overflowPunct/>
        <w:autoSpaceDE/>
        <w:autoSpaceDN/>
        <w:spacing w:after="0"/>
        <w:ind w:left="0" w:leftChars="0" w:firstLine="640"/>
        <w:rPr>
          <w:rFonts w:ascii="仿宋_GB2312"/>
          <w:b w:val="0"/>
          <w:bCs w:val="0"/>
          <w:highlight w:val="yellow"/>
        </w:rPr>
      </w:pPr>
      <w:r>
        <w:rPr>
          <w:rFonts w:hint="eastAsia" w:ascii="仿宋_GB2312"/>
          <w:b w:val="0"/>
          <w:bCs w:val="0"/>
        </w:rPr>
        <w:t>过程方面包括</w:t>
      </w:r>
      <w:r>
        <w:rPr>
          <w:rFonts w:hint="eastAsia"/>
          <w:b w:val="0"/>
          <w:bCs w:val="0"/>
        </w:rPr>
        <w:t>资金管理</w:t>
      </w:r>
      <w:r>
        <w:rPr>
          <w:rFonts w:hint="eastAsia"/>
          <w:b w:val="0"/>
          <w:bCs w:val="0"/>
          <w:lang w:val="en-US" w:eastAsia="zh-CN"/>
        </w:rPr>
        <w:t>和</w:t>
      </w:r>
      <w:r>
        <w:rPr>
          <w:rFonts w:hint="eastAsia"/>
          <w:b w:val="0"/>
          <w:bCs w:val="0"/>
        </w:rPr>
        <w:t>组织实施</w:t>
      </w:r>
      <w:r>
        <w:rPr>
          <w:rFonts w:hint="eastAsia" w:ascii="仿宋_GB2312"/>
          <w:b w:val="0"/>
          <w:bCs w:val="0"/>
          <w:lang w:val="en-US" w:eastAsia="zh-CN"/>
        </w:rPr>
        <w:t>2</w:t>
      </w:r>
      <w:r>
        <w:rPr>
          <w:rFonts w:hint="eastAsia" w:ascii="仿宋_GB2312"/>
          <w:b w:val="0"/>
          <w:bCs w:val="0"/>
        </w:rPr>
        <w:t>个二级指标。</w:t>
      </w:r>
      <w:r>
        <w:rPr>
          <w:rFonts w:hint="eastAsia" w:ascii="仿宋_GB2312"/>
          <w:b w:val="0"/>
          <w:bCs w:val="0"/>
          <w:highlight w:val="none"/>
        </w:rPr>
        <w:t>①</w:t>
      </w:r>
      <w:r>
        <w:rPr>
          <w:rFonts w:hint="eastAsia" w:ascii="仿宋_GB2312"/>
          <w:b w:val="0"/>
          <w:bCs w:val="0"/>
          <w:highlight w:val="none"/>
          <w:lang w:val="en-US" w:eastAsia="zh-CN"/>
        </w:rPr>
        <w:t>资金管理</w:t>
      </w:r>
      <w:r>
        <w:rPr>
          <w:rFonts w:hint="eastAsia" w:ascii="仿宋_GB2312"/>
          <w:b w:val="0"/>
          <w:bCs w:val="0"/>
          <w:highlight w:val="none"/>
        </w:rPr>
        <w:t>方面，</w:t>
      </w:r>
      <w:r>
        <w:rPr>
          <w:rFonts w:hint="eastAsia" w:ascii="仿宋_GB2312"/>
          <w:b w:val="0"/>
          <w:bCs w:val="0"/>
          <w:highlight w:val="none"/>
          <w:lang w:val="en-US" w:eastAsia="zh-CN"/>
        </w:rPr>
        <w:t>财政到位资金629.00万元，资金到位率100%，实际支出资金463.45万元，预算执行率73.68%，其中</w:t>
      </w:r>
      <w:r>
        <w:rPr>
          <w:rFonts w:hint="eastAsia" w:ascii="仿宋_GB2312"/>
          <w:b w:val="0"/>
          <w:bCs w:val="0"/>
          <w:highlight w:val="none"/>
          <w:lang w:eastAsia="zh-CN"/>
        </w:rPr>
        <w:t>园林社区暖心事领办制暖心基金</w:t>
      </w:r>
      <w:r>
        <w:rPr>
          <w:rFonts w:hint="eastAsia" w:ascii="仿宋_GB2312"/>
          <w:b w:val="0"/>
          <w:bCs w:val="0"/>
          <w:highlight w:val="none"/>
        </w:rPr>
        <w:t>、办公用品采购、档案管理、项目结算审计不符合项目资金使用方向，存在挤占专项资金情况</w:t>
      </w:r>
      <w:r>
        <w:rPr>
          <w:rFonts w:ascii="仿宋_GB2312"/>
          <w:b w:val="0"/>
          <w:bCs w:val="0"/>
          <w:highlight w:val="none"/>
        </w:rPr>
        <w:t>。</w:t>
      </w:r>
      <w:r>
        <w:rPr>
          <w:rFonts w:hint="eastAsia" w:ascii="仿宋_GB2312"/>
          <w:b w:val="0"/>
          <w:bCs w:val="0"/>
          <w:highlight w:val="none"/>
        </w:rPr>
        <w:t>②</w:t>
      </w:r>
      <w:r>
        <w:rPr>
          <w:rFonts w:hint="eastAsia" w:ascii="仿宋_GB2312"/>
          <w:b w:val="0"/>
          <w:bCs w:val="0"/>
          <w:highlight w:val="none"/>
          <w:lang w:val="en-US" w:eastAsia="zh-CN"/>
        </w:rPr>
        <w:t>组织实施</w:t>
      </w:r>
      <w:r>
        <w:rPr>
          <w:rFonts w:hint="eastAsia" w:ascii="仿宋_GB2312"/>
          <w:b w:val="0"/>
          <w:bCs w:val="0"/>
          <w:highlight w:val="none"/>
        </w:rPr>
        <w:t>方面，</w:t>
      </w:r>
      <w:r>
        <w:rPr>
          <w:rFonts w:hint="eastAsia" w:ascii="仿宋_GB2312"/>
          <w:b w:val="0"/>
          <w:bCs w:val="0"/>
          <w:highlight w:val="none"/>
          <w:lang w:val="en-US" w:eastAsia="zh-CN"/>
        </w:rPr>
        <w:t>项目单位</w:t>
      </w:r>
      <w:r>
        <w:rPr>
          <w:rFonts w:ascii="仿宋_GB2312"/>
          <w:b w:val="0"/>
          <w:bCs w:val="0"/>
          <w:highlight w:val="none"/>
        </w:rPr>
        <w:t>制定了相关</w:t>
      </w:r>
      <w:r>
        <w:rPr>
          <w:rFonts w:hint="eastAsia" w:ascii="仿宋_GB2312"/>
          <w:b w:val="0"/>
          <w:bCs w:val="0"/>
          <w:highlight w:val="none"/>
          <w:lang w:val="en-US" w:eastAsia="zh-CN"/>
        </w:rPr>
        <w:t>财务</w:t>
      </w:r>
      <w:r>
        <w:rPr>
          <w:rFonts w:ascii="仿宋_GB2312"/>
          <w:b w:val="0"/>
          <w:bCs w:val="0"/>
          <w:highlight w:val="none"/>
        </w:rPr>
        <w:t>管理制度</w:t>
      </w:r>
      <w:r>
        <w:rPr>
          <w:rFonts w:hint="eastAsia" w:ascii="仿宋_GB2312"/>
          <w:b w:val="0"/>
          <w:bCs w:val="0"/>
          <w:highlight w:val="none"/>
          <w:lang w:val="en-US" w:eastAsia="zh-CN"/>
        </w:rPr>
        <w:t>及业务管理制度，但制度执行未落实到位，存在支出调整手续不完备、缺少重要项目资料、合同签订不规范等问题。</w:t>
      </w:r>
      <w:r>
        <w:rPr>
          <w:rFonts w:hint="eastAsia" w:ascii="仿宋_GB2312" w:hAnsi="仿宋_GB2312" w:cs="仿宋_GB2312"/>
          <w:b w:val="0"/>
          <w:bCs w:val="0"/>
          <w:color w:val="auto"/>
          <w:kern w:val="0"/>
          <w:sz w:val="32"/>
          <w:szCs w:val="32"/>
          <w:highlight w:val="none"/>
          <w:lang w:val="en-US" w:eastAsia="zh-CN"/>
        </w:rPr>
        <w:t>项目单位</w:t>
      </w:r>
      <w:r>
        <w:rPr>
          <w:rFonts w:hint="eastAsia" w:ascii="仿宋_GB2312"/>
          <w:b w:val="0"/>
          <w:bCs w:val="0"/>
          <w:highlight w:val="none"/>
          <w:lang w:val="en-US" w:eastAsia="zh-CN"/>
        </w:rPr>
        <w:t>按照要求开展了绩效监控和绩效自评工作，编制了绩效自评表和自评报告，但是存在绩效监控表阶段完成值未量化明确的情况</w:t>
      </w:r>
      <w:r>
        <w:rPr>
          <w:rFonts w:hint="eastAsia" w:ascii="仿宋_GB2312"/>
          <w:b w:val="0"/>
          <w:bCs w:val="0"/>
          <w:highlight w:val="none"/>
        </w:rPr>
        <w:t>。</w:t>
      </w:r>
    </w:p>
    <w:p w14:paraId="77AA11AD">
      <w:pPr>
        <w:pStyle w:val="19"/>
        <w:overflowPunct/>
        <w:autoSpaceDE/>
        <w:autoSpaceDN/>
        <w:spacing w:after="0"/>
        <w:ind w:left="0" w:leftChars="0" w:firstLine="640"/>
        <w:rPr>
          <w:rFonts w:hint="default" w:ascii="仿宋_GB2312" w:eastAsia="仿宋_GB2312"/>
          <w:b w:val="0"/>
          <w:bCs w:val="0"/>
          <w:highlight w:val="none"/>
          <w:lang w:val="en-US" w:eastAsia="zh-CN"/>
        </w:rPr>
      </w:pPr>
      <w:r>
        <w:rPr>
          <w:rFonts w:hint="eastAsia" w:ascii="仿宋_GB2312"/>
          <w:b w:val="0"/>
          <w:bCs w:val="0"/>
        </w:rPr>
        <w:t>产出方面</w:t>
      </w:r>
      <w:r>
        <w:rPr>
          <w:rFonts w:hint="eastAsia" w:ascii="仿宋_GB2312"/>
          <w:b w:val="0"/>
          <w:bCs w:val="0"/>
          <w:highlight w:val="none"/>
        </w:rPr>
        <w:t>包括</w:t>
      </w:r>
      <w:r>
        <w:rPr>
          <w:rFonts w:hint="eastAsia"/>
          <w:b w:val="0"/>
          <w:bCs w:val="0"/>
        </w:rPr>
        <w:t>产出数量、产出质量、产出</w:t>
      </w:r>
      <w:r>
        <w:rPr>
          <w:rFonts w:hint="eastAsia"/>
          <w:b w:val="0"/>
          <w:bCs w:val="0"/>
          <w:lang w:val="en-US" w:eastAsia="zh-CN"/>
        </w:rPr>
        <w:t>时效、产出成本等</w:t>
      </w:r>
      <w:r>
        <w:rPr>
          <w:rFonts w:hint="eastAsia" w:ascii="仿宋_GB2312"/>
          <w:b w:val="0"/>
          <w:bCs w:val="0"/>
          <w:highlight w:val="none"/>
          <w:lang w:val="en-US" w:eastAsia="zh-CN"/>
        </w:rPr>
        <w:t>4</w:t>
      </w:r>
      <w:r>
        <w:rPr>
          <w:rFonts w:hint="eastAsia" w:ascii="仿宋_GB2312"/>
          <w:b w:val="0"/>
          <w:bCs w:val="0"/>
          <w:highlight w:val="none"/>
        </w:rPr>
        <w:t>个二级指标。基础设施维修维护，绿化养护节点品质提升项目</w:t>
      </w:r>
      <w:r>
        <w:rPr>
          <w:rFonts w:hint="eastAsia" w:ascii="仿宋_GB2312"/>
          <w:b w:val="0"/>
          <w:bCs w:val="0"/>
          <w:highlight w:val="none"/>
          <w:lang w:val="en-US" w:eastAsia="zh-CN"/>
        </w:rPr>
        <w:t>中</w:t>
      </w:r>
      <w:r>
        <w:rPr>
          <w:rFonts w:hint="eastAsia" w:ascii="仿宋_GB2312"/>
          <w:b w:val="0"/>
          <w:bCs w:val="0"/>
          <w:highlight w:val="none"/>
          <w:lang w:eastAsia="zh-CN"/>
        </w:rPr>
        <w:t>园林社区暖心事领办制暖心基金</w:t>
      </w:r>
      <w:r>
        <w:rPr>
          <w:rFonts w:hint="eastAsia" w:ascii="仿宋_GB2312"/>
          <w:b w:val="0"/>
          <w:bCs w:val="0"/>
          <w:highlight w:val="none"/>
        </w:rPr>
        <w:t>、办公用品采购、档案管理、项目结算审计不符合项目资金使用方向，</w:t>
      </w:r>
      <w:r>
        <w:rPr>
          <w:rFonts w:hint="eastAsia" w:ascii="仿宋_GB2312"/>
          <w:b w:val="0"/>
          <w:bCs w:val="0"/>
          <w:highlight w:val="none"/>
          <w:lang w:val="en-US" w:eastAsia="zh-CN"/>
        </w:rPr>
        <w:t>故</w:t>
      </w:r>
      <w:r>
        <w:rPr>
          <w:rFonts w:hint="eastAsia" w:ascii="仿宋_GB2312"/>
          <w:b w:val="0"/>
          <w:bCs w:val="0"/>
          <w:highlight w:val="none"/>
        </w:rPr>
        <w:t>不做相关考核</w:t>
      </w:r>
      <w:r>
        <w:rPr>
          <w:rFonts w:hint="eastAsia" w:ascii="仿宋_GB2312"/>
          <w:b w:val="0"/>
          <w:bCs w:val="0"/>
          <w:highlight w:val="none"/>
          <w:lang w:eastAsia="zh-CN"/>
        </w:rPr>
        <w:t>：</w:t>
      </w:r>
      <w:r>
        <w:rPr>
          <w:rFonts w:hint="eastAsia" w:ascii="仿宋_GB2312"/>
          <w:b w:val="0"/>
          <w:bCs w:val="0"/>
          <w:highlight w:val="none"/>
        </w:rPr>
        <w:t>①</w:t>
      </w:r>
      <w:r>
        <w:rPr>
          <w:rFonts w:hint="eastAsia" w:ascii="仿宋_GB2312"/>
          <w:b w:val="0"/>
          <w:bCs w:val="0"/>
          <w:highlight w:val="none"/>
          <w:lang w:val="en-US" w:eastAsia="zh-CN"/>
        </w:rPr>
        <w:t>产出数量方面，根据实地核查，抽查11个项目中</w:t>
      </w:r>
      <w:r>
        <w:rPr>
          <w:rFonts w:hint="eastAsia" w:ascii="仿宋_GB2312"/>
          <w:b w:val="0"/>
          <w:bCs w:val="0"/>
          <w:lang w:val="en-US" w:eastAsia="zh-CN"/>
        </w:rPr>
        <w:t>实际7个项目完成，完成率63.64%</w:t>
      </w:r>
      <w:r>
        <w:rPr>
          <w:rFonts w:hint="eastAsia" w:ascii="仿宋_GB2312"/>
          <w:b w:val="0"/>
          <w:bCs w:val="0"/>
          <w:highlight w:val="none"/>
          <w:lang w:val="en-US" w:eastAsia="zh-CN"/>
        </w:rPr>
        <w:t>。</w:t>
      </w:r>
      <w:r>
        <w:rPr>
          <w:rFonts w:hint="eastAsia" w:ascii="仿宋_GB2312"/>
          <w:b w:val="0"/>
          <w:bCs w:val="0"/>
          <w:highlight w:val="none"/>
        </w:rPr>
        <w:t>②</w:t>
      </w:r>
      <w:r>
        <w:rPr>
          <w:rFonts w:hint="eastAsia" w:ascii="仿宋_GB2312"/>
          <w:b w:val="0"/>
          <w:bCs w:val="0"/>
          <w:highlight w:val="none"/>
          <w:lang w:val="en-US" w:eastAsia="zh-CN"/>
        </w:rPr>
        <w:t>产出质量方面，抽查基础设施维修维护，绿化养护节点品质提升项目质量合格率为36.36%。</w:t>
      </w:r>
      <w:r>
        <w:rPr>
          <w:rFonts w:hint="eastAsia" w:ascii="仿宋_GB2312"/>
          <w:b w:val="0"/>
          <w:bCs w:val="0"/>
          <w:highlight w:val="none"/>
        </w:rPr>
        <w:t>③</w:t>
      </w:r>
      <w:r>
        <w:rPr>
          <w:rFonts w:hint="eastAsia" w:ascii="仿宋_GB2312"/>
          <w:b w:val="0"/>
          <w:bCs w:val="0"/>
          <w:highlight w:val="none"/>
          <w:lang w:val="en-US" w:eastAsia="zh-CN"/>
        </w:rPr>
        <w:t>产出时效方面，仅4个项目按照计划时间及时完成，项目完成及时性有待提升。</w:t>
      </w:r>
      <w:r>
        <w:rPr>
          <w:rFonts w:hint="eastAsia" w:ascii="仿宋_GB2312"/>
          <w:b w:val="0"/>
          <w:bCs w:val="0"/>
          <w:highlight w:val="none"/>
        </w:rPr>
        <w:t>④</w:t>
      </w:r>
      <w:r>
        <w:rPr>
          <w:rFonts w:hint="eastAsia" w:ascii="仿宋_GB2312"/>
          <w:b w:val="0"/>
          <w:bCs w:val="0"/>
          <w:highlight w:val="none"/>
          <w:lang w:val="en-US" w:eastAsia="zh-CN"/>
        </w:rPr>
        <w:t>产出成本</w:t>
      </w:r>
      <w:r>
        <w:rPr>
          <w:rFonts w:hint="eastAsia" w:ascii="仿宋_GB2312"/>
          <w:b w:val="0"/>
          <w:bCs w:val="0"/>
          <w:highlight w:val="none"/>
        </w:rPr>
        <w:t>方面，</w:t>
      </w:r>
      <w:r>
        <w:rPr>
          <w:rFonts w:hint="eastAsia" w:ascii="仿宋_GB2312"/>
          <w:b w:val="0"/>
          <w:bCs w:val="0"/>
          <w:highlight w:val="none"/>
          <w:lang w:val="en-US" w:eastAsia="zh-CN"/>
        </w:rPr>
        <w:t>基础设施维修维护，绿化养护节点品质提升项目总成本控制情况良好。</w:t>
      </w:r>
    </w:p>
    <w:p w14:paraId="5A671EC7">
      <w:pPr>
        <w:pStyle w:val="19"/>
        <w:spacing w:after="0"/>
        <w:ind w:left="0" w:leftChars="0" w:firstLine="640"/>
        <w:rPr>
          <w:rFonts w:hint="eastAsia" w:ascii="黑体" w:hAnsi="黑体" w:eastAsia="黑体"/>
          <w:b w:val="0"/>
          <w:highlight w:val="none"/>
          <w:lang w:val="en-US" w:eastAsia="zh-CN"/>
        </w:rPr>
      </w:pPr>
      <w:r>
        <w:rPr>
          <w:rFonts w:hint="eastAsia" w:ascii="仿宋_GB2312"/>
          <w:b w:val="0"/>
          <w:bCs w:val="0"/>
        </w:rPr>
        <w:t>效</w:t>
      </w:r>
      <w:r>
        <w:rPr>
          <w:rFonts w:hint="eastAsia" w:ascii="仿宋_GB2312"/>
          <w:b w:val="0"/>
          <w:bCs w:val="0"/>
          <w:lang w:val="en-US" w:eastAsia="zh-CN"/>
        </w:rPr>
        <w:t>益</w:t>
      </w:r>
      <w:r>
        <w:rPr>
          <w:rFonts w:hint="eastAsia" w:ascii="仿宋_GB2312"/>
          <w:b w:val="0"/>
          <w:bCs w:val="0"/>
        </w:rPr>
        <w:t>方面</w:t>
      </w:r>
      <w:r>
        <w:rPr>
          <w:rFonts w:hint="eastAsia" w:ascii="仿宋_GB2312"/>
          <w:b w:val="0"/>
          <w:bCs w:val="0"/>
          <w:highlight w:val="none"/>
        </w:rPr>
        <w:t>包括</w:t>
      </w:r>
      <w:r>
        <w:rPr>
          <w:rFonts w:hint="eastAsia"/>
          <w:b w:val="0"/>
          <w:bCs w:val="0"/>
          <w:lang w:val="en-US" w:eastAsia="zh-CN"/>
        </w:rPr>
        <w:t>项目</w:t>
      </w:r>
      <w:r>
        <w:rPr>
          <w:rFonts w:hint="eastAsia"/>
          <w:b w:val="0"/>
          <w:bCs w:val="0"/>
        </w:rPr>
        <w:t>效益</w:t>
      </w:r>
      <w:r>
        <w:rPr>
          <w:rFonts w:hint="eastAsia"/>
          <w:b w:val="0"/>
          <w:bCs w:val="0"/>
          <w:lang w:val="en-US" w:eastAsia="zh-CN"/>
        </w:rPr>
        <w:t>和满意度</w:t>
      </w:r>
      <w:r>
        <w:rPr>
          <w:rFonts w:hint="eastAsia" w:ascii="仿宋_GB2312"/>
          <w:b w:val="0"/>
          <w:bCs w:val="0"/>
          <w:highlight w:val="none"/>
          <w:lang w:val="en-US" w:eastAsia="zh-CN"/>
        </w:rPr>
        <w:t>2</w:t>
      </w:r>
      <w:r>
        <w:rPr>
          <w:rFonts w:hint="eastAsia" w:ascii="仿宋_GB2312"/>
          <w:b w:val="0"/>
          <w:bCs w:val="0"/>
          <w:highlight w:val="none"/>
        </w:rPr>
        <w:t>个二级指标。</w:t>
      </w:r>
      <w:r>
        <w:rPr>
          <w:rFonts w:hint="eastAsia" w:ascii="仿宋_GB2312"/>
          <w:b w:val="0"/>
          <w:bCs w:val="0"/>
          <w:highlight w:val="none"/>
          <w:lang w:val="en-US" w:eastAsia="zh-CN"/>
        </w:rPr>
        <w:t>完成基础设施维修维护，绿化养护节点品质提升项目</w:t>
      </w:r>
      <w:r>
        <w:rPr>
          <w:rFonts w:ascii="仿宋_GB2312" w:hAnsi="宋体" w:eastAsia="仿宋_GB2312" w:cs="仿宋_GB2312"/>
          <w:b w:val="0"/>
          <w:bCs w:val="0"/>
          <w:color w:val="000000"/>
          <w:kern w:val="0"/>
          <w:sz w:val="32"/>
          <w:szCs w:val="32"/>
          <w:lang w:val="en-US" w:eastAsia="zh-CN" w:bidi="ar"/>
        </w:rPr>
        <w:t>，</w:t>
      </w:r>
      <w:r>
        <w:rPr>
          <w:rFonts w:hint="eastAsia" w:ascii="仿宋_GB2312" w:hAnsi="宋体" w:cs="仿宋_GB2312"/>
          <w:b w:val="0"/>
          <w:bCs w:val="0"/>
          <w:color w:val="000000"/>
          <w:kern w:val="0"/>
          <w:sz w:val="32"/>
          <w:szCs w:val="32"/>
          <w:lang w:val="en-US" w:eastAsia="zh-CN" w:bidi="ar"/>
        </w:rPr>
        <w:t>保障了</w:t>
      </w:r>
      <w:r>
        <w:rPr>
          <w:rFonts w:hint="eastAsia" w:ascii="仿宋_GB2312" w:hAnsi="宋体" w:cs="仿宋_GB2312"/>
          <w:color w:val="000000"/>
          <w:kern w:val="0"/>
          <w:sz w:val="32"/>
          <w:szCs w:val="32"/>
          <w:lang w:val="en-US" w:eastAsia="zh-CN" w:bidi="ar"/>
        </w:rPr>
        <w:t>鄂尔多斯文化产业园区正常运行，使相关活动业务能够正常开展，进一步推动了鄂尔多斯历史文化传承与发展。</w:t>
      </w:r>
      <w:r>
        <w:rPr>
          <w:rFonts w:hint="eastAsia" w:ascii="仿宋_GB2312"/>
          <w:highlight w:val="none"/>
          <w:lang w:eastAsia="zh-CN"/>
        </w:rPr>
        <w:t>基础设施维修维护，绿化养护节点品质提升项目</w:t>
      </w:r>
      <w:r>
        <w:rPr>
          <w:rFonts w:hint="eastAsia" w:ascii="仿宋_GB2312"/>
          <w:highlight w:val="none"/>
        </w:rPr>
        <w:t>效益</w:t>
      </w:r>
      <w:r>
        <w:rPr>
          <w:rFonts w:hint="eastAsia" w:ascii="仿宋_GB2312"/>
          <w:highlight w:val="none"/>
          <w:lang w:val="en-US" w:eastAsia="zh-CN"/>
        </w:rPr>
        <w:t>较好</w:t>
      </w:r>
      <w:r>
        <w:rPr>
          <w:rFonts w:hint="eastAsia" w:ascii="仿宋_GB2312"/>
          <w:highlight w:val="none"/>
        </w:rPr>
        <w:t>，</w:t>
      </w:r>
      <w:r>
        <w:rPr>
          <w:rFonts w:hint="eastAsia" w:ascii="仿宋_GB2312"/>
          <w:highlight w:val="none"/>
          <w:lang w:val="en-US" w:eastAsia="zh-CN"/>
        </w:rPr>
        <w:t>服务对象</w:t>
      </w:r>
      <w:r>
        <w:rPr>
          <w:rFonts w:hint="eastAsia" w:ascii="仿宋_GB2312"/>
          <w:highlight w:val="none"/>
        </w:rPr>
        <w:t>满意度</w:t>
      </w:r>
      <w:r>
        <w:rPr>
          <w:rFonts w:hint="eastAsia" w:ascii="仿宋_GB2312"/>
          <w:highlight w:val="none"/>
          <w:lang w:val="en-US" w:eastAsia="zh-CN"/>
        </w:rPr>
        <w:t>较高</w:t>
      </w:r>
      <w:r>
        <w:rPr>
          <w:rFonts w:hint="eastAsia" w:ascii="仿宋_GB2312"/>
          <w:highlight w:val="none"/>
        </w:rPr>
        <w:t>。</w:t>
      </w:r>
    </w:p>
    <w:p w14:paraId="2BA59FF6">
      <w:pPr>
        <w:pStyle w:val="17"/>
        <w:overflowPunct/>
        <w:autoSpaceDE/>
        <w:autoSpaceDN/>
        <w:spacing w:before="0" w:after="0"/>
        <w:ind w:firstLine="640"/>
        <w:jc w:val="both"/>
        <w:rPr>
          <w:rFonts w:ascii="黑体" w:hAnsi="黑体" w:eastAsia="黑体"/>
          <w:b w:val="0"/>
          <w:highlight w:val="none"/>
        </w:rPr>
      </w:pPr>
      <w:bookmarkStart w:id="43" w:name="_Toc25087"/>
      <w:r>
        <w:rPr>
          <w:rFonts w:hint="eastAsia" w:ascii="黑体" w:hAnsi="黑体" w:eastAsia="黑体"/>
          <w:b w:val="0"/>
          <w:highlight w:val="none"/>
          <w:lang w:val="en-US" w:eastAsia="zh-CN"/>
        </w:rPr>
        <w:t>三</w:t>
      </w:r>
      <w:r>
        <w:rPr>
          <w:rFonts w:hint="eastAsia" w:ascii="黑体" w:hAnsi="黑体" w:eastAsia="黑体"/>
          <w:b w:val="0"/>
          <w:highlight w:val="none"/>
        </w:rPr>
        <w:t>、存在的问题</w:t>
      </w:r>
      <w:bookmarkEnd w:id="34"/>
      <w:bookmarkEnd w:id="35"/>
      <w:bookmarkEnd w:id="36"/>
      <w:bookmarkEnd w:id="37"/>
      <w:bookmarkEnd w:id="38"/>
      <w:bookmarkEnd w:id="39"/>
      <w:bookmarkEnd w:id="40"/>
      <w:bookmarkEnd w:id="41"/>
      <w:bookmarkEnd w:id="42"/>
      <w:bookmarkEnd w:id="43"/>
    </w:p>
    <w:p w14:paraId="26806ECE">
      <w:pPr>
        <w:keepNext w:val="0"/>
        <w:keepLines w:val="0"/>
        <w:pageBreakBefore w:val="0"/>
        <w:widowControl w:val="0"/>
        <w:kinsoku/>
        <w:wordWrap/>
        <w:overflowPunct/>
        <w:topLinePunct w:val="0"/>
        <w:autoSpaceDE/>
        <w:autoSpaceDN/>
        <w:bidi w:val="0"/>
        <w:adjustRightInd w:val="0"/>
        <w:snapToGrid w:val="0"/>
        <w:ind w:firstLine="640"/>
        <w:textAlignment w:val="auto"/>
        <w:outlineLvl w:val="1"/>
        <w:rPr>
          <w:rFonts w:hint="default" w:ascii="楷体_GB2312" w:eastAsia="楷体_GB2312"/>
          <w:bCs/>
          <w:highlight w:val="none"/>
          <w:lang w:val="en-US" w:eastAsia="zh-CN"/>
        </w:rPr>
      </w:pPr>
      <w:bookmarkStart w:id="44" w:name="_Toc11627"/>
      <w:bookmarkStart w:id="45" w:name="_Toc29681"/>
      <w:bookmarkStart w:id="46" w:name="_Toc18743"/>
      <w:bookmarkStart w:id="47" w:name="_Toc107825670"/>
      <w:bookmarkStart w:id="48" w:name="_Toc4395"/>
      <w:bookmarkStart w:id="49" w:name="_Toc6141"/>
      <w:bookmarkStart w:id="50" w:name="_Toc9460"/>
      <w:bookmarkStart w:id="51" w:name="_Toc20408"/>
      <w:bookmarkStart w:id="52" w:name="_Toc66377493"/>
      <w:bookmarkStart w:id="53" w:name="_Toc22565"/>
      <w:bookmarkStart w:id="54" w:name="_Toc16669"/>
      <w:r>
        <w:rPr>
          <w:rFonts w:hint="eastAsia" w:ascii="楷体_GB2312" w:eastAsia="楷体_GB2312"/>
          <w:bCs/>
          <w:highlight w:val="none"/>
        </w:rPr>
        <w:t>（一）</w:t>
      </w:r>
      <w:bookmarkEnd w:id="44"/>
      <w:bookmarkEnd w:id="45"/>
      <w:bookmarkEnd w:id="46"/>
      <w:bookmarkEnd w:id="47"/>
      <w:bookmarkEnd w:id="48"/>
      <w:bookmarkEnd w:id="49"/>
      <w:bookmarkEnd w:id="50"/>
      <w:bookmarkEnd w:id="51"/>
      <w:bookmarkEnd w:id="52"/>
      <w:bookmarkEnd w:id="53"/>
      <w:r>
        <w:rPr>
          <w:rFonts w:hint="eastAsia" w:ascii="楷体_GB2312" w:eastAsia="楷体_GB2312"/>
          <w:bCs/>
          <w:highlight w:val="none"/>
          <w:lang w:val="en-US" w:eastAsia="zh-CN"/>
        </w:rPr>
        <w:t>项目</w:t>
      </w:r>
      <w:r>
        <w:rPr>
          <w:rFonts w:hint="eastAsia" w:ascii="楷体_GB2312" w:eastAsia="楷体_GB2312"/>
          <w:sz w:val="32"/>
          <w:szCs w:val="32"/>
          <w:lang w:val="en-US" w:eastAsia="zh-CN"/>
        </w:rPr>
        <w:t>绩效目标制定缺乏合理性</w:t>
      </w:r>
      <w:r>
        <w:rPr>
          <w:rFonts w:hint="eastAsia"/>
        </w:rPr>
        <w:t>、准确性</w:t>
      </w:r>
      <w:bookmarkEnd w:id="54"/>
    </w:p>
    <w:p w14:paraId="0FDCE6EC">
      <w:pPr>
        <w:keepNext w:val="0"/>
        <w:keepLines w:val="0"/>
        <w:pageBreakBefore w:val="0"/>
        <w:widowControl w:val="0"/>
        <w:kinsoku/>
        <w:wordWrap/>
        <w:overflowPunct/>
        <w:topLinePunct w:val="0"/>
        <w:autoSpaceDE/>
        <w:autoSpaceDN/>
        <w:bidi w:val="0"/>
        <w:adjustRightInd w:val="0"/>
        <w:snapToGrid w:val="0"/>
        <w:ind w:firstLine="640"/>
        <w:textAlignment w:val="auto"/>
        <w:rPr>
          <w:rFonts w:hint="eastAsia" w:ascii="仿宋_GB2312" w:hAnsi="华文中宋"/>
          <w:highlight w:val="none"/>
        </w:rPr>
      </w:pPr>
      <w:r>
        <w:rPr>
          <w:rFonts w:hint="eastAsia" w:ascii="仿宋_GB2312" w:hAnsi="华文中宋"/>
          <w:highlight w:val="none"/>
          <w:lang w:val="en-US" w:eastAsia="zh-CN"/>
        </w:rPr>
        <w:t>项目单位制定的绩效目标与项目的实际工作内容相关性不强，不符合预期产出效益和正常业绩水平，未根据预算调整绩效目标。同时项目单位编制的绩效目标表中未将项目绩效目标细化分解为具体的绩效指标，未通过清晰、可衡量的指标值予以体现，与项目目标任务数不相对应</w:t>
      </w:r>
      <w:r>
        <w:rPr>
          <w:rFonts w:hint="eastAsia" w:ascii="仿宋_GB2312" w:hAnsi="华文中宋"/>
          <w:highlight w:val="none"/>
        </w:rPr>
        <w:t>。</w:t>
      </w:r>
    </w:p>
    <w:p w14:paraId="1E4D076D">
      <w:pPr>
        <w:keepNext w:val="0"/>
        <w:keepLines w:val="0"/>
        <w:pageBreakBefore w:val="0"/>
        <w:widowControl w:val="0"/>
        <w:kinsoku/>
        <w:wordWrap/>
        <w:overflowPunct/>
        <w:topLinePunct w:val="0"/>
        <w:autoSpaceDE/>
        <w:autoSpaceDN/>
        <w:bidi w:val="0"/>
        <w:adjustRightInd w:val="0"/>
        <w:snapToGrid w:val="0"/>
        <w:ind w:firstLine="640"/>
        <w:textAlignment w:val="auto"/>
        <w:outlineLvl w:val="1"/>
        <w:rPr>
          <w:rFonts w:hint="default" w:ascii="仿宋_GB2312" w:hAnsi="华文中宋"/>
          <w:highlight w:val="none"/>
          <w:lang w:val="en-US"/>
        </w:rPr>
      </w:pPr>
      <w:bookmarkStart w:id="55" w:name="_Toc22306"/>
      <w:r>
        <w:rPr>
          <w:rFonts w:hint="eastAsia" w:ascii="楷体_GB2312" w:eastAsia="楷体_GB2312"/>
          <w:bCs/>
          <w:highlight w:val="none"/>
        </w:rPr>
        <w:t>（</w:t>
      </w:r>
      <w:r>
        <w:rPr>
          <w:rFonts w:hint="eastAsia" w:ascii="楷体_GB2312" w:eastAsia="楷体_GB2312"/>
          <w:bCs/>
          <w:highlight w:val="none"/>
          <w:lang w:val="en-US" w:eastAsia="zh-CN"/>
        </w:rPr>
        <w:t>二</w:t>
      </w:r>
      <w:r>
        <w:rPr>
          <w:rFonts w:hint="eastAsia" w:ascii="楷体_GB2312" w:eastAsia="楷体_GB2312"/>
          <w:bCs/>
          <w:highlight w:val="none"/>
        </w:rPr>
        <w:t>）</w:t>
      </w:r>
      <w:r>
        <w:rPr>
          <w:rFonts w:hint="eastAsia" w:ascii="楷体_GB2312" w:eastAsia="楷体_GB2312"/>
          <w:bCs/>
          <w:highlight w:val="none"/>
          <w:lang w:val="en-US" w:eastAsia="zh-CN"/>
        </w:rPr>
        <w:t>预算编制未经过科学论证</w:t>
      </w:r>
      <w:bookmarkEnd w:id="55"/>
    </w:p>
    <w:p w14:paraId="69881E47">
      <w:pPr>
        <w:keepNext w:val="0"/>
        <w:keepLines w:val="0"/>
        <w:pageBreakBefore w:val="0"/>
        <w:widowControl w:val="0"/>
        <w:kinsoku/>
        <w:wordWrap/>
        <w:overflowPunct/>
        <w:topLinePunct w:val="0"/>
        <w:autoSpaceDE/>
        <w:autoSpaceDN/>
        <w:bidi w:val="0"/>
        <w:adjustRightInd w:val="0"/>
        <w:snapToGrid w:val="0"/>
        <w:ind w:firstLine="640"/>
        <w:textAlignment w:val="auto"/>
        <w:rPr>
          <w:rFonts w:hint="default" w:ascii="仿宋_GB2312" w:hAnsi="仿宋_GB2312"/>
          <w:highlight w:val="none"/>
          <w:lang w:val="en-US"/>
        </w:rPr>
      </w:pPr>
      <w:r>
        <w:rPr>
          <w:rFonts w:hint="eastAsia" w:ascii="仿宋_GB2312" w:hAnsi="华文中宋" w:cstheme="minorBidi"/>
          <w:lang w:val="en-US" w:eastAsia="zh-CN"/>
        </w:rPr>
        <w:t>根据项目单位提供的相关佐证材料，无法证明项目预算</w:t>
      </w:r>
      <w:r>
        <w:rPr>
          <w:rFonts w:hint="eastAsia" w:ascii="仿宋_GB2312" w:hAnsi="华文中宋" w:cstheme="minorBidi"/>
        </w:rPr>
        <w:t>经过科学论证</w:t>
      </w:r>
      <w:r>
        <w:rPr>
          <w:rFonts w:hint="eastAsia" w:ascii="仿宋_GB2312" w:hAnsi="华文中宋" w:cstheme="minorBidi"/>
          <w:lang w:eastAsia="zh-CN"/>
        </w:rPr>
        <w:t>。</w:t>
      </w:r>
      <w:r>
        <w:rPr>
          <w:rFonts w:hint="eastAsia" w:ascii="仿宋_GB2312" w:hAnsi="华文中宋"/>
          <w:highlight w:val="none"/>
        </w:rPr>
        <w:t>项目未进行前期预算测算和整体规划，项目预算编制</w:t>
      </w:r>
      <w:r>
        <w:rPr>
          <w:rFonts w:hint="eastAsia" w:ascii="仿宋_GB2312" w:hAnsi="华文中宋"/>
          <w:highlight w:val="none"/>
          <w:lang w:val="en-US" w:eastAsia="zh-CN"/>
        </w:rPr>
        <w:t>不具有</w:t>
      </w:r>
      <w:r>
        <w:rPr>
          <w:rFonts w:hint="eastAsia" w:ascii="仿宋_GB2312" w:hAnsi="华文中宋"/>
          <w:highlight w:val="none"/>
        </w:rPr>
        <w:t>科学性、合理性</w:t>
      </w:r>
      <w:r>
        <w:rPr>
          <w:rFonts w:hint="eastAsia" w:ascii="仿宋_GB2312" w:hAnsi="华文中宋"/>
          <w:highlight w:val="none"/>
          <w:lang w:eastAsia="zh-CN"/>
        </w:rPr>
        <w:t>，</w:t>
      </w:r>
      <w:r>
        <w:rPr>
          <w:rFonts w:hint="eastAsia" w:ascii="仿宋_GB2312" w:hAnsi="华文中宋"/>
          <w:highlight w:val="none"/>
          <w:lang w:val="en-US" w:eastAsia="zh-CN"/>
        </w:rPr>
        <w:t>导致</w:t>
      </w:r>
      <w:r>
        <w:rPr>
          <w:rFonts w:hint="eastAsia" w:ascii="仿宋_GB2312" w:hAnsi="华文中宋"/>
          <w:highlight w:val="none"/>
        </w:rPr>
        <w:t>资金分配不具备充分依据。</w:t>
      </w:r>
    </w:p>
    <w:p w14:paraId="306DBF2D">
      <w:pPr>
        <w:keepNext w:val="0"/>
        <w:keepLines w:val="0"/>
        <w:pageBreakBefore w:val="0"/>
        <w:widowControl w:val="0"/>
        <w:kinsoku/>
        <w:wordWrap/>
        <w:overflowPunct/>
        <w:topLinePunct w:val="0"/>
        <w:autoSpaceDE/>
        <w:autoSpaceDN/>
        <w:bidi w:val="0"/>
        <w:adjustRightInd w:val="0"/>
        <w:snapToGrid w:val="0"/>
        <w:ind w:firstLine="640"/>
        <w:textAlignment w:val="auto"/>
        <w:outlineLvl w:val="1"/>
        <w:rPr>
          <w:rFonts w:hint="default" w:ascii="仿宋_GB2312" w:eastAsia="楷体_GB2312"/>
          <w:lang w:val="en-US" w:eastAsia="zh-CN"/>
        </w:rPr>
      </w:pPr>
      <w:bookmarkStart w:id="56" w:name="_Toc93"/>
      <w:bookmarkStart w:id="57" w:name="_Toc31314"/>
      <w:bookmarkStart w:id="58" w:name="_Toc374"/>
      <w:bookmarkStart w:id="59" w:name="_Toc8037"/>
      <w:bookmarkStart w:id="60" w:name="_Toc21708"/>
      <w:bookmarkStart w:id="61" w:name="_Toc1097"/>
      <w:bookmarkStart w:id="62" w:name="_Toc8739"/>
      <w:r>
        <w:rPr>
          <w:rFonts w:hint="eastAsia" w:ascii="楷体_GB2312" w:eastAsia="楷体_GB2312"/>
          <w:bCs/>
        </w:rPr>
        <w:t>（</w:t>
      </w:r>
      <w:r>
        <w:rPr>
          <w:rFonts w:hint="eastAsia" w:ascii="楷体_GB2312" w:eastAsia="楷体_GB2312"/>
          <w:bCs/>
          <w:lang w:val="en-US" w:eastAsia="zh-CN"/>
        </w:rPr>
        <w:t>三</w:t>
      </w:r>
      <w:r>
        <w:rPr>
          <w:rFonts w:hint="eastAsia" w:ascii="楷体_GB2312" w:eastAsia="楷体_GB2312"/>
          <w:bCs/>
        </w:rPr>
        <w:t>）</w:t>
      </w:r>
      <w:bookmarkEnd w:id="56"/>
      <w:bookmarkEnd w:id="57"/>
      <w:bookmarkEnd w:id="58"/>
      <w:bookmarkEnd w:id="59"/>
      <w:bookmarkEnd w:id="60"/>
      <w:bookmarkEnd w:id="61"/>
      <w:r>
        <w:rPr>
          <w:rFonts w:hint="eastAsia" w:ascii="楷体_GB2312" w:eastAsia="楷体_GB2312"/>
          <w:bCs/>
          <w:lang w:val="en-US" w:eastAsia="zh-CN"/>
        </w:rPr>
        <w:t>档案管理及合同管理落实不到位</w:t>
      </w:r>
      <w:bookmarkEnd w:id="62"/>
    </w:p>
    <w:p w14:paraId="4840A513">
      <w:pPr>
        <w:keepNext w:val="0"/>
        <w:keepLines w:val="0"/>
        <w:pageBreakBefore w:val="0"/>
        <w:widowControl w:val="0"/>
        <w:kinsoku/>
        <w:wordWrap/>
        <w:overflowPunct/>
        <w:topLinePunct w:val="0"/>
        <w:autoSpaceDE/>
        <w:autoSpaceDN/>
        <w:bidi w:val="0"/>
        <w:adjustRightInd w:val="0"/>
        <w:snapToGrid w:val="0"/>
        <w:ind w:firstLine="640"/>
        <w:textAlignment w:val="auto"/>
        <w:outlineLvl w:val="9"/>
        <w:rPr>
          <w:rFonts w:hint="default" w:ascii="仿宋_GB2312" w:hAnsi="华文中宋" w:eastAsia="仿宋_GB2312"/>
          <w:bCs w:val="0"/>
          <w:highlight w:val="none"/>
          <w:lang w:val="en-US"/>
        </w:rPr>
      </w:pPr>
      <w:bookmarkStart w:id="63" w:name="_Toc1571"/>
      <w:bookmarkStart w:id="64" w:name="_Toc66377496"/>
      <w:bookmarkStart w:id="65" w:name="_Toc30705"/>
      <w:bookmarkStart w:id="66" w:name="_Toc107825672"/>
      <w:r>
        <w:rPr>
          <w:rFonts w:hint="eastAsia" w:ascii="仿宋_GB2312" w:hAnsi="华文中宋"/>
          <w:highlight w:val="none"/>
          <w:lang w:val="en-US" w:eastAsia="zh-CN"/>
        </w:rPr>
        <w:t>项目单位档案管理落实不到位，未对项目相关资料及时进行统一有序的归档整理。经评价工作组抽查的项目中，部分项目缺少前期采购资料、验收报告，相关资料中显示项目具有监理单位，且同第三方签订了项目审计结算合同，但皆缺少监理材料、审计决算</w:t>
      </w:r>
      <w:bookmarkStart w:id="67" w:name="_Toc579"/>
      <w:r>
        <w:rPr>
          <w:rFonts w:hint="eastAsia" w:ascii="仿宋_GB2312" w:hAnsi="华文中宋"/>
          <w:highlight w:val="none"/>
          <w:lang w:val="en-US" w:eastAsia="zh-CN"/>
        </w:rPr>
        <w:t>，且无后续管护制度。同时该项目相关合同管理存在如下问题：项目单位按照项目与第三方签订项目结算审计合同，其中共涉及36个项目，但是档案中合同不全，所具有的合同签订不规范，无签订日期，且项目内容为结算审计，却签订造价咨询合同；园区入口箱涵墙面喷涂料维修为2023年项目，但合同中工期签订为“自2022年7月7日起至2022年7月13日止”；办公用品采购支出3.25万元，无相关合同协议。</w:t>
      </w:r>
    </w:p>
    <w:bookmarkEnd w:id="67"/>
    <w:p w14:paraId="0D1744B6">
      <w:pPr>
        <w:keepNext w:val="0"/>
        <w:keepLines w:val="0"/>
        <w:pageBreakBefore w:val="0"/>
        <w:widowControl w:val="0"/>
        <w:kinsoku/>
        <w:wordWrap/>
        <w:overflowPunct/>
        <w:topLinePunct w:val="0"/>
        <w:autoSpaceDE/>
        <w:autoSpaceDN/>
        <w:bidi w:val="0"/>
        <w:adjustRightInd w:val="0"/>
        <w:snapToGrid w:val="0"/>
        <w:ind w:firstLine="640"/>
        <w:textAlignment w:val="auto"/>
        <w:outlineLvl w:val="1"/>
        <w:rPr>
          <w:rFonts w:hint="default" w:ascii="仿宋_GB2312" w:eastAsia="楷体_GB2312"/>
          <w:lang w:val="en-US" w:eastAsia="zh-CN"/>
        </w:rPr>
      </w:pPr>
      <w:bookmarkStart w:id="68" w:name="_Toc25696"/>
      <w:r>
        <w:rPr>
          <w:rFonts w:hint="eastAsia" w:ascii="楷体_GB2312" w:eastAsia="楷体_GB2312"/>
          <w:bCs/>
        </w:rPr>
        <w:t>（</w:t>
      </w:r>
      <w:r>
        <w:rPr>
          <w:rFonts w:hint="eastAsia" w:ascii="楷体_GB2312" w:eastAsia="楷体_GB2312"/>
          <w:bCs/>
          <w:lang w:val="en-US" w:eastAsia="zh-CN"/>
        </w:rPr>
        <w:t>四</w:t>
      </w:r>
      <w:r>
        <w:rPr>
          <w:rFonts w:hint="eastAsia" w:ascii="楷体_GB2312" w:eastAsia="楷体_GB2312"/>
          <w:bCs/>
        </w:rPr>
        <w:t>）</w:t>
      </w:r>
      <w:r>
        <w:rPr>
          <w:rFonts w:hint="eastAsia" w:ascii="楷体_GB2312" w:eastAsia="楷体_GB2312"/>
          <w:bCs/>
          <w:lang w:val="en-US" w:eastAsia="zh-CN"/>
        </w:rPr>
        <w:t>项目管理体系有待进一步优化</w:t>
      </w:r>
      <w:bookmarkEnd w:id="68"/>
    </w:p>
    <w:p w14:paraId="19454CA8">
      <w:pPr>
        <w:keepNext w:val="0"/>
        <w:keepLines w:val="0"/>
        <w:pageBreakBefore w:val="0"/>
        <w:widowControl w:val="0"/>
        <w:kinsoku/>
        <w:wordWrap/>
        <w:overflowPunct/>
        <w:topLinePunct w:val="0"/>
        <w:autoSpaceDE/>
        <w:autoSpaceDN/>
        <w:bidi w:val="0"/>
        <w:adjustRightInd w:val="0"/>
        <w:snapToGrid w:val="0"/>
        <w:ind w:firstLine="640"/>
        <w:textAlignment w:val="auto"/>
        <w:rPr>
          <w:rFonts w:hint="default" w:ascii="仿宋_GB2312" w:hAnsi="华文中宋"/>
          <w:highlight w:val="none"/>
          <w:lang w:val="en-US" w:eastAsia="zh-CN"/>
        </w:rPr>
      </w:pPr>
      <w:r>
        <w:rPr>
          <w:rFonts w:hint="eastAsia" w:ascii="仿宋_GB2312" w:hAnsi="华文中宋"/>
          <w:highlight w:val="none"/>
          <w:lang w:val="en-US" w:eastAsia="zh-CN"/>
        </w:rPr>
        <w:t>基础设施维修维护，绿化养护节点品质提升项目资金使用合规性存在问题：作为基础建设类项目，项目资金使用于园林社区暖心事领办制暖心基金、办公用品采购、档案管理、项目结算审计不符合项目资金使用方向，存在挤占专项资金、制度执行不到位、支出调整手续不完备的情况。评价工作组抽查重点项目11个，其中仅有4个项目按照计划时间完成，及时完成了验收并且质量验收合格，项目质量合格率以及完成及时性不高。</w:t>
      </w:r>
    </w:p>
    <w:p w14:paraId="0D2EBDC2">
      <w:pPr>
        <w:overflowPunct/>
        <w:autoSpaceDE/>
        <w:autoSpaceDN/>
        <w:ind w:firstLine="640"/>
        <w:outlineLvl w:val="0"/>
        <w:rPr>
          <w:rFonts w:ascii="黑体" w:hAnsi="黑体" w:eastAsia="黑体" w:cs="黑体"/>
          <w:highlight w:val="none"/>
        </w:rPr>
      </w:pPr>
      <w:bookmarkStart w:id="69" w:name="_Toc8522"/>
      <w:bookmarkStart w:id="70" w:name="_Toc26250"/>
      <w:bookmarkStart w:id="71" w:name="_Toc31385"/>
      <w:bookmarkStart w:id="72" w:name="_Toc13114"/>
      <w:bookmarkStart w:id="73" w:name="_Toc5272"/>
      <w:bookmarkStart w:id="74" w:name="_Toc8675"/>
      <w:r>
        <w:rPr>
          <w:rFonts w:hint="eastAsia" w:ascii="黑体" w:hAnsi="黑体" w:eastAsia="黑体" w:cs="黑体"/>
          <w:highlight w:val="none"/>
          <w:lang w:val="en-US" w:eastAsia="zh-CN"/>
        </w:rPr>
        <w:t>四</w:t>
      </w:r>
      <w:r>
        <w:rPr>
          <w:rFonts w:hint="eastAsia" w:ascii="黑体" w:hAnsi="黑体" w:eastAsia="黑体" w:cs="黑体"/>
          <w:highlight w:val="none"/>
        </w:rPr>
        <w:t>、相关建议</w:t>
      </w:r>
      <w:bookmarkEnd w:id="63"/>
      <w:bookmarkEnd w:id="64"/>
      <w:bookmarkEnd w:id="65"/>
      <w:bookmarkEnd w:id="66"/>
      <w:bookmarkEnd w:id="69"/>
      <w:bookmarkEnd w:id="70"/>
      <w:bookmarkEnd w:id="71"/>
      <w:bookmarkEnd w:id="72"/>
      <w:bookmarkEnd w:id="73"/>
      <w:bookmarkEnd w:id="74"/>
    </w:p>
    <w:p w14:paraId="64D31721">
      <w:pPr>
        <w:keepNext w:val="0"/>
        <w:keepLines w:val="0"/>
        <w:pageBreakBefore w:val="0"/>
        <w:widowControl w:val="0"/>
        <w:suppressLineNumbers w:val="0"/>
        <w:kinsoku/>
        <w:wordWrap/>
        <w:overflowPunct/>
        <w:topLinePunct w:val="0"/>
        <w:autoSpaceDE/>
        <w:autoSpaceDN/>
        <w:bidi w:val="0"/>
        <w:adjustRightInd w:val="0"/>
        <w:snapToGrid w:val="0"/>
        <w:ind w:firstLine="640"/>
        <w:jc w:val="both"/>
        <w:textAlignment w:val="auto"/>
        <w:outlineLvl w:val="1"/>
        <w:rPr>
          <w:rFonts w:hint="default" w:ascii="楷体_GB2312" w:hAnsi="楷体_GB2312" w:eastAsia="楷体_GB2312" w:cs="楷体_GB2312"/>
          <w:sz w:val="32"/>
          <w:szCs w:val="32"/>
          <w:lang w:val="en-US" w:eastAsia="zh-CN"/>
        </w:rPr>
      </w:pPr>
      <w:bookmarkStart w:id="75" w:name="_Toc15637"/>
      <w:bookmarkStart w:id="76" w:name="_Toc66377497"/>
      <w:bookmarkStart w:id="77" w:name="_Toc19042"/>
      <w:bookmarkStart w:id="78" w:name="_Toc22441"/>
      <w:bookmarkStart w:id="79" w:name="_Toc901"/>
      <w:bookmarkStart w:id="80" w:name="_Toc18998"/>
      <w:bookmarkStart w:id="81" w:name="_Toc16610"/>
      <w:bookmarkStart w:id="82" w:name="_Toc107825673"/>
      <w:bookmarkStart w:id="83" w:name="_Toc5387"/>
      <w:bookmarkStart w:id="84" w:name="_Toc31982"/>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合理制定绩效目标</w:t>
      </w:r>
      <w:bookmarkEnd w:id="75"/>
    </w:p>
    <w:p w14:paraId="2765E62E">
      <w:pPr>
        <w:keepNext w:val="0"/>
        <w:keepLines w:val="0"/>
        <w:pageBreakBefore w:val="0"/>
        <w:widowControl w:val="0"/>
        <w:shd w:val="clear"/>
        <w:kinsoku/>
        <w:wordWrap/>
        <w:overflowPunct/>
        <w:topLinePunct w:val="0"/>
        <w:bidi w:val="0"/>
        <w:adjustRightInd w:val="0"/>
        <w:snapToGrid w:val="0"/>
        <w:spacing w:line="360" w:lineRule="auto"/>
        <w:ind w:left="0" w:leftChars="0" w:firstLine="640" w:firstLineChars="200"/>
        <w:jc w:val="both"/>
        <w:textAlignment w:val="auto"/>
        <w:rPr>
          <w:rFonts w:hint="eastAsia" w:ascii="仿宋_GB2312" w:hAnsi="仿宋" w:eastAsia="仿宋_GB2312" w:cs="仿宋"/>
          <w:iCs/>
          <w:kern w:val="0"/>
          <w:sz w:val="32"/>
          <w:szCs w:val="32"/>
          <w:lang w:val="en-US" w:eastAsia="zh-CN" w:bidi="ar"/>
        </w:rPr>
      </w:pPr>
      <w:r>
        <w:rPr>
          <w:rFonts w:hint="eastAsia" w:ascii="仿宋_GB2312" w:hAnsi="仿宋" w:eastAsia="仿宋_GB2312" w:cs="仿宋"/>
          <w:iCs/>
          <w:kern w:val="0"/>
          <w:sz w:val="32"/>
          <w:szCs w:val="32"/>
          <w:lang w:val="en-US" w:eastAsia="zh-CN" w:bidi="ar"/>
        </w:rPr>
        <w:t>建议</w:t>
      </w:r>
      <w:r>
        <w:rPr>
          <w:rFonts w:hint="eastAsia" w:ascii="仿宋_GB2312" w:hAnsi="仿宋" w:cs="仿宋"/>
          <w:iCs/>
          <w:kern w:val="0"/>
          <w:sz w:val="32"/>
          <w:szCs w:val="32"/>
          <w:lang w:val="en-US" w:eastAsia="zh-CN" w:bidi="ar"/>
        </w:rPr>
        <w:t>项目单位</w:t>
      </w:r>
      <w:r>
        <w:rPr>
          <w:rFonts w:hint="eastAsia" w:ascii="仿宋_GB2312" w:hAnsi="仿宋" w:eastAsia="仿宋_GB2312" w:cs="仿宋"/>
          <w:iCs/>
          <w:kern w:val="0"/>
          <w:sz w:val="32"/>
          <w:szCs w:val="32"/>
          <w:lang w:val="en-US" w:eastAsia="zh-CN" w:bidi="ar"/>
        </w:rPr>
        <w:t>强化绩效目标管理。应将绩效目标设置作为预算安排的前置条件，加强绩效目标审核，提高绩效指标设置准确性、合理性。项目所设定的绩效目标应依据充分，符合客观实际，</w:t>
      </w:r>
      <w:r>
        <w:rPr>
          <w:rFonts w:hint="eastAsia" w:ascii="仿宋_GB2312" w:hAnsi="仿宋" w:cs="仿宋"/>
          <w:iCs/>
          <w:kern w:val="0"/>
          <w:sz w:val="32"/>
          <w:szCs w:val="32"/>
          <w:lang w:val="en-US" w:eastAsia="zh-CN" w:bidi="ar"/>
        </w:rPr>
        <w:t>并</w:t>
      </w:r>
      <w:r>
        <w:rPr>
          <w:rFonts w:hint="eastAsia" w:ascii="仿宋_GB2312" w:hAnsi="仿宋" w:eastAsia="仿宋_GB2312" w:cs="仿宋"/>
          <w:iCs/>
          <w:kern w:val="0"/>
          <w:sz w:val="32"/>
          <w:szCs w:val="32"/>
          <w:lang w:val="en-US" w:eastAsia="zh-CN" w:bidi="ar"/>
        </w:rPr>
        <w:t>细化分解为具体的绩效指标</w:t>
      </w:r>
      <w:r>
        <w:rPr>
          <w:rFonts w:hint="eastAsia" w:ascii="仿宋_GB2312" w:hAnsi="仿宋" w:cs="仿宋"/>
          <w:iCs/>
          <w:kern w:val="0"/>
          <w:sz w:val="32"/>
          <w:szCs w:val="32"/>
          <w:lang w:val="en-US" w:eastAsia="zh-CN" w:bidi="ar"/>
        </w:rPr>
        <w:t>，指标值应清晰、细化、可衡量，同时与项目目标任务数或计划数相对应，</w:t>
      </w:r>
      <w:r>
        <w:rPr>
          <w:rFonts w:hint="eastAsia" w:ascii="仿宋_GB2312" w:hAnsi="仿宋" w:eastAsia="仿宋_GB2312" w:cs="仿宋"/>
          <w:iCs/>
          <w:kern w:val="0"/>
          <w:sz w:val="32"/>
          <w:szCs w:val="32"/>
          <w:lang w:val="en-US" w:eastAsia="zh-CN" w:bidi="ar"/>
        </w:rPr>
        <w:t>成本指标中总成本的指标值应与年初项目的预算金额相匹配。</w:t>
      </w:r>
    </w:p>
    <w:p w14:paraId="146F2C9E">
      <w:pPr>
        <w:keepNext w:val="0"/>
        <w:keepLines w:val="0"/>
        <w:pageBreakBefore w:val="0"/>
        <w:widowControl w:val="0"/>
        <w:shd w:val="clear"/>
        <w:kinsoku/>
        <w:wordWrap/>
        <w:overflowPunct/>
        <w:topLinePunct w:val="0"/>
        <w:bidi w:val="0"/>
        <w:adjustRightInd w:val="0"/>
        <w:snapToGrid w:val="0"/>
        <w:spacing w:line="360" w:lineRule="auto"/>
        <w:ind w:left="0" w:leftChars="0" w:firstLine="640" w:firstLineChars="200"/>
        <w:jc w:val="both"/>
        <w:textAlignment w:val="auto"/>
        <w:outlineLvl w:val="1"/>
        <w:rPr>
          <w:rFonts w:hint="default" w:ascii="仿宋_GB2312" w:hAnsi="仿宋" w:eastAsia="仿宋_GB2312" w:cs="仿宋"/>
          <w:iCs/>
          <w:kern w:val="0"/>
          <w:sz w:val="32"/>
          <w:szCs w:val="32"/>
          <w:lang w:val="en-US" w:eastAsia="zh-CN" w:bidi="ar"/>
        </w:rPr>
      </w:pPr>
      <w:bookmarkStart w:id="85" w:name="_Toc32354"/>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提高预算编制科学性</w:t>
      </w:r>
      <w:bookmarkEnd w:id="85"/>
    </w:p>
    <w:p w14:paraId="3CE774DB">
      <w:pPr>
        <w:keepNext w:val="0"/>
        <w:keepLines w:val="0"/>
        <w:pageBreakBefore w:val="0"/>
        <w:widowControl w:val="0"/>
        <w:shd w:val="clear"/>
        <w:kinsoku/>
        <w:wordWrap/>
        <w:overflowPunct/>
        <w:topLinePunct w:val="0"/>
        <w:bidi w:val="0"/>
        <w:adjustRightInd w:val="0"/>
        <w:snapToGrid w:val="0"/>
        <w:spacing w:line="360" w:lineRule="auto"/>
        <w:ind w:left="0" w:leftChars="0" w:firstLine="640" w:firstLineChars="200"/>
        <w:jc w:val="both"/>
        <w:textAlignment w:val="auto"/>
        <w:rPr>
          <w:rFonts w:hint="eastAsia" w:ascii="仿宋_GB2312" w:hAnsi="仿宋_GB2312"/>
          <w:highlight w:val="none"/>
        </w:rPr>
      </w:pPr>
      <w:r>
        <w:rPr>
          <w:rFonts w:hint="eastAsia" w:ascii="仿宋_GB2312" w:hAnsi="仿宋" w:cs="仿宋"/>
          <w:iCs/>
          <w:kern w:val="0"/>
          <w:sz w:val="32"/>
          <w:szCs w:val="32"/>
          <w:lang w:val="en-US" w:eastAsia="zh-CN" w:bidi="ar"/>
        </w:rPr>
        <w:t>建议项目单位根据具体年度绩效目标对项目进行预算测算和整体规划。引入专家论证、事前绩效评估等有效手段，加强项目立项程序的科学性与合理性。同时，细化预算编制，明确项目预算的具体支出内容，经过科学论证编制预算，使各项支出具有详细的测算依据，预算确定的项目投资额或资金量与工作任务相匹配，按照预算编制合理分配项目资金，以避免预算资金因不足等原因进行调整。</w:t>
      </w:r>
    </w:p>
    <w:p w14:paraId="5E27825E">
      <w:pPr>
        <w:keepNext w:val="0"/>
        <w:keepLines w:val="0"/>
        <w:pageBreakBefore w:val="0"/>
        <w:widowControl w:val="0"/>
        <w:suppressLineNumbers w:val="0"/>
        <w:kinsoku/>
        <w:wordWrap/>
        <w:overflowPunct/>
        <w:topLinePunct w:val="0"/>
        <w:autoSpaceDE/>
        <w:autoSpaceDN/>
        <w:bidi w:val="0"/>
        <w:adjustRightInd w:val="0"/>
        <w:snapToGrid w:val="0"/>
        <w:ind w:firstLine="640"/>
        <w:jc w:val="both"/>
        <w:textAlignment w:val="auto"/>
        <w:outlineLvl w:val="1"/>
        <w:rPr>
          <w:rFonts w:hint="default" w:ascii="楷体_GB2312" w:hAnsi="楷体_GB2312" w:eastAsia="楷体_GB2312" w:cs="楷体_GB2312"/>
          <w:sz w:val="32"/>
          <w:szCs w:val="32"/>
          <w:lang w:val="en-US" w:eastAsia="zh-CN"/>
        </w:rPr>
      </w:pPr>
      <w:bookmarkStart w:id="86" w:name="_Toc6046"/>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完善项目档案管理</w:t>
      </w:r>
      <w:bookmarkEnd w:id="86"/>
    </w:p>
    <w:p w14:paraId="0A0CE198">
      <w:pPr>
        <w:keepNext w:val="0"/>
        <w:keepLines w:val="0"/>
        <w:pageBreakBefore w:val="0"/>
        <w:widowControl w:val="0"/>
        <w:kinsoku/>
        <w:wordWrap/>
        <w:overflowPunct w:val="0"/>
        <w:topLinePunct w:val="0"/>
        <w:autoSpaceDE/>
        <w:autoSpaceDN/>
        <w:bidi w:val="0"/>
        <w:adjustRightInd w:val="0"/>
        <w:snapToGrid w:val="0"/>
        <w:ind w:firstLine="640"/>
        <w:textAlignment w:val="auto"/>
        <w:rPr>
          <w:rFonts w:hint="default" w:ascii="仿宋_GB2312" w:hAnsi="仿宋_GB2312"/>
          <w:highlight w:val="yellow"/>
          <w:lang w:val="en-US" w:eastAsia="zh-CN"/>
        </w:rPr>
      </w:pPr>
      <w:r>
        <w:rPr>
          <w:rFonts w:hint="eastAsia" w:ascii="仿宋_GB2312" w:hAnsi="仿宋_GB2312"/>
          <w:highlight w:val="none"/>
        </w:rPr>
        <w:t>首先建议项目单位重视项目档案管理工作，按有关档案管理要求规范管理，能够更好的反映项目过程及成效。及时将项目资料归档，做到齐全完整、系统收集、科学分类整理。项目单位可更新档案管理模式，制定内部档案管理制度，统一档案管理标准，科学有序的档案管理可以更好的体现项目实施情况并极大的提高工作效率。</w:t>
      </w:r>
      <w:r>
        <w:rPr>
          <w:rFonts w:hint="eastAsia" w:ascii="仿宋_GB2312" w:hAnsi="仿宋_GB2312"/>
          <w:highlight w:val="none"/>
          <w:lang w:val="en-US" w:eastAsia="zh-CN"/>
        </w:rPr>
        <w:t>其次建议项目单位规范合同签订，明确合同中各项条款约定内容，尽量做到合同签订合理完善，符合相关法律法规规定。在依法履行完成政府采购流程后，双方签订的相关协议合同即为对甲乙双方权利和义务的约束条件，应严格按照合同约定内容，合同签订内容的不准确可能会影响合同的实际履行，是权利及义务约定和划分的不明确，从法律层面讲，具有产生争议的风险性。</w:t>
      </w:r>
    </w:p>
    <w:bookmarkEnd w:id="76"/>
    <w:bookmarkEnd w:id="77"/>
    <w:bookmarkEnd w:id="78"/>
    <w:bookmarkEnd w:id="79"/>
    <w:bookmarkEnd w:id="80"/>
    <w:bookmarkEnd w:id="81"/>
    <w:bookmarkEnd w:id="82"/>
    <w:bookmarkEnd w:id="83"/>
    <w:bookmarkEnd w:id="84"/>
    <w:p w14:paraId="5CFEAA53">
      <w:pPr>
        <w:keepNext w:val="0"/>
        <w:keepLines w:val="0"/>
        <w:pageBreakBefore w:val="0"/>
        <w:widowControl w:val="0"/>
        <w:suppressLineNumbers w:val="0"/>
        <w:kinsoku/>
        <w:wordWrap/>
        <w:overflowPunct/>
        <w:topLinePunct w:val="0"/>
        <w:autoSpaceDE/>
        <w:autoSpaceDN/>
        <w:bidi w:val="0"/>
        <w:adjustRightInd w:val="0"/>
        <w:snapToGrid w:val="0"/>
        <w:ind w:firstLine="640"/>
        <w:jc w:val="both"/>
        <w:textAlignment w:val="auto"/>
        <w:outlineLvl w:val="1"/>
        <w:rPr>
          <w:rFonts w:hint="default" w:ascii="楷体_GB2312" w:hAnsi="楷体_GB2312" w:eastAsia="楷体_GB2312" w:cs="楷体_GB2312"/>
          <w:sz w:val="32"/>
          <w:szCs w:val="32"/>
          <w:lang w:val="en-US" w:eastAsia="zh-CN"/>
        </w:rPr>
      </w:pPr>
      <w:bookmarkStart w:id="87" w:name="_Toc19507"/>
      <w:bookmarkStart w:id="88" w:name="_Toc16403"/>
      <w:bookmarkStart w:id="89" w:name="_Toc30961"/>
      <w:bookmarkStart w:id="90" w:name="_Toc29021"/>
      <w:bookmarkStart w:id="91" w:name="_Toc20140"/>
      <w:bookmarkStart w:id="92" w:name="_Toc7895"/>
      <w:bookmarkStart w:id="93" w:name="_Toc66377500"/>
      <w:bookmarkStart w:id="94" w:name="_Toc23836"/>
      <w:bookmarkStart w:id="95" w:name="_Toc31814"/>
      <w:bookmarkStart w:id="96" w:name="_Toc107825675"/>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优化项目管理体系</w:t>
      </w:r>
      <w:bookmarkEnd w:id="87"/>
    </w:p>
    <w:p w14:paraId="246D4351">
      <w:pPr>
        <w:keepNext w:val="0"/>
        <w:keepLines w:val="0"/>
        <w:pageBreakBefore w:val="0"/>
        <w:widowControl w:val="0"/>
        <w:kinsoku/>
        <w:wordWrap/>
        <w:overflowPunct w:val="0"/>
        <w:topLinePunct w:val="0"/>
        <w:autoSpaceDE/>
        <w:autoSpaceDN/>
        <w:bidi w:val="0"/>
        <w:adjustRightInd w:val="0"/>
        <w:snapToGrid w:val="0"/>
        <w:ind w:firstLine="640"/>
        <w:textAlignment w:val="auto"/>
        <w:rPr>
          <w:rFonts w:hint="eastAsia" w:ascii="仿宋_GB2312" w:hAnsi="仿宋_GB2312"/>
          <w:lang w:val="en-US" w:eastAsia="zh-CN"/>
        </w:rPr>
      </w:pPr>
      <w:bookmarkStart w:id="97" w:name="_Toc1267"/>
      <w:r>
        <w:rPr>
          <w:rFonts w:hint="eastAsia" w:ascii="仿宋_GB2312" w:hAnsi="仿宋_GB2312"/>
          <w:highlight w:val="none"/>
          <w:lang w:val="en-US" w:eastAsia="zh-CN"/>
        </w:rPr>
        <w:t>建议项目单位不断优化工作流程和项目管理体系。建议项目单位把控资金支出方向，合理合规使用资金，提高资金使用规范性，资金的支出应在项目预算批复的范围内或符合项目设立时的总体使用方向。规划</w:t>
      </w:r>
      <w:r>
        <w:rPr>
          <w:rFonts w:hint="eastAsia" w:ascii="仿宋_GB2312" w:hAnsi="仿宋_GB2312"/>
          <w:highlight w:val="none"/>
        </w:rPr>
        <w:t>项目时，</w:t>
      </w:r>
      <w:r>
        <w:rPr>
          <w:rFonts w:hint="eastAsia" w:ascii="仿宋_GB2312" w:hAnsi="仿宋_GB2312"/>
          <w:highlight w:val="none"/>
          <w:lang w:val="en-US" w:eastAsia="zh-CN"/>
        </w:rPr>
        <w:t>根据绩效目标明确具体的项目内容，</w:t>
      </w:r>
      <w:r>
        <w:rPr>
          <w:rFonts w:hint="eastAsia" w:ascii="仿宋_GB2312" w:hAnsi="仿宋_GB2312"/>
          <w:highlight w:val="none"/>
        </w:rPr>
        <w:t>按照规定的程序申请设立</w:t>
      </w:r>
      <w:r>
        <w:rPr>
          <w:rFonts w:hint="eastAsia" w:ascii="仿宋_GB2312" w:hAnsi="仿宋_GB2312"/>
          <w:highlight w:val="none"/>
          <w:lang w:eastAsia="zh-CN"/>
        </w:rPr>
        <w:t>，</w:t>
      </w:r>
      <w:r>
        <w:rPr>
          <w:rFonts w:hint="eastAsia" w:ascii="仿宋_GB2312" w:hAnsi="仿宋_GB2312"/>
          <w:highlight w:val="none"/>
          <w:lang w:val="en-US" w:eastAsia="zh-CN"/>
        </w:rPr>
        <w:t>保障相关文件材料规范完善、符合相关要求，同时</w:t>
      </w:r>
      <w:r>
        <w:rPr>
          <w:rFonts w:hint="eastAsia" w:ascii="仿宋_GB2312" w:hAnsi="仿宋_GB2312"/>
          <w:highlight w:val="none"/>
          <w:lang w:eastAsia="zh-CN"/>
        </w:rPr>
        <w:t>充分考量各方面因素，</w:t>
      </w:r>
      <w:r>
        <w:rPr>
          <w:rFonts w:hint="eastAsia" w:ascii="仿宋_GB2312" w:hAnsi="仿宋_GB2312"/>
          <w:highlight w:val="none"/>
        </w:rPr>
        <w:t>合理规划项目实施期限；项目实施时，严格按照已制定的相关财务和业务管理制度执行项目，</w:t>
      </w:r>
      <w:r>
        <w:rPr>
          <w:rFonts w:hint="eastAsia" w:ascii="仿宋_GB2312" w:hAnsi="仿宋_GB2312"/>
          <w:highlight w:val="none"/>
          <w:lang w:val="en-US" w:eastAsia="zh-CN"/>
        </w:rPr>
        <w:t>能够</w:t>
      </w:r>
      <w:r>
        <w:rPr>
          <w:rFonts w:hint="eastAsia" w:ascii="仿宋_GB2312" w:hAnsi="仿宋_GB2312"/>
          <w:highlight w:val="none"/>
        </w:rPr>
        <w:t>保证项目在预期计划内完成</w:t>
      </w:r>
      <w:r>
        <w:rPr>
          <w:rFonts w:hint="eastAsia" w:ascii="仿宋_GB2312" w:hAnsi="仿宋_GB2312"/>
          <w:highlight w:val="none"/>
          <w:lang w:eastAsia="zh-CN"/>
        </w:rPr>
        <w:t>，</w:t>
      </w:r>
      <w:r>
        <w:rPr>
          <w:rFonts w:hint="eastAsia" w:ascii="仿宋_GB2312" w:hAnsi="仿宋_GB2312" w:eastAsia="仿宋_GB2312" w:cs="仿宋_GB2312"/>
          <w:b w:val="0"/>
          <w:bCs w:val="0"/>
          <w:sz w:val="32"/>
          <w:szCs w:val="32"/>
          <w:lang w:val="en-US" w:eastAsia="zh-CN"/>
        </w:rPr>
        <w:t>明确合同中各项条款约定内容，</w:t>
      </w:r>
      <w:r>
        <w:rPr>
          <w:rFonts w:hint="eastAsia" w:ascii="仿宋_GB2312" w:hAnsi="仿宋_GB2312"/>
          <w:highlight w:val="none"/>
          <w:lang w:val="en-US" w:eastAsia="zh-CN"/>
        </w:rPr>
        <w:t>按照约定内容，保质保量完成</w:t>
      </w:r>
      <w:r>
        <w:rPr>
          <w:rFonts w:hint="eastAsia" w:ascii="仿宋_GB2312" w:hAnsi="仿宋_GB2312"/>
          <w:highlight w:val="none"/>
        </w:rPr>
        <w:t>；项目实施完成后，及时组织开展验收工作，建立明确可行的后续管护制度，保障项目效益及时发挥。</w:t>
      </w:r>
    </w:p>
    <w:bookmarkEnd w:id="88"/>
    <w:bookmarkEnd w:id="89"/>
    <w:bookmarkEnd w:id="90"/>
    <w:bookmarkEnd w:id="91"/>
    <w:bookmarkEnd w:id="92"/>
    <w:bookmarkEnd w:id="93"/>
    <w:bookmarkEnd w:id="94"/>
    <w:bookmarkEnd w:id="95"/>
    <w:bookmarkEnd w:id="96"/>
    <w:bookmarkEnd w:id="97"/>
    <w:p w14:paraId="6D2B8636">
      <w:pPr>
        <w:spacing w:line="360" w:lineRule="auto"/>
        <w:ind w:left="0" w:leftChars="0" w:firstLine="0" w:firstLineChars="0"/>
        <w:outlineLvl w:val="1"/>
        <w:rPr>
          <w:rFonts w:hint="eastAsia" w:ascii="黑体" w:hAnsi="黑体" w:eastAsia="黑体" w:cs="黑体"/>
          <w:sz w:val="32"/>
          <w:szCs w:val="32"/>
        </w:rPr>
      </w:pPr>
      <w:bookmarkStart w:id="98" w:name="_Toc10801"/>
    </w:p>
    <w:p w14:paraId="3BA9C422">
      <w:pPr>
        <w:spacing w:line="360" w:lineRule="auto"/>
        <w:ind w:left="0" w:leftChars="0" w:firstLine="0" w:firstLineChars="0"/>
        <w:outlineLvl w:val="1"/>
        <w:rPr>
          <w:rFonts w:hint="eastAsia" w:ascii="黑体" w:hAnsi="黑体" w:eastAsia="黑体" w:cs="黑体"/>
          <w:sz w:val="32"/>
          <w:szCs w:val="32"/>
        </w:rPr>
      </w:pPr>
    </w:p>
    <w:p w14:paraId="22FCE83D">
      <w:pPr>
        <w:spacing w:line="360" w:lineRule="auto"/>
        <w:ind w:left="0" w:leftChars="0" w:firstLine="0" w:firstLineChars="0"/>
        <w:outlineLvl w:val="1"/>
        <w:rPr>
          <w:rFonts w:hint="eastAsia" w:ascii="黑体" w:hAnsi="黑体" w:eastAsia="黑体" w:cs="黑体"/>
          <w:sz w:val="32"/>
          <w:szCs w:val="32"/>
        </w:rPr>
      </w:pPr>
    </w:p>
    <w:p w14:paraId="1B37C5F7">
      <w:pPr>
        <w:spacing w:line="360" w:lineRule="auto"/>
        <w:ind w:left="0" w:leftChars="0" w:firstLine="0" w:firstLineChars="0"/>
        <w:outlineLvl w:val="1"/>
        <w:rPr>
          <w:rFonts w:hint="eastAsia" w:ascii="黑体" w:hAnsi="黑体" w:eastAsia="黑体" w:cs="黑体"/>
          <w:sz w:val="32"/>
          <w:szCs w:val="32"/>
        </w:rPr>
      </w:pPr>
    </w:p>
    <w:p w14:paraId="48AE2B88">
      <w:pPr>
        <w:spacing w:line="360" w:lineRule="auto"/>
        <w:ind w:left="0" w:leftChars="0" w:firstLine="0" w:firstLineChars="0"/>
        <w:outlineLvl w:val="1"/>
        <w:rPr>
          <w:rFonts w:hint="eastAsia" w:ascii="黑体" w:hAnsi="黑体" w:eastAsia="黑体" w:cs="黑体"/>
          <w:sz w:val="32"/>
          <w:szCs w:val="32"/>
        </w:rPr>
      </w:pPr>
    </w:p>
    <w:p w14:paraId="3365ADF8">
      <w:pPr>
        <w:spacing w:line="360" w:lineRule="auto"/>
        <w:ind w:left="0" w:leftChars="0" w:firstLine="0" w:firstLineChars="0"/>
        <w:outlineLvl w:val="1"/>
        <w:rPr>
          <w:rFonts w:hint="eastAsia" w:ascii="黑体" w:hAnsi="黑体" w:eastAsia="黑体" w:cs="黑体"/>
          <w:sz w:val="32"/>
          <w:szCs w:val="32"/>
        </w:rPr>
      </w:pPr>
    </w:p>
    <w:p w14:paraId="6184F32E">
      <w:pPr>
        <w:spacing w:line="360" w:lineRule="auto"/>
        <w:ind w:left="0" w:leftChars="0" w:firstLine="0" w:firstLineChars="0"/>
        <w:outlineLvl w:val="1"/>
        <w:rPr>
          <w:rFonts w:hint="eastAsia" w:ascii="黑体" w:hAnsi="黑体" w:eastAsia="黑体" w:cs="黑体"/>
          <w:sz w:val="32"/>
          <w:szCs w:val="32"/>
        </w:rPr>
      </w:pPr>
    </w:p>
    <w:p w14:paraId="7ABA1E82">
      <w:pPr>
        <w:spacing w:line="360" w:lineRule="auto"/>
        <w:ind w:left="0" w:leftChars="0" w:firstLine="0" w:firstLineChars="0"/>
        <w:outlineLvl w:val="1"/>
        <w:rPr>
          <w:rFonts w:hint="eastAsia" w:ascii="黑体" w:hAnsi="黑体" w:eastAsia="黑体" w:cs="黑体"/>
          <w:sz w:val="32"/>
          <w:szCs w:val="32"/>
        </w:rPr>
      </w:pPr>
    </w:p>
    <w:p w14:paraId="4058E412">
      <w:pPr>
        <w:spacing w:line="360" w:lineRule="auto"/>
        <w:ind w:left="0" w:leftChars="0" w:firstLine="0" w:firstLineChars="0"/>
        <w:outlineLvl w:val="1"/>
        <w:rPr>
          <w:rFonts w:hint="eastAsia" w:ascii="黑体" w:hAnsi="黑体" w:eastAsia="黑体" w:cs="黑体"/>
          <w:sz w:val="32"/>
          <w:szCs w:val="32"/>
        </w:rPr>
      </w:pPr>
    </w:p>
    <w:p w14:paraId="09A3FF58">
      <w:pPr>
        <w:spacing w:line="360" w:lineRule="auto"/>
        <w:ind w:left="0" w:leftChars="0" w:firstLine="0" w:firstLineChars="0"/>
        <w:outlineLvl w:val="1"/>
        <w:rPr>
          <w:rFonts w:hint="eastAsia" w:ascii="黑体" w:hAnsi="黑体" w:eastAsia="黑体" w:cs="黑体"/>
          <w:sz w:val="32"/>
          <w:szCs w:val="32"/>
        </w:rPr>
      </w:pPr>
    </w:p>
    <w:p w14:paraId="41279D0F">
      <w:pPr>
        <w:spacing w:line="360" w:lineRule="auto"/>
        <w:ind w:left="0" w:leftChars="0" w:firstLine="0" w:firstLineChars="0"/>
        <w:outlineLvl w:val="1"/>
        <w:rPr>
          <w:rFonts w:hint="eastAsia" w:ascii="黑体" w:hAnsi="黑体" w:eastAsia="黑体" w:cs="黑体"/>
          <w:sz w:val="32"/>
          <w:szCs w:val="32"/>
        </w:rPr>
      </w:pPr>
    </w:p>
    <w:p w14:paraId="2212B04F">
      <w:pPr>
        <w:spacing w:line="360" w:lineRule="auto"/>
        <w:ind w:left="0" w:leftChars="0" w:firstLine="0" w:firstLineChars="0"/>
        <w:outlineLvl w:val="1"/>
        <w:rPr>
          <w:rFonts w:hint="eastAsia" w:ascii="黑体" w:hAnsi="黑体" w:eastAsia="黑体" w:cs="黑体"/>
          <w:sz w:val="22"/>
          <w:szCs w:val="22"/>
        </w:rPr>
      </w:pPr>
      <w:r>
        <w:rPr>
          <w:rFonts w:hint="eastAsia" w:ascii="黑体" w:hAnsi="黑体" w:eastAsia="黑体" w:cs="黑体"/>
          <w:sz w:val="32"/>
          <w:szCs w:val="32"/>
        </w:rPr>
        <w:t>附件</w:t>
      </w:r>
      <w:bookmarkEnd w:id="98"/>
    </w:p>
    <w:p w14:paraId="48E2D5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中宋" w:hAnsi="华文中宋" w:eastAsia="华文中宋" w:cs="华文中宋"/>
          <w:sz w:val="36"/>
          <w:szCs w:val="36"/>
          <w:lang w:val="en-US" w:eastAsia="zh-CN"/>
        </w:rPr>
      </w:pPr>
      <w:r>
        <w:rPr>
          <w:rFonts w:hint="eastAsia" w:ascii="华文中宋" w:hAnsi="华文中宋" w:eastAsia="华文中宋" w:cs="华文中宋"/>
          <w:b w:val="0"/>
          <w:bCs/>
          <w:sz w:val="36"/>
          <w:szCs w:val="36"/>
        </w:rPr>
        <w:t>品质提升项目</w:t>
      </w:r>
      <w:r>
        <w:rPr>
          <w:rFonts w:hint="eastAsia" w:ascii="华文中宋" w:hAnsi="华文中宋" w:eastAsia="华文中宋" w:cs="华文中宋"/>
          <w:sz w:val="36"/>
          <w:szCs w:val="36"/>
          <w:lang w:val="en-US" w:eastAsia="zh-CN"/>
        </w:rPr>
        <w:t>实地照片</w:t>
      </w:r>
    </w:p>
    <w:p w14:paraId="319F867D">
      <w:pPr>
        <w:ind w:left="0" w:leftChars="0" w:firstLine="0" w:firstLineChars="0"/>
        <w:jc w:val="left"/>
        <w:rPr>
          <w:rFonts w:hint="eastAsia" w:ascii="黑体" w:hAnsi="黑体" w:eastAsia="黑体" w:cs="黑体"/>
          <w:sz w:val="28"/>
          <w:szCs w:val="28"/>
          <w:vertAlign w:val="baseline"/>
        </w:rPr>
      </w:pPr>
    </w:p>
    <w:p w14:paraId="4B3937D9">
      <w:pPr>
        <w:ind w:left="0" w:leftChars="0" w:firstLine="0" w:firstLineChars="0"/>
        <w:jc w:val="left"/>
        <w:rPr>
          <w:rFonts w:hint="default" w:ascii="华文中宋" w:hAnsi="华文中宋" w:eastAsia="华文中宋" w:cs="华文中宋"/>
          <w:sz w:val="36"/>
          <w:szCs w:val="36"/>
          <w:lang w:val="en-US" w:eastAsia="zh-CN"/>
        </w:rPr>
      </w:pPr>
      <w:r>
        <w:rPr>
          <w:rFonts w:hint="eastAsia" w:ascii="黑体" w:hAnsi="黑体" w:eastAsia="黑体" w:cs="黑体"/>
          <w:sz w:val="28"/>
          <w:szCs w:val="28"/>
          <w:vertAlign w:val="baseline"/>
        </w:rPr>
        <w:t>购买及制作木栈道</w:t>
      </w:r>
    </w:p>
    <w:p w14:paraId="2A884CEA">
      <w:pPr>
        <w:jc w:val="center"/>
        <w:rPr>
          <w:rFonts w:hint="eastAsia" w:ascii="华文中宋" w:hAnsi="华文中宋" w:eastAsia="华文中宋" w:cs="华文中宋"/>
          <w:sz w:val="36"/>
          <w:szCs w:val="36"/>
          <w:lang w:val="en-US" w:eastAsia="zh-CN"/>
        </w:rPr>
      </w:pPr>
      <w:r>
        <w:rPr>
          <w:rFonts w:hint="eastAsia" w:ascii="华文中宋" w:hAnsi="华文中宋" w:eastAsia="华文中宋" w:cs="华文中宋"/>
          <w:sz w:val="36"/>
          <w:szCs w:val="36"/>
          <w:lang w:val="en-US" w:eastAsia="zh-CN"/>
        </w:rPr>
        <w:drawing>
          <wp:inline distT="0" distB="0" distL="114300" distR="114300">
            <wp:extent cx="2936240" cy="3197225"/>
            <wp:effectExtent l="0" t="0" r="10160" b="3175"/>
            <wp:docPr id="11" name="图片 11" descr="23259a728cee9d3843d4b0b0e4cb0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3259a728cee9d3843d4b0b0e4cb0bc"/>
                    <pic:cNvPicPr>
                      <a:picLocks noChangeAspect="1"/>
                    </pic:cNvPicPr>
                  </pic:nvPicPr>
                  <pic:blipFill>
                    <a:blip r:embed="rId8"/>
                    <a:stretch>
                      <a:fillRect/>
                    </a:stretch>
                  </pic:blipFill>
                  <pic:spPr>
                    <a:xfrm>
                      <a:off x="0" y="0"/>
                      <a:ext cx="2936240" cy="3197225"/>
                    </a:xfrm>
                    <a:prstGeom prst="rect">
                      <a:avLst/>
                    </a:prstGeom>
                  </pic:spPr>
                </pic:pic>
              </a:graphicData>
            </a:graphic>
          </wp:inline>
        </w:drawing>
      </w:r>
    </w:p>
    <w:p w14:paraId="45006B11">
      <w:pPr>
        <w:jc w:val="center"/>
        <w:rPr>
          <w:rFonts w:hint="eastAsia" w:ascii="华文中宋" w:hAnsi="华文中宋" w:eastAsia="华文中宋" w:cs="华文中宋"/>
          <w:sz w:val="36"/>
          <w:szCs w:val="36"/>
          <w:lang w:val="en-US" w:eastAsia="zh-CN"/>
        </w:rPr>
      </w:pPr>
      <w:r>
        <w:rPr>
          <w:rFonts w:hint="eastAsia" w:ascii="华文中宋" w:hAnsi="华文中宋" w:eastAsia="华文中宋" w:cs="华文中宋"/>
          <w:sz w:val="36"/>
          <w:szCs w:val="36"/>
          <w:lang w:val="en-US" w:eastAsia="zh-CN"/>
        </w:rPr>
        <w:drawing>
          <wp:inline distT="0" distB="0" distL="114300" distR="114300">
            <wp:extent cx="3995420" cy="2424430"/>
            <wp:effectExtent l="0" t="0" r="5080" b="1270"/>
            <wp:docPr id="20" name="图片 20" descr="90b6910d11ed30c42cf6daff91b3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0b6910d11ed30c42cf6daff91b304b"/>
                    <pic:cNvPicPr>
                      <a:picLocks noChangeAspect="1"/>
                    </pic:cNvPicPr>
                  </pic:nvPicPr>
                  <pic:blipFill>
                    <a:blip r:embed="rId9"/>
                    <a:stretch>
                      <a:fillRect/>
                    </a:stretch>
                  </pic:blipFill>
                  <pic:spPr>
                    <a:xfrm>
                      <a:off x="0" y="0"/>
                      <a:ext cx="3995420" cy="2424430"/>
                    </a:xfrm>
                    <a:prstGeom prst="rect">
                      <a:avLst/>
                    </a:prstGeom>
                  </pic:spPr>
                </pic:pic>
              </a:graphicData>
            </a:graphic>
          </wp:inline>
        </w:drawing>
      </w:r>
    </w:p>
    <w:p w14:paraId="2DCD8B5D">
      <w:pPr>
        <w:ind w:left="0" w:leftChars="0" w:firstLine="0" w:firstLineChars="0"/>
        <w:jc w:val="left"/>
        <w:rPr>
          <w:rFonts w:hint="eastAsia" w:ascii="黑体" w:hAnsi="黑体" w:eastAsia="黑体" w:cs="黑体"/>
          <w:sz w:val="28"/>
          <w:szCs w:val="28"/>
          <w:vertAlign w:val="baseline"/>
        </w:rPr>
      </w:pPr>
    </w:p>
    <w:p w14:paraId="734DD4A9">
      <w:pPr>
        <w:ind w:left="0" w:leftChars="0" w:firstLine="0" w:firstLineChars="0"/>
        <w:jc w:val="left"/>
        <w:rPr>
          <w:rFonts w:hint="eastAsia" w:ascii="华文中宋" w:hAnsi="华文中宋" w:eastAsia="华文中宋" w:cs="华文中宋"/>
          <w:sz w:val="36"/>
          <w:szCs w:val="36"/>
          <w:lang w:val="en-US" w:eastAsia="zh-CN"/>
        </w:rPr>
      </w:pPr>
      <w:r>
        <w:rPr>
          <w:rFonts w:hint="eastAsia" w:ascii="黑体" w:hAnsi="黑体" w:eastAsia="黑体" w:cs="黑体"/>
          <w:sz w:val="28"/>
          <w:szCs w:val="28"/>
          <w:vertAlign w:val="baseline"/>
        </w:rPr>
        <w:t>花池花钵鲜花摆放</w:t>
      </w:r>
    </w:p>
    <w:p w14:paraId="5743AD6C">
      <w:pPr>
        <w:ind w:left="0" w:leftChars="0" w:firstLine="0" w:firstLineChars="0"/>
        <w:jc w:val="center"/>
        <w:rPr>
          <w:rFonts w:hint="eastAsia" w:ascii="华文中宋" w:hAnsi="华文中宋" w:eastAsia="华文中宋" w:cs="华文中宋"/>
          <w:sz w:val="36"/>
          <w:szCs w:val="36"/>
          <w:lang w:val="en-US" w:eastAsia="zh-CN"/>
        </w:rPr>
      </w:pPr>
      <w:r>
        <w:rPr>
          <w:rFonts w:hint="eastAsia" w:ascii="华文中宋" w:hAnsi="华文中宋" w:eastAsia="华文中宋" w:cs="华文中宋"/>
          <w:sz w:val="36"/>
          <w:szCs w:val="36"/>
          <w:lang w:val="en-US" w:eastAsia="zh-CN"/>
        </w:rPr>
        <w:drawing>
          <wp:inline distT="0" distB="0" distL="114300" distR="114300">
            <wp:extent cx="5262245" cy="2954020"/>
            <wp:effectExtent l="0" t="0" r="8255" b="5080"/>
            <wp:docPr id="1" name="图片 1" descr="4ec59b062edcdfcf2877335d89f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ec59b062edcdfcf2877335d89fead2"/>
                    <pic:cNvPicPr>
                      <a:picLocks noChangeAspect="1"/>
                    </pic:cNvPicPr>
                  </pic:nvPicPr>
                  <pic:blipFill>
                    <a:blip r:embed="rId10"/>
                    <a:stretch>
                      <a:fillRect/>
                    </a:stretch>
                  </pic:blipFill>
                  <pic:spPr>
                    <a:xfrm>
                      <a:off x="0" y="0"/>
                      <a:ext cx="5262245" cy="2954020"/>
                    </a:xfrm>
                    <a:prstGeom prst="rect">
                      <a:avLst/>
                    </a:prstGeom>
                  </pic:spPr>
                </pic:pic>
              </a:graphicData>
            </a:graphic>
          </wp:inline>
        </w:drawing>
      </w:r>
      <w:r>
        <w:rPr>
          <w:rFonts w:hint="eastAsia" w:ascii="华文中宋" w:hAnsi="华文中宋" w:eastAsia="华文中宋" w:cs="华文中宋"/>
          <w:sz w:val="36"/>
          <w:szCs w:val="36"/>
          <w:lang w:val="en-US" w:eastAsia="zh-CN"/>
        </w:rPr>
        <w:drawing>
          <wp:inline distT="0" distB="0" distL="114300" distR="114300">
            <wp:extent cx="5258435" cy="2959735"/>
            <wp:effectExtent l="0" t="0" r="12065" b="12065"/>
            <wp:docPr id="140" name="图片 140" descr="2cdd08cee7eb5138bbfee4c23988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2cdd08cee7eb5138bbfee4c2398892f"/>
                    <pic:cNvPicPr>
                      <a:picLocks noChangeAspect="1"/>
                    </pic:cNvPicPr>
                  </pic:nvPicPr>
                  <pic:blipFill>
                    <a:blip r:embed="rId11"/>
                    <a:stretch>
                      <a:fillRect/>
                    </a:stretch>
                  </pic:blipFill>
                  <pic:spPr>
                    <a:xfrm>
                      <a:off x="0" y="0"/>
                      <a:ext cx="5258435" cy="2959735"/>
                    </a:xfrm>
                    <a:prstGeom prst="rect">
                      <a:avLst/>
                    </a:prstGeom>
                  </pic:spPr>
                </pic:pic>
              </a:graphicData>
            </a:graphic>
          </wp:inline>
        </w:drawing>
      </w:r>
    </w:p>
    <w:p w14:paraId="4D91D690">
      <w:pPr>
        <w:jc w:val="center"/>
        <w:rPr>
          <w:rFonts w:hint="eastAsia" w:ascii="华文中宋" w:hAnsi="华文中宋" w:eastAsia="华文中宋" w:cs="华文中宋"/>
          <w:sz w:val="36"/>
          <w:szCs w:val="36"/>
          <w:lang w:val="en-US" w:eastAsia="zh-CN"/>
        </w:rPr>
      </w:pPr>
    </w:p>
    <w:p w14:paraId="16F1BEB3">
      <w:pPr>
        <w:jc w:val="center"/>
        <w:rPr>
          <w:rFonts w:hint="eastAsia" w:ascii="华文中宋" w:hAnsi="华文中宋" w:eastAsia="华文中宋" w:cs="华文中宋"/>
          <w:sz w:val="36"/>
          <w:szCs w:val="36"/>
          <w:lang w:val="en-US" w:eastAsia="zh-CN"/>
        </w:rPr>
      </w:pPr>
    </w:p>
    <w:p w14:paraId="3F0B33D5">
      <w:pPr>
        <w:ind w:left="0" w:leftChars="0" w:firstLine="0" w:firstLineChars="0"/>
        <w:jc w:val="both"/>
        <w:rPr>
          <w:rFonts w:hint="eastAsia" w:ascii="华文中宋" w:hAnsi="华文中宋" w:eastAsia="华文中宋" w:cs="华文中宋"/>
          <w:sz w:val="36"/>
          <w:szCs w:val="36"/>
          <w:lang w:val="en-US" w:eastAsia="zh-CN"/>
        </w:rPr>
      </w:pPr>
    </w:p>
    <w:p w14:paraId="5223CC43">
      <w:pPr>
        <w:ind w:left="0" w:leftChars="0" w:firstLine="0" w:firstLineChars="0"/>
        <w:jc w:val="left"/>
        <w:rPr>
          <w:rFonts w:hint="eastAsia" w:ascii="华文中宋" w:hAnsi="华文中宋" w:eastAsia="华文中宋" w:cs="华文中宋"/>
          <w:sz w:val="36"/>
          <w:szCs w:val="36"/>
          <w:lang w:val="en-US" w:eastAsia="zh-CN"/>
        </w:rPr>
      </w:pPr>
      <w:r>
        <w:rPr>
          <w:rFonts w:hint="eastAsia" w:ascii="黑体" w:hAnsi="黑体" w:eastAsia="黑体" w:cs="黑体"/>
          <w:sz w:val="28"/>
          <w:szCs w:val="28"/>
          <w:vertAlign w:val="baseline"/>
        </w:rPr>
        <w:t>仿古村落零星维修</w:t>
      </w:r>
    </w:p>
    <w:p w14:paraId="5AA06765">
      <w:pPr>
        <w:jc w:val="center"/>
        <w:rPr>
          <w:rFonts w:hint="eastAsia" w:ascii="华文中宋" w:hAnsi="华文中宋" w:eastAsia="华文中宋" w:cs="华文中宋"/>
          <w:sz w:val="36"/>
          <w:szCs w:val="36"/>
          <w:lang w:val="en-US" w:eastAsia="zh-CN"/>
        </w:rPr>
      </w:pPr>
      <w:r>
        <w:rPr>
          <w:rFonts w:hint="eastAsia" w:ascii="华文中宋" w:hAnsi="华文中宋" w:eastAsia="华文中宋" w:cs="华文中宋"/>
          <w:sz w:val="36"/>
          <w:szCs w:val="36"/>
          <w:lang w:val="en-US" w:eastAsia="zh-CN"/>
        </w:rPr>
        <w:drawing>
          <wp:inline distT="0" distB="0" distL="114300" distR="114300">
            <wp:extent cx="5271135" cy="7030720"/>
            <wp:effectExtent l="0" t="0" r="12065" b="5080"/>
            <wp:docPr id="3" name="图片 3" descr="44eea7ca9fd81e4ff434f70438fe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4eea7ca9fd81e4ff434f70438fe387"/>
                    <pic:cNvPicPr>
                      <a:picLocks noChangeAspect="1"/>
                    </pic:cNvPicPr>
                  </pic:nvPicPr>
                  <pic:blipFill>
                    <a:blip r:embed="rId12"/>
                    <a:stretch>
                      <a:fillRect/>
                    </a:stretch>
                  </pic:blipFill>
                  <pic:spPr>
                    <a:xfrm>
                      <a:off x="0" y="0"/>
                      <a:ext cx="5271135" cy="7030720"/>
                    </a:xfrm>
                    <a:prstGeom prst="rect">
                      <a:avLst/>
                    </a:prstGeom>
                  </pic:spPr>
                </pic:pic>
              </a:graphicData>
            </a:graphic>
          </wp:inline>
        </w:drawing>
      </w:r>
      <w:r>
        <w:rPr>
          <w:rFonts w:hint="eastAsia" w:ascii="华文中宋" w:hAnsi="华文中宋" w:eastAsia="华文中宋" w:cs="华文中宋"/>
          <w:sz w:val="36"/>
          <w:szCs w:val="36"/>
          <w:lang w:val="en-US" w:eastAsia="zh-CN"/>
        </w:rPr>
        <w:drawing>
          <wp:inline distT="0" distB="0" distL="114300" distR="114300">
            <wp:extent cx="5264785" cy="3947160"/>
            <wp:effectExtent l="0" t="0" r="5715" b="2540"/>
            <wp:docPr id="5" name="图片 5" descr="643e57dd865ada59b30a8abec7bdf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43e57dd865ada59b30a8abec7bdf69"/>
                    <pic:cNvPicPr>
                      <a:picLocks noChangeAspect="1"/>
                    </pic:cNvPicPr>
                  </pic:nvPicPr>
                  <pic:blipFill>
                    <a:blip r:embed="rId13"/>
                    <a:stretch>
                      <a:fillRect/>
                    </a:stretch>
                  </pic:blipFill>
                  <pic:spPr>
                    <a:xfrm>
                      <a:off x="0" y="0"/>
                      <a:ext cx="5264785" cy="3947160"/>
                    </a:xfrm>
                    <a:prstGeom prst="rect">
                      <a:avLst/>
                    </a:prstGeom>
                  </pic:spPr>
                </pic:pic>
              </a:graphicData>
            </a:graphic>
          </wp:inline>
        </w:drawing>
      </w:r>
      <w:r>
        <w:rPr>
          <w:rFonts w:hint="eastAsia" w:ascii="华文中宋" w:hAnsi="华文中宋" w:eastAsia="华文中宋" w:cs="华文中宋"/>
          <w:sz w:val="36"/>
          <w:szCs w:val="36"/>
          <w:lang w:val="en-US" w:eastAsia="zh-CN"/>
        </w:rPr>
        <w:drawing>
          <wp:inline distT="0" distB="0" distL="114300" distR="114300">
            <wp:extent cx="5264785" cy="3947160"/>
            <wp:effectExtent l="0" t="0" r="5715" b="2540"/>
            <wp:docPr id="6" name="图片 6" descr="d9572dae539256a1a0cc4094fe09b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9572dae539256a1a0cc4094fe09bf4"/>
                    <pic:cNvPicPr>
                      <a:picLocks noChangeAspect="1"/>
                    </pic:cNvPicPr>
                  </pic:nvPicPr>
                  <pic:blipFill>
                    <a:blip r:embed="rId14"/>
                    <a:stretch>
                      <a:fillRect/>
                    </a:stretch>
                  </pic:blipFill>
                  <pic:spPr>
                    <a:xfrm>
                      <a:off x="0" y="0"/>
                      <a:ext cx="5264785" cy="3947160"/>
                    </a:xfrm>
                    <a:prstGeom prst="rect">
                      <a:avLst/>
                    </a:prstGeom>
                  </pic:spPr>
                </pic:pic>
              </a:graphicData>
            </a:graphic>
          </wp:inline>
        </w:drawing>
      </w:r>
      <w:r>
        <w:rPr>
          <w:rFonts w:hint="eastAsia" w:ascii="华文中宋" w:hAnsi="华文中宋" w:eastAsia="华文中宋" w:cs="华文中宋"/>
          <w:sz w:val="36"/>
          <w:szCs w:val="36"/>
          <w:lang w:val="en-US" w:eastAsia="zh-CN"/>
        </w:rPr>
        <w:drawing>
          <wp:inline distT="0" distB="0" distL="114300" distR="114300">
            <wp:extent cx="5264785" cy="3947160"/>
            <wp:effectExtent l="0" t="0" r="5715" b="2540"/>
            <wp:docPr id="8" name="图片 8" descr="93b61b33d2f12cd3c5a3d73e18a9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3b61b33d2f12cd3c5a3d73e18a9d25"/>
                    <pic:cNvPicPr>
                      <a:picLocks noChangeAspect="1"/>
                    </pic:cNvPicPr>
                  </pic:nvPicPr>
                  <pic:blipFill>
                    <a:blip r:embed="rId15"/>
                    <a:stretch>
                      <a:fillRect/>
                    </a:stretch>
                  </pic:blipFill>
                  <pic:spPr>
                    <a:xfrm>
                      <a:off x="0" y="0"/>
                      <a:ext cx="5264785" cy="3947160"/>
                    </a:xfrm>
                    <a:prstGeom prst="rect">
                      <a:avLst/>
                    </a:prstGeom>
                  </pic:spPr>
                </pic:pic>
              </a:graphicData>
            </a:graphic>
          </wp:inline>
        </w:drawing>
      </w:r>
      <w:r>
        <w:rPr>
          <w:rFonts w:hint="eastAsia" w:ascii="华文中宋" w:hAnsi="华文中宋" w:eastAsia="华文中宋" w:cs="华文中宋"/>
          <w:sz w:val="36"/>
          <w:szCs w:val="36"/>
          <w:lang w:val="en-US" w:eastAsia="zh-CN"/>
        </w:rPr>
        <w:drawing>
          <wp:inline distT="0" distB="0" distL="114300" distR="114300">
            <wp:extent cx="5264785" cy="3947160"/>
            <wp:effectExtent l="0" t="0" r="5715" b="2540"/>
            <wp:docPr id="9" name="图片 9" descr="bb4d77472e2cb9d3d97384dbb534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b4d77472e2cb9d3d97384dbb534e55"/>
                    <pic:cNvPicPr>
                      <a:picLocks noChangeAspect="1"/>
                    </pic:cNvPicPr>
                  </pic:nvPicPr>
                  <pic:blipFill>
                    <a:blip r:embed="rId16"/>
                    <a:stretch>
                      <a:fillRect/>
                    </a:stretch>
                  </pic:blipFill>
                  <pic:spPr>
                    <a:xfrm>
                      <a:off x="0" y="0"/>
                      <a:ext cx="5264785" cy="3947160"/>
                    </a:xfrm>
                    <a:prstGeom prst="rect">
                      <a:avLst/>
                    </a:prstGeom>
                  </pic:spPr>
                </pic:pic>
              </a:graphicData>
            </a:graphic>
          </wp:inline>
        </w:drawing>
      </w:r>
    </w:p>
    <w:p w14:paraId="7BF14858">
      <w:pPr>
        <w:ind w:left="0" w:leftChars="0" w:firstLine="0" w:firstLineChars="0"/>
        <w:jc w:val="left"/>
        <w:rPr>
          <w:rFonts w:hint="eastAsia" w:ascii="黑体" w:hAnsi="黑体" w:eastAsia="黑体" w:cs="黑体"/>
          <w:sz w:val="28"/>
          <w:szCs w:val="28"/>
          <w:lang w:val="en-US" w:eastAsia="zh-CN"/>
        </w:rPr>
      </w:pPr>
      <w:r>
        <w:rPr>
          <w:rFonts w:hint="eastAsia" w:ascii="黑体" w:hAnsi="黑体" w:eastAsia="黑体" w:cs="黑体"/>
          <w:sz w:val="28"/>
          <w:szCs w:val="28"/>
          <w:vertAlign w:val="baseline"/>
        </w:rPr>
        <w:t>周庑崇天门供暖改</w:t>
      </w:r>
      <w:r>
        <w:rPr>
          <w:rFonts w:hint="eastAsia" w:ascii="黑体" w:hAnsi="黑体" w:eastAsia="黑体" w:cs="黑体"/>
          <w:sz w:val="28"/>
          <w:szCs w:val="28"/>
          <w:vertAlign w:val="baseline"/>
          <w:lang w:val="en-US" w:eastAsia="zh-CN"/>
        </w:rPr>
        <w:t>造</w:t>
      </w:r>
      <w:r>
        <w:rPr>
          <w:rFonts w:hint="eastAsia" w:ascii="华文中宋" w:hAnsi="华文中宋" w:eastAsia="华文中宋" w:cs="华文中宋"/>
          <w:sz w:val="36"/>
          <w:szCs w:val="36"/>
          <w:lang w:val="en-US" w:eastAsia="zh-CN"/>
        </w:rPr>
        <w:drawing>
          <wp:inline distT="0" distB="0" distL="114300" distR="114300">
            <wp:extent cx="5568950" cy="3585845"/>
            <wp:effectExtent l="0" t="0" r="6350" b="8255"/>
            <wp:docPr id="13" name="图片 13" descr="6fa5ba8c77424de707026ff5e1214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fa5ba8c77424de707026ff5e1214c8"/>
                    <pic:cNvPicPr>
                      <a:picLocks noChangeAspect="1"/>
                    </pic:cNvPicPr>
                  </pic:nvPicPr>
                  <pic:blipFill>
                    <a:blip r:embed="rId17"/>
                    <a:stretch>
                      <a:fillRect/>
                    </a:stretch>
                  </pic:blipFill>
                  <pic:spPr>
                    <a:xfrm>
                      <a:off x="0" y="0"/>
                      <a:ext cx="5568950" cy="3585845"/>
                    </a:xfrm>
                    <a:prstGeom prst="rect">
                      <a:avLst/>
                    </a:prstGeom>
                  </pic:spPr>
                </pic:pic>
              </a:graphicData>
            </a:graphic>
          </wp:inline>
        </w:drawing>
      </w:r>
    </w:p>
    <w:p w14:paraId="2000BC47">
      <w:pPr>
        <w:ind w:left="0" w:leftChars="0" w:firstLine="0" w:firstLineChars="0"/>
        <w:jc w:val="left"/>
        <w:rPr>
          <w:rFonts w:hint="eastAsia" w:ascii="华文中宋" w:hAnsi="华文中宋" w:eastAsia="华文中宋" w:cs="华文中宋"/>
          <w:sz w:val="36"/>
          <w:szCs w:val="36"/>
          <w:lang w:val="en-US" w:eastAsia="zh-CN"/>
        </w:rPr>
      </w:pPr>
      <w:r>
        <w:rPr>
          <w:rFonts w:hint="eastAsia" w:ascii="华文中宋" w:hAnsi="华文中宋" w:eastAsia="华文中宋" w:cs="华文中宋"/>
          <w:sz w:val="36"/>
          <w:szCs w:val="36"/>
          <w:lang w:val="en-US" w:eastAsia="zh-CN"/>
        </w:rPr>
        <w:drawing>
          <wp:inline distT="0" distB="0" distL="114300" distR="114300">
            <wp:extent cx="5683885" cy="3624580"/>
            <wp:effectExtent l="0" t="0" r="5715" b="7620"/>
            <wp:docPr id="12" name="图片 12" descr="eaf600fe032cb34c56f044629aea2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af600fe032cb34c56f044629aea2ce"/>
                    <pic:cNvPicPr>
                      <a:picLocks noChangeAspect="1"/>
                    </pic:cNvPicPr>
                  </pic:nvPicPr>
                  <pic:blipFill>
                    <a:blip r:embed="rId18"/>
                    <a:stretch>
                      <a:fillRect/>
                    </a:stretch>
                  </pic:blipFill>
                  <pic:spPr>
                    <a:xfrm>
                      <a:off x="0" y="0"/>
                      <a:ext cx="5683885" cy="3624580"/>
                    </a:xfrm>
                    <a:prstGeom prst="rect">
                      <a:avLst/>
                    </a:prstGeom>
                  </pic:spPr>
                </pic:pic>
              </a:graphicData>
            </a:graphic>
          </wp:inline>
        </w:drawing>
      </w:r>
    </w:p>
    <w:p w14:paraId="65528E9D">
      <w:pPr>
        <w:ind w:left="0" w:leftChars="0" w:firstLine="0" w:firstLineChars="0"/>
        <w:jc w:val="left"/>
        <w:rPr>
          <w:rFonts w:hint="eastAsia" w:ascii="黑体" w:hAnsi="黑体" w:eastAsia="黑体" w:cs="黑体"/>
          <w:sz w:val="28"/>
          <w:szCs w:val="28"/>
          <w:vertAlign w:val="baseline"/>
          <w:lang w:val="en-US" w:eastAsia="zh-CN"/>
        </w:rPr>
      </w:pPr>
    </w:p>
    <w:p w14:paraId="1F4DCD74">
      <w:pPr>
        <w:ind w:left="0" w:leftChars="0" w:firstLine="0" w:firstLineChars="0"/>
        <w:jc w:val="left"/>
        <w:rPr>
          <w:rFonts w:hint="eastAsia" w:ascii="黑体" w:hAnsi="黑体" w:eastAsia="黑体" w:cs="黑体"/>
          <w:sz w:val="28"/>
          <w:szCs w:val="28"/>
          <w:lang w:val="en-US" w:eastAsia="zh-CN"/>
        </w:rPr>
      </w:pPr>
      <w:r>
        <w:rPr>
          <w:rFonts w:hint="eastAsia" w:ascii="黑体" w:hAnsi="黑体" w:eastAsia="黑体" w:cs="黑体"/>
          <w:sz w:val="28"/>
          <w:szCs w:val="28"/>
          <w:vertAlign w:val="baseline"/>
          <w:lang w:val="en-US" w:eastAsia="zh-CN"/>
        </w:rPr>
        <w:t>园区入口</w:t>
      </w:r>
      <w:r>
        <w:rPr>
          <w:rFonts w:hint="eastAsia" w:ascii="黑体" w:hAnsi="黑体" w:eastAsia="黑体" w:cs="黑体"/>
          <w:sz w:val="28"/>
          <w:szCs w:val="28"/>
          <w:vertAlign w:val="baseline"/>
        </w:rPr>
        <w:t>箱涵墙面喷涂料维修</w:t>
      </w:r>
    </w:p>
    <w:p w14:paraId="1B7C9FB1">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仿宋_GB2312" w:eastAsia="仿宋_GB2312"/>
          <w:sz w:val="32"/>
          <w:szCs w:val="32"/>
          <w:highlight w:val="none"/>
          <w:lang w:val="en-US" w:eastAsia="zh-CN"/>
        </w:rPr>
      </w:pPr>
      <w:r>
        <w:rPr>
          <w:rFonts w:hint="eastAsia" w:ascii="华文中宋" w:hAnsi="华文中宋" w:eastAsia="华文中宋" w:cs="华文中宋"/>
          <w:sz w:val="36"/>
          <w:szCs w:val="36"/>
          <w:lang w:val="en-US" w:eastAsia="zh-CN"/>
        </w:rPr>
        <w:drawing>
          <wp:inline distT="0" distB="0" distL="114300" distR="114300">
            <wp:extent cx="5525770" cy="3724910"/>
            <wp:effectExtent l="0" t="0" r="11430" b="8890"/>
            <wp:docPr id="15" name="图片 15" descr="9e6c5ed4a193eee4bd413dd01378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e6c5ed4a193eee4bd413dd01378c35"/>
                    <pic:cNvPicPr>
                      <a:picLocks noChangeAspect="1"/>
                    </pic:cNvPicPr>
                  </pic:nvPicPr>
                  <pic:blipFill>
                    <a:blip r:embed="rId19"/>
                    <a:stretch>
                      <a:fillRect/>
                    </a:stretch>
                  </pic:blipFill>
                  <pic:spPr>
                    <a:xfrm>
                      <a:off x="0" y="0"/>
                      <a:ext cx="5525770" cy="3724910"/>
                    </a:xfrm>
                    <a:prstGeom prst="rect">
                      <a:avLst/>
                    </a:prstGeom>
                  </pic:spPr>
                </pic:pic>
              </a:graphicData>
            </a:graphic>
          </wp:inline>
        </w:drawing>
      </w:r>
      <w:r>
        <w:rPr>
          <w:rFonts w:hint="eastAsia" w:ascii="华文中宋" w:hAnsi="华文中宋" w:eastAsia="华文中宋" w:cs="华文中宋"/>
          <w:sz w:val="36"/>
          <w:szCs w:val="36"/>
          <w:lang w:val="en-US" w:eastAsia="zh-CN"/>
        </w:rPr>
        <w:drawing>
          <wp:inline distT="0" distB="0" distL="114300" distR="114300">
            <wp:extent cx="5574030" cy="3703320"/>
            <wp:effectExtent l="0" t="0" r="1270" b="5080"/>
            <wp:docPr id="18" name="图片 18" descr="dabec0b2847cdb895e3c5a8662734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abec0b2847cdb895e3c5a8662734c8"/>
                    <pic:cNvPicPr>
                      <a:picLocks noChangeAspect="1"/>
                    </pic:cNvPicPr>
                  </pic:nvPicPr>
                  <pic:blipFill>
                    <a:blip r:embed="rId20"/>
                    <a:stretch>
                      <a:fillRect/>
                    </a:stretch>
                  </pic:blipFill>
                  <pic:spPr>
                    <a:xfrm>
                      <a:off x="0" y="0"/>
                      <a:ext cx="5574030" cy="3703320"/>
                    </a:xfrm>
                    <a:prstGeom prst="rect">
                      <a:avLst/>
                    </a:prstGeom>
                  </pic:spPr>
                </pic:pic>
              </a:graphicData>
            </a:graphic>
          </wp:inline>
        </w:drawing>
      </w:r>
    </w:p>
    <w:sectPr>
      <w:headerReference r:id="rId5" w:type="default"/>
      <w:footerReference r:id="rId6" w:type="default"/>
      <w:pgSz w:w="11906" w:h="16838"/>
      <w:pgMar w:top="2098" w:right="1531" w:bottom="1984" w:left="1531" w:header="851" w:footer="1417" w:gutter="0"/>
      <w:pgNumType w:fmt="decimal"/>
      <w:cols w:space="0"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Helv">
    <w:altName w:val="Segoe Print"/>
    <w:panose1 w:val="020B0604020202030204"/>
    <w:charset w:val="00"/>
    <w:family w:val="swiss"/>
    <w:pitch w:val="default"/>
    <w:sig w:usb0="00000000" w:usb1="00000000" w:usb2="00000000" w:usb3="00000000" w:csb0="00000001" w:csb1="00000000"/>
  </w:font>
  <w:font w:name="New York">
    <w:altName w:val="Segoe Print"/>
    <w:panose1 w:val="02040503060506020304"/>
    <w:charset w:val="00"/>
    <w:family w:val="roman"/>
    <w:pitch w:val="default"/>
    <w:sig w:usb0="00000000" w:usb1="00000000" w:usb2="00000000" w:usb3="00000000" w:csb0="00000001" w:csb1="00000000"/>
  </w:font>
  <w:font w:name="方正小标宋简体">
    <w:panose1 w:val="03000509000000000000"/>
    <w:charset w:val="86"/>
    <w:family w:val="roma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312B8">
    <w:pPr>
      <w:pStyle w:val="11"/>
      <w:ind w:firstLine="360" w:firstLineChars="0"/>
      <w:rPr>
        <w:rFonts w:asciiTheme="minorEastAsia" w:hAnsiTheme="minorEastAsia" w:eastAsiaTheme="minorEastAsia"/>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E3556">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0"/>
  <w:bordersDoNotSurroundFooter w:val="0"/>
  <w:documentProtection w:enforcement="0"/>
  <w:defaultTabStop w:val="640"/>
  <w:drawingGridHorizontalSpacing w:val="160"/>
  <w:drawingGridVerticalSpacing w:val="43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wNTIzNzM2YzNlMmFhZWM2Yzc3ZWFmMzIyZjM0N2YifQ=="/>
  </w:docVars>
  <w:rsids>
    <w:rsidRoot w:val="00172A27"/>
    <w:rsid w:val="000005BB"/>
    <w:rsid w:val="00002749"/>
    <w:rsid w:val="00002E31"/>
    <w:rsid w:val="000031D2"/>
    <w:rsid w:val="00003D1E"/>
    <w:rsid w:val="00004F2D"/>
    <w:rsid w:val="0000530C"/>
    <w:rsid w:val="000054C9"/>
    <w:rsid w:val="00006B0E"/>
    <w:rsid w:val="00007560"/>
    <w:rsid w:val="000107AE"/>
    <w:rsid w:val="00010924"/>
    <w:rsid w:val="000111C0"/>
    <w:rsid w:val="00013F13"/>
    <w:rsid w:val="00014024"/>
    <w:rsid w:val="00016D78"/>
    <w:rsid w:val="00017C57"/>
    <w:rsid w:val="00022AB3"/>
    <w:rsid w:val="00022F92"/>
    <w:rsid w:val="00023088"/>
    <w:rsid w:val="00023349"/>
    <w:rsid w:val="00023DB8"/>
    <w:rsid w:val="0002480E"/>
    <w:rsid w:val="00025D9F"/>
    <w:rsid w:val="00026094"/>
    <w:rsid w:val="0002611B"/>
    <w:rsid w:val="0002633E"/>
    <w:rsid w:val="000265D3"/>
    <w:rsid w:val="00026E91"/>
    <w:rsid w:val="000301BE"/>
    <w:rsid w:val="00030D18"/>
    <w:rsid w:val="0003168F"/>
    <w:rsid w:val="00031A8C"/>
    <w:rsid w:val="00033AC6"/>
    <w:rsid w:val="00033E30"/>
    <w:rsid w:val="00035B05"/>
    <w:rsid w:val="0003686E"/>
    <w:rsid w:val="0003759B"/>
    <w:rsid w:val="00037B5F"/>
    <w:rsid w:val="00037E3E"/>
    <w:rsid w:val="00040993"/>
    <w:rsid w:val="00041CFB"/>
    <w:rsid w:val="00041F31"/>
    <w:rsid w:val="0004206E"/>
    <w:rsid w:val="000429A1"/>
    <w:rsid w:val="000447CE"/>
    <w:rsid w:val="000456E9"/>
    <w:rsid w:val="00046249"/>
    <w:rsid w:val="000507EE"/>
    <w:rsid w:val="0005363C"/>
    <w:rsid w:val="00054B97"/>
    <w:rsid w:val="000564F2"/>
    <w:rsid w:val="0006021D"/>
    <w:rsid w:val="00060749"/>
    <w:rsid w:val="00060FFB"/>
    <w:rsid w:val="00061A4F"/>
    <w:rsid w:val="00065A96"/>
    <w:rsid w:val="000673AE"/>
    <w:rsid w:val="0007018A"/>
    <w:rsid w:val="00071704"/>
    <w:rsid w:val="00071D85"/>
    <w:rsid w:val="00072AED"/>
    <w:rsid w:val="00072B56"/>
    <w:rsid w:val="00072DC9"/>
    <w:rsid w:val="000732D8"/>
    <w:rsid w:val="000739B6"/>
    <w:rsid w:val="000759C3"/>
    <w:rsid w:val="00075B08"/>
    <w:rsid w:val="0007704D"/>
    <w:rsid w:val="00077231"/>
    <w:rsid w:val="00080677"/>
    <w:rsid w:val="00080DAB"/>
    <w:rsid w:val="00083623"/>
    <w:rsid w:val="00083EBC"/>
    <w:rsid w:val="00084514"/>
    <w:rsid w:val="00084A32"/>
    <w:rsid w:val="000856CD"/>
    <w:rsid w:val="00086B29"/>
    <w:rsid w:val="00087452"/>
    <w:rsid w:val="00090451"/>
    <w:rsid w:val="00090907"/>
    <w:rsid w:val="00091599"/>
    <w:rsid w:val="000917D2"/>
    <w:rsid w:val="00091C33"/>
    <w:rsid w:val="00093EED"/>
    <w:rsid w:val="00093F23"/>
    <w:rsid w:val="000940BC"/>
    <w:rsid w:val="0009437B"/>
    <w:rsid w:val="00094C02"/>
    <w:rsid w:val="00097BF5"/>
    <w:rsid w:val="000A1DA2"/>
    <w:rsid w:val="000A248C"/>
    <w:rsid w:val="000A26CC"/>
    <w:rsid w:val="000A26EA"/>
    <w:rsid w:val="000A276B"/>
    <w:rsid w:val="000A2CDC"/>
    <w:rsid w:val="000A4972"/>
    <w:rsid w:val="000A6265"/>
    <w:rsid w:val="000A79F8"/>
    <w:rsid w:val="000B086A"/>
    <w:rsid w:val="000B1AFF"/>
    <w:rsid w:val="000B2BA7"/>
    <w:rsid w:val="000B3EAC"/>
    <w:rsid w:val="000B5694"/>
    <w:rsid w:val="000B6842"/>
    <w:rsid w:val="000B74F8"/>
    <w:rsid w:val="000B7C6E"/>
    <w:rsid w:val="000C00F4"/>
    <w:rsid w:val="000C03AA"/>
    <w:rsid w:val="000C26D7"/>
    <w:rsid w:val="000C321E"/>
    <w:rsid w:val="000C4B07"/>
    <w:rsid w:val="000C5F04"/>
    <w:rsid w:val="000C68D3"/>
    <w:rsid w:val="000C69F3"/>
    <w:rsid w:val="000C6DF5"/>
    <w:rsid w:val="000C7B58"/>
    <w:rsid w:val="000C7F8C"/>
    <w:rsid w:val="000D0B8A"/>
    <w:rsid w:val="000D182B"/>
    <w:rsid w:val="000D365D"/>
    <w:rsid w:val="000D38D4"/>
    <w:rsid w:val="000D3DAF"/>
    <w:rsid w:val="000D41FC"/>
    <w:rsid w:val="000D4B20"/>
    <w:rsid w:val="000D4B94"/>
    <w:rsid w:val="000D68AF"/>
    <w:rsid w:val="000D6DE1"/>
    <w:rsid w:val="000E0EF6"/>
    <w:rsid w:val="000E18D7"/>
    <w:rsid w:val="000E269E"/>
    <w:rsid w:val="000E3223"/>
    <w:rsid w:val="000E3DE5"/>
    <w:rsid w:val="000E4E23"/>
    <w:rsid w:val="000E4E7B"/>
    <w:rsid w:val="000E57BE"/>
    <w:rsid w:val="000E71FC"/>
    <w:rsid w:val="000F0402"/>
    <w:rsid w:val="000F10B3"/>
    <w:rsid w:val="000F1BA5"/>
    <w:rsid w:val="000F1EF6"/>
    <w:rsid w:val="000F2D9F"/>
    <w:rsid w:val="000F3A62"/>
    <w:rsid w:val="000F3C13"/>
    <w:rsid w:val="000F3E3D"/>
    <w:rsid w:val="000F5ACC"/>
    <w:rsid w:val="000F5FD1"/>
    <w:rsid w:val="0010083D"/>
    <w:rsid w:val="001009F6"/>
    <w:rsid w:val="00101BF5"/>
    <w:rsid w:val="00102BD0"/>
    <w:rsid w:val="001045EC"/>
    <w:rsid w:val="00107342"/>
    <w:rsid w:val="0010765A"/>
    <w:rsid w:val="00110B3B"/>
    <w:rsid w:val="00110C55"/>
    <w:rsid w:val="001111DF"/>
    <w:rsid w:val="0011139A"/>
    <w:rsid w:val="00111443"/>
    <w:rsid w:val="00111513"/>
    <w:rsid w:val="00113AFC"/>
    <w:rsid w:val="00113E58"/>
    <w:rsid w:val="00115875"/>
    <w:rsid w:val="00116A26"/>
    <w:rsid w:val="00120C3E"/>
    <w:rsid w:val="00123CEE"/>
    <w:rsid w:val="00123D4F"/>
    <w:rsid w:val="001244B2"/>
    <w:rsid w:val="00126B36"/>
    <w:rsid w:val="00127280"/>
    <w:rsid w:val="0012742D"/>
    <w:rsid w:val="001309D8"/>
    <w:rsid w:val="001311DB"/>
    <w:rsid w:val="001325E7"/>
    <w:rsid w:val="0013309E"/>
    <w:rsid w:val="0013374D"/>
    <w:rsid w:val="00133CE9"/>
    <w:rsid w:val="00134294"/>
    <w:rsid w:val="00135179"/>
    <w:rsid w:val="001352F6"/>
    <w:rsid w:val="00136195"/>
    <w:rsid w:val="0013626A"/>
    <w:rsid w:val="001378E4"/>
    <w:rsid w:val="0014100B"/>
    <w:rsid w:val="00141BD2"/>
    <w:rsid w:val="0014270E"/>
    <w:rsid w:val="00142C51"/>
    <w:rsid w:val="00143777"/>
    <w:rsid w:val="0014390E"/>
    <w:rsid w:val="00144634"/>
    <w:rsid w:val="00145BB2"/>
    <w:rsid w:val="001464BC"/>
    <w:rsid w:val="00146A55"/>
    <w:rsid w:val="00147569"/>
    <w:rsid w:val="00147985"/>
    <w:rsid w:val="00147B51"/>
    <w:rsid w:val="00147BA6"/>
    <w:rsid w:val="00150DCA"/>
    <w:rsid w:val="001523CB"/>
    <w:rsid w:val="001528D7"/>
    <w:rsid w:val="00152929"/>
    <w:rsid w:val="00152C9D"/>
    <w:rsid w:val="00152DB4"/>
    <w:rsid w:val="001550AA"/>
    <w:rsid w:val="00155A7B"/>
    <w:rsid w:val="00157136"/>
    <w:rsid w:val="00157629"/>
    <w:rsid w:val="00160C03"/>
    <w:rsid w:val="00160EBD"/>
    <w:rsid w:val="00162040"/>
    <w:rsid w:val="001626CD"/>
    <w:rsid w:val="0016333E"/>
    <w:rsid w:val="00163786"/>
    <w:rsid w:val="0016425D"/>
    <w:rsid w:val="00165268"/>
    <w:rsid w:val="00166FBB"/>
    <w:rsid w:val="0016715E"/>
    <w:rsid w:val="00170C46"/>
    <w:rsid w:val="0017270C"/>
    <w:rsid w:val="00173AF2"/>
    <w:rsid w:val="00174471"/>
    <w:rsid w:val="0017521F"/>
    <w:rsid w:val="001759AB"/>
    <w:rsid w:val="00177AA1"/>
    <w:rsid w:val="00183547"/>
    <w:rsid w:val="00184486"/>
    <w:rsid w:val="001859DA"/>
    <w:rsid w:val="001863C2"/>
    <w:rsid w:val="0018690E"/>
    <w:rsid w:val="00186CD8"/>
    <w:rsid w:val="00190A65"/>
    <w:rsid w:val="00191FA0"/>
    <w:rsid w:val="0019251E"/>
    <w:rsid w:val="00194C41"/>
    <w:rsid w:val="00194CD0"/>
    <w:rsid w:val="00194CF3"/>
    <w:rsid w:val="00195E57"/>
    <w:rsid w:val="001A0298"/>
    <w:rsid w:val="001A09C0"/>
    <w:rsid w:val="001A2785"/>
    <w:rsid w:val="001A449B"/>
    <w:rsid w:val="001A4749"/>
    <w:rsid w:val="001A4C72"/>
    <w:rsid w:val="001A4D8C"/>
    <w:rsid w:val="001A4F45"/>
    <w:rsid w:val="001A5119"/>
    <w:rsid w:val="001A58A9"/>
    <w:rsid w:val="001A6BB6"/>
    <w:rsid w:val="001A6E0D"/>
    <w:rsid w:val="001A70D5"/>
    <w:rsid w:val="001A772F"/>
    <w:rsid w:val="001A7764"/>
    <w:rsid w:val="001A7DF4"/>
    <w:rsid w:val="001B0ADF"/>
    <w:rsid w:val="001B1833"/>
    <w:rsid w:val="001B1AA1"/>
    <w:rsid w:val="001B2F28"/>
    <w:rsid w:val="001B3396"/>
    <w:rsid w:val="001B3AF7"/>
    <w:rsid w:val="001B49F2"/>
    <w:rsid w:val="001B6BA9"/>
    <w:rsid w:val="001C058C"/>
    <w:rsid w:val="001C066D"/>
    <w:rsid w:val="001C08E9"/>
    <w:rsid w:val="001C09D2"/>
    <w:rsid w:val="001C44AD"/>
    <w:rsid w:val="001C4D1E"/>
    <w:rsid w:val="001C5DFF"/>
    <w:rsid w:val="001C5E5C"/>
    <w:rsid w:val="001C69BE"/>
    <w:rsid w:val="001C6B6B"/>
    <w:rsid w:val="001C7150"/>
    <w:rsid w:val="001C78B2"/>
    <w:rsid w:val="001C7E65"/>
    <w:rsid w:val="001D0D50"/>
    <w:rsid w:val="001D2565"/>
    <w:rsid w:val="001D36D8"/>
    <w:rsid w:val="001D37A3"/>
    <w:rsid w:val="001D42E3"/>
    <w:rsid w:val="001D4429"/>
    <w:rsid w:val="001D4CA7"/>
    <w:rsid w:val="001D5C42"/>
    <w:rsid w:val="001D63DA"/>
    <w:rsid w:val="001D75FD"/>
    <w:rsid w:val="001E3320"/>
    <w:rsid w:val="001E365A"/>
    <w:rsid w:val="001E4C71"/>
    <w:rsid w:val="001E563E"/>
    <w:rsid w:val="001E5E30"/>
    <w:rsid w:val="001F064C"/>
    <w:rsid w:val="001F184F"/>
    <w:rsid w:val="001F1DFD"/>
    <w:rsid w:val="001F265F"/>
    <w:rsid w:val="001F2672"/>
    <w:rsid w:val="001F2CFE"/>
    <w:rsid w:val="001F45C5"/>
    <w:rsid w:val="001F4DC1"/>
    <w:rsid w:val="001F6AC1"/>
    <w:rsid w:val="001F7019"/>
    <w:rsid w:val="001F789C"/>
    <w:rsid w:val="001F7F07"/>
    <w:rsid w:val="00203597"/>
    <w:rsid w:val="0020367B"/>
    <w:rsid w:val="00203975"/>
    <w:rsid w:val="00203F6E"/>
    <w:rsid w:val="00204033"/>
    <w:rsid w:val="00204672"/>
    <w:rsid w:val="00204700"/>
    <w:rsid w:val="00204BAC"/>
    <w:rsid w:val="002051AB"/>
    <w:rsid w:val="002057C4"/>
    <w:rsid w:val="00205AAE"/>
    <w:rsid w:val="002060BC"/>
    <w:rsid w:val="0021175D"/>
    <w:rsid w:val="00212B13"/>
    <w:rsid w:val="00213995"/>
    <w:rsid w:val="00214211"/>
    <w:rsid w:val="0021485F"/>
    <w:rsid w:val="00214918"/>
    <w:rsid w:val="00214E2E"/>
    <w:rsid w:val="00216419"/>
    <w:rsid w:val="0021666C"/>
    <w:rsid w:val="00216822"/>
    <w:rsid w:val="0021720D"/>
    <w:rsid w:val="002172A4"/>
    <w:rsid w:val="00217680"/>
    <w:rsid w:val="00217828"/>
    <w:rsid w:val="00220CCE"/>
    <w:rsid w:val="0022149F"/>
    <w:rsid w:val="002232B0"/>
    <w:rsid w:val="00224589"/>
    <w:rsid w:val="002247E3"/>
    <w:rsid w:val="002255C9"/>
    <w:rsid w:val="00225A19"/>
    <w:rsid w:val="00226AB1"/>
    <w:rsid w:val="00227256"/>
    <w:rsid w:val="0022739B"/>
    <w:rsid w:val="00230059"/>
    <w:rsid w:val="00231218"/>
    <w:rsid w:val="002315B3"/>
    <w:rsid w:val="00231AFE"/>
    <w:rsid w:val="002404D2"/>
    <w:rsid w:val="00241094"/>
    <w:rsid w:val="002418DC"/>
    <w:rsid w:val="0024229B"/>
    <w:rsid w:val="002424FC"/>
    <w:rsid w:val="002426A5"/>
    <w:rsid w:val="002445D8"/>
    <w:rsid w:val="002448C1"/>
    <w:rsid w:val="00244AE6"/>
    <w:rsid w:val="00246898"/>
    <w:rsid w:val="00246977"/>
    <w:rsid w:val="00247317"/>
    <w:rsid w:val="00247889"/>
    <w:rsid w:val="00247A3F"/>
    <w:rsid w:val="00247C6A"/>
    <w:rsid w:val="00250271"/>
    <w:rsid w:val="00250E63"/>
    <w:rsid w:val="002510ED"/>
    <w:rsid w:val="002521CD"/>
    <w:rsid w:val="002530AF"/>
    <w:rsid w:val="00253471"/>
    <w:rsid w:val="002539CC"/>
    <w:rsid w:val="00253F15"/>
    <w:rsid w:val="00254675"/>
    <w:rsid w:val="0025498F"/>
    <w:rsid w:val="00254E6F"/>
    <w:rsid w:val="00255E60"/>
    <w:rsid w:val="002568E3"/>
    <w:rsid w:val="002602D7"/>
    <w:rsid w:val="0026055C"/>
    <w:rsid w:val="002610F9"/>
    <w:rsid w:val="002626BF"/>
    <w:rsid w:val="002640F0"/>
    <w:rsid w:val="00264B34"/>
    <w:rsid w:val="00264FED"/>
    <w:rsid w:val="00265109"/>
    <w:rsid w:val="0026553E"/>
    <w:rsid w:val="00266CFB"/>
    <w:rsid w:val="00267155"/>
    <w:rsid w:val="00267B2A"/>
    <w:rsid w:val="00270321"/>
    <w:rsid w:val="0027081E"/>
    <w:rsid w:val="00270B68"/>
    <w:rsid w:val="00271A90"/>
    <w:rsid w:val="00273E38"/>
    <w:rsid w:val="0027536E"/>
    <w:rsid w:val="002754B4"/>
    <w:rsid w:val="00275614"/>
    <w:rsid w:val="0027753C"/>
    <w:rsid w:val="0028138F"/>
    <w:rsid w:val="002818F9"/>
    <w:rsid w:val="002825ED"/>
    <w:rsid w:val="00282858"/>
    <w:rsid w:val="00282EC2"/>
    <w:rsid w:val="00283D91"/>
    <w:rsid w:val="002850FF"/>
    <w:rsid w:val="00285641"/>
    <w:rsid w:val="00285673"/>
    <w:rsid w:val="002862EF"/>
    <w:rsid w:val="002909C4"/>
    <w:rsid w:val="00290BAF"/>
    <w:rsid w:val="00290D2B"/>
    <w:rsid w:val="00290D90"/>
    <w:rsid w:val="00290DFF"/>
    <w:rsid w:val="002911FB"/>
    <w:rsid w:val="00291884"/>
    <w:rsid w:val="00291CE8"/>
    <w:rsid w:val="002922AF"/>
    <w:rsid w:val="00292680"/>
    <w:rsid w:val="00293F13"/>
    <w:rsid w:val="00294070"/>
    <w:rsid w:val="00295A2F"/>
    <w:rsid w:val="00295F3B"/>
    <w:rsid w:val="0029646F"/>
    <w:rsid w:val="002968FC"/>
    <w:rsid w:val="00296E6D"/>
    <w:rsid w:val="002970CC"/>
    <w:rsid w:val="00297676"/>
    <w:rsid w:val="002A079C"/>
    <w:rsid w:val="002A1D95"/>
    <w:rsid w:val="002A26F7"/>
    <w:rsid w:val="002A3321"/>
    <w:rsid w:val="002A3939"/>
    <w:rsid w:val="002A3B15"/>
    <w:rsid w:val="002A3B8F"/>
    <w:rsid w:val="002A4B3E"/>
    <w:rsid w:val="002A4CD2"/>
    <w:rsid w:val="002A5663"/>
    <w:rsid w:val="002A696C"/>
    <w:rsid w:val="002B03CF"/>
    <w:rsid w:val="002B12A7"/>
    <w:rsid w:val="002B1419"/>
    <w:rsid w:val="002B155C"/>
    <w:rsid w:val="002B1E6C"/>
    <w:rsid w:val="002B23E2"/>
    <w:rsid w:val="002B2716"/>
    <w:rsid w:val="002B35C7"/>
    <w:rsid w:val="002B399E"/>
    <w:rsid w:val="002B428F"/>
    <w:rsid w:val="002B4B13"/>
    <w:rsid w:val="002B4BA0"/>
    <w:rsid w:val="002B4BE0"/>
    <w:rsid w:val="002B4EEC"/>
    <w:rsid w:val="002B5123"/>
    <w:rsid w:val="002B554D"/>
    <w:rsid w:val="002B68D4"/>
    <w:rsid w:val="002B6A78"/>
    <w:rsid w:val="002B75DF"/>
    <w:rsid w:val="002B7B92"/>
    <w:rsid w:val="002C001C"/>
    <w:rsid w:val="002C044F"/>
    <w:rsid w:val="002C09D6"/>
    <w:rsid w:val="002C18D1"/>
    <w:rsid w:val="002C29FA"/>
    <w:rsid w:val="002C3532"/>
    <w:rsid w:val="002C430E"/>
    <w:rsid w:val="002C4FC0"/>
    <w:rsid w:val="002C5359"/>
    <w:rsid w:val="002C6D6B"/>
    <w:rsid w:val="002C7271"/>
    <w:rsid w:val="002C7C93"/>
    <w:rsid w:val="002C7F17"/>
    <w:rsid w:val="002D0CAE"/>
    <w:rsid w:val="002D1146"/>
    <w:rsid w:val="002D252A"/>
    <w:rsid w:val="002D2650"/>
    <w:rsid w:val="002D3834"/>
    <w:rsid w:val="002D4B16"/>
    <w:rsid w:val="002D6014"/>
    <w:rsid w:val="002D6082"/>
    <w:rsid w:val="002D71DE"/>
    <w:rsid w:val="002E0E94"/>
    <w:rsid w:val="002E2542"/>
    <w:rsid w:val="002E5668"/>
    <w:rsid w:val="002E5B9D"/>
    <w:rsid w:val="002E5BAB"/>
    <w:rsid w:val="002E634A"/>
    <w:rsid w:val="002E6495"/>
    <w:rsid w:val="002E6513"/>
    <w:rsid w:val="002E677C"/>
    <w:rsid w:val="002E7366"/>
    <w:rsid w:val="002E7832"/>
    <w:rsid w:val="002F0E30"/>
    <w:rsid w:val="002F20AA"/>
    <w:rsid w:val="002F33E2"/>
    <w:rsid w:val="002F376B"/>
    <w:rsid w:val="002F3E6B"/>
    <w:rsid w:val="002F408F"/>
    <w:rsid w:val="002F4DCF"/>
    <w:rsid w:val="002F62C6"/>
    <w:rsid w:val="002F779C"/>
    <w:rsid w:val="002F79A4"/>
    <w:rsid w:val="003007AA"/>
    <w:rsid w:val="00300B27"/>
    <w:rsid w:val="00302622"/>
    <w:rsid w:val="00304671"/>
    <w:rsid w:val="003048A4"/>
    <w:rsid w:val="00304A82"/>
    <w:rsid w:val="00305026"/>
    <w:rsid w:val="0030586A"/>
    <w:rsid w:val="003069B5"/>
    <w:rsid w:val="0031174D"/>
    <w:rsid w:val="00312A79"/>
    <w:rsid w:val="0031387A"/>
    <w:rsid w:val="003143AB"/>
    <w:rsid w:val="00314800"/>
    <w:rsid w:val="00314915"/>
    <w:rsid w:val="0031671D"/>
    <w:rsid w:val="00316F7B"/>
    <w:rsid w:val="003175AF"/>
    <w:rsid w:val="00320B39"/>
    <w:rsid w:val="00321721"/>
    <w:rsid w:val="00322790"/>
    <w:rsid w:val="00322E41"/>
    <w:rsid w:val="00323912"/>
    <w:rsid w:val="0032400E"/>
    <w:rsid w:val="00325CEF"/>
    <w:rsid w:val="003266B1"/>
    <w:rsid w:val="00326B69"/>
    <w:rsid w:val="00327B95"/>
    <w:rsid w:val="003303E8"/>
    <w:rsid w:val="00332479"/>
    <w:rsid w:val="00333634"/>
    <w:rsid w:val="00334069"/>
    <w:rsid w:val="00335E2F"/>
    <w:rsid w:val="0034050C"/>
    <w:rsid w:val="00340A4E"/>
    <w:rsid w:val="0034146E"/>
    <w:rsid w:val="00341553"/>
    <w:rsid w:val="003446AE"/>
    <w:rsid w:val="00345F2F"/>
    <w:rsid w:val="00347566"/>
    <w:rsid w:val="00347FAF"/>
    <w:rsid w:val="00350AE2"/>
    <w:rsid w:val="00351951"/>
    <w:rsid w:val="00351E82"/>
    <w:rsid w:val="0035249A"/>
    <w:rsid w:val="003524C4"/>
    <w:rsid w:val="00353998"/>
    <w:rsid w:val="00353E7E"/>
    <w:rsid w:val="00355E27"/>
    <w:rsid w:val="0035601F"/>
    <w:rsid w:val="0035633A"/>
    <w:rsid w:val="003571E0"/>
    <w:rsid w:val="00357715"/>
    <w:rsid w:val="003577A2"/>
    <w:rsid w:val="00357E89"/>
    <w:rsid w:val="003600C1"/>
    <w:rsid w:val="003602D9"/>
    <w:rsid w:val="00360EF6"/>
    <w:rsid w:val="00361123"/>
    <w:rsid w:val="00361504"/>
    <w:rsid w:val="00364AC7"/>
    <w:rsid w:val="00365400"/>
    <w:rsid w:val="00367547"/>
    <w:rsid w:val="00370662"/>
    <w:rsid w:val="00370CBB"/>
    <w:rsid w:val="00375C12"/>
    <w:rsid w:val="0037631F"/>
    <w:rsid w:val="00380449"/>
    <w:rsid w:val="003806C8"/>
    <w:rsid w:val="003828B5"/>
    <w:rsid w:val="00383319"/>
    <w:rsid w:val="00384172"/>
    <w:rsid w:val="003842CC"/>
    <w:rsid w:val="00384F75"/>
    <w:rsid w:val="00385BED"/>
    <w:rsid w:val="00385CD1"/>
    <w:rsid w:val="00385CE4"/>
    <w:rsid w:val="003867B2"/>
    <w:rsid w:val="003867EF"/>
    <w:rsid w:val="00386984"/>
    <w:rsid w:val="00386CCF"/>
    <w:rsid w:val="00386F6D"/>
    <w:rsid w:val="003874AA"/>
    <w:rsid w:val="003906F5"/>
    <w:rsid w:val="00390BBB"/>
    <w:rsid w:val="00390F0C"/>
    <w:rsid w:val="003914F5"/>
    <w:rsid w:val="003915C1"/>
    <w:rsid w:val="00391694"/>
    <w:rsid w:val="003920FC"/>
    <w:rsid w:val="00392EEB"/>
    <w:rsid w:val="00393757"/>
    <w:rsid w:val="003961FC"/>
    <w:rsid w:val="0039686B"/>
    <w:rsid w:val="00397826"/>
    <w:rsid w:val="00397F18"/>
    <w:rsid w:val="003A0164"/>
    <w:rsid w:val="003A05F8"/>
    <w:rsid w:val="003A1DBE"/>
    <w:rsid w:val="003A1E26"/>
    <w:rsid w:val="003A20D9"/>
    <w:rsid w:val="003A2E0A"/>
    <w:rsid w:val="003A3E1A"/>
    <w:rsid w:val="003A3F0E"/>
    <w:rsid w:val="003A5525"/>
    <w:rsid w:val="003A6340"/>
    <w:rsid w:val="003B0673"/>
    <w:rsid w:val="003B0A41"/>
    <w:rsid w:val="003B0B79"/>
    <w:rsid w:val="003B0C51"/>
    <w:rsid w:val="003B0F3F"/>
    <w:rsid w:val="003B19C5"/>
    <w:rsid w:val="003B24FD"/>
    <w:rsid w:val="003B26B8"/>
    <w:rsid w:val="003B4C4A"/>
    <w:rsid w:val="003B5572"/>
    <w:rsid w:val="003B5BFE"/>
    <w:rsid w:val="003B7E5A"/>
    <w:rsid w:val="003C232F"/>
    <w:rsid w:val="003C2D8C"/>
    <w:rsid w:val="003C2F07"/>
    <w:rsid w:val="003C364B"/>
    <w:rsid w:val="003C4802"/>
    <w:rsid w:val="003C4882"/>
    <w:rsid w:val="003D02FA"/>
    <w:rsid w:val="003D35CB"/>
    <w:rsid w:val="003D36E1"/>
    <w:rsid w:val="003D4230"/>
    <w:rsid w:val="003E0EB6"/>
    <w:rsid w:val="003E19FC"/>
    <w:rsid w:val="003E1F90"/>
    <w:rsid w:val="003E2F7F"/>
    <w:rsid w:val="003E6682"/>
    <w:rsid w:val="003F00C4"/>
    <w:rsid w:val="003F0168"/>
    <w:rsid w:val="003F1137"/>
    <w:rsid w:val="003F1BB8"/>
    <w:rsid w:val="003F2433"/>
    <w:rsid w:val="003F29C1"/>
    <w:rsid w:val="003F314F"/>
    <w:rsid w:val="003F338A"/>
    <w:rsid w:val="003F43CE"/>
    <w:rsid w:val="003F548F"/>
    <w:rsid w:val="003F5C95"/>
    <w:rsid w:val="003F7149"/>
    <w:rsid w:val="004002E6"/>
    <w:rsid w:val="00400350"/>
    <w:rsid w:val="00400F60"/>
    <w:rsid w:val="0040221D"/>
    <w:rsid w:val="00403409"/>
    <w:rsid w:val="0040356B"/>
    <w:rsid w:val="0040444B"/>
    <w:rsid w:val="00404768"/>
    <w:rsid w:val="004047CE"/>
    <w:rsid w:val="00404EA0"/>
    <w:rsid w:val="004056D4"/>
    <w:rsid w:val="0040607E"/>
    <w:rsid w:val="00407966"/>
    <w:rsid w:val="0041035B"/>
    <w:rsid w:val="00410637"/>
    <w:rsid w:val="00410D92"/>
    <w:rsid w:val="00413152"/>
    <w:rsid w:val="00413450"/>
    <w:rsid w:val="00413901"/>
    <w:rsid w:val="00413C3E"/>
    <w:rsid w:val="00416146"/>
    <w:rsid w:val="00416970"/>
    <w:rsid w:val="00416F1B"/>
    <w:rsid w:val="00417A01"/>
    <w:rsid w:val="00422A43"/>
    <w:rsid w:val="00422A4D"/>
    <w:rsid w:val="00422AD1"/>
    <w:rsid w:val="00422DE4"/>
    <w:rsid w:val="00423851"/>
    <w:rsid w:val="004256FE"/>
    <w:rsid w:val="00426AB5"/>
    <w:rsid w:val="00426C44"/>
    <w:rsid w:val="00430430"/>
    <w:rsid w:val="00430490"/>
    <w:rsid w:val="00431480"/>
    <w:rsid w:val="00431DA8"/>
    <w:rsid w:val="00431E56"/>
    <w:rsid w:val="00432CE1"/>
    <w:rsid w:val="00432D93"/>
    <w:rsid w:val="00432FFA"/>
    <w:rsid w:val="004338FE"/>
    <w:rsid w:val="004348DF"/>
    <w:rsid w:val="00435E2A"/>
    <w:rsid w:val="00436490"/>
    <w:rsid w:val="0043664C"/>
    <w:rsid w:val="00437195"/>
    <w:rsid w:val="004374F3"/>
    <w:rsid w:val="00437D34"/>
    <w:rsid w:val="00441AEF"/>
    <w:rsid w:val="00442E10"/>
    <w:rsid w:val="00443541"/>
    <w:rsid w:val="004444ED"/>
    <w:rsid w:val="00444D7E"/>
    <w:rsid w:val="00450640"/>
    <w:rsid w:val="00452054"/>
    <w:rsid w:val="00452C0F"/>
    <w:rsid w:val="004547D8"/>
    <w:rsid w:val="00455D06"/>
    <w:rsid w:val="00457578"/>
    <w:rsid w:val="00460672"/>
    <w:rsid w:val="00460F6B"/>
    <w:rsid w:val="00461A63"/>
    <w:rsid w:val="00462D1F"/>
    <w:rsid w:val="004631E8"/>
    <w:rsid w:val="0046539A"/>
    <w:rsid w:val="00466EB2"/>
    <w:rsid w:val="00467D4E"/>
    <w:rsid w:val="00470008"/>
    <w:rsid w:val="004700BA"/>
    <w:rsid w:val="004701D8"/>
    <w:rsid w:val="00471794"/>
    <w:rsid w:val="00472C85"/>
    <w:rsid w:val="004745F6"/>
    <w:rsid w:val="0047511D"/>
    <w:rsid w:val="004756F5"/>
    <w:rsid w:val="00475CE3"/>
    <w:rsid w:val="0047609C"/>
    <w:rsid w:val="004773B2"/>
    <w:rsid w:val="00477902"/>
    <w:rsid w:val="004779E5"/>
    <w:rsid w:val="0048746C"/>
    <w:rsid w:val="00487681"/>
    <w:rsid w:val="00490763"/>
    <w:rsid w:val="004916E6"/>
    <w:rsid w:val="00491759"/>
    <w:rsid w:val="00491FBE"/>
    <w:rsid w:val="0049294A"/>
    <w:rsid w:val="00493640"/>
    <w:rsid w:val="004937D3"/>
    <w:rsid w:val="0049383B"/>
    <w:rsid w:val="0049472D"/>
    <w:rsid w:val="004975AA"/>
    <w:rsid w:val="00497952"/>
    <w:rsid w:val="004A034B"/>
    <w:rsid w:val="004A12DD"/>
    <w:rsid w:val="004A175F"/>
    <w:rsid w:val="004A197C"/>
    <w:rsid w:val="004A3491"/>
    <w:rsid w:val="004A3531"/>
    <w:rsid w:val="004A521D"/>
    <w:rsid w:val="004A5B68"/>
    <w:rsid w:val="004A695E"/>
    <w:rsid w:val="004A6DB1"/>
    <w:rsid w:val="004B0059"/>
    <w:rsid w:val="004B1153"/>
    <w:rsid w:val="004B2BE1"/>
    <w:rsid w:val="004B2E57"/>
    <w:rsid w:val="004B48B7"/>
    <w:rsid w:val="004B5AEE"/>
    <w:rsid w:val="004B6E72"/>
    <w:rsid w:val="004B724F"/>
    <w:rsid w:val="004C0B51"/>
    <w:rsid w:val="004C2039"/>
    <w:rsid w:val="004C2552"/>
    <w:rsid w:val="004C27C7"/>
    <w:rsid w:val="004C411C"/>
    <w:rsid w:val="004C5799"/>
    <w:rsid w:val="004C68C1"/>
    <w:rsid w:val="004C6E88"/>
    <w:rsid w:val="004C7F49"/>
    <w:rsid w:val="004D0292"/>
    <w:rsid w:val="004D0822"/>
    <w:rsid w:val="004D5F80"/>
    <w:rsid w:val="004D6B3C"/>
    <w:rsid w:val="004D73FA"/>
    <w:rsid w:val="004E26AD"/>
    <w:rsid w:val="004E388F"/>
    <w:rsid w:val="004E397E"/>
    <w:rsid w:val="004E3C92"/>
    <w:rsid w:val="004E48D9"/>
    <w:rsid w:val="004E5139"/>
    <w:rsid w:val="004E5EE1"/>
    <w:rsid w:val="004E726F"/>
    <w:rsid w:val="004E7495"/>
    <w:rsid w:val="004F09C9"/>
    <w:rsid w:val="004F17F7"/>
    <w:rsid w:val="004F18B0"/>
    <w:rsid w:val="004F37D6"/>
    <w:rsid w:val="004F3F70"/>
    <w:rsid w:val="004F6124"/>
    <w:rsid w:val="0050098B"/>
    <w:rsid w:val="00500A00"/>
    <w:rsid w:val="00502A77"/>
    <w:rsid w:val="005032BA"/>
    <w:rsid w:val="005052F9"/>
    <w:rsid w:val="00505AA4"/>
    <w:rsid w:val="00510A3F"/>
    <w:rsid w:val="00511A76"/>
    <w:rsid w:val="00513F2B"/>
    <w:rsid w:val="005145FC"/>
    <w:rsid w:val="0051529D"/>
    <w:rsid w:val="0052087B"/>
    <w:rsid w:val="00521176"/>
    <w:rsid w:val="00521253"/>
    <w:rsid w:val="0052263A"/>
    <w:rsid w:val="005277AC"/>
    <w:rsid w:val="0053077B"/>
    <w:rsid w:val="00533AD0"/>
    <w:rsid w:val="00534730"/>
    <w:rsid w:val="00534DE6"/>
    <w:rsid w:val="0054115E"/>
    <w:rsid w:val="00544BFD"/>
    <w:rsid w:val="00544C50"/>
    <w:rsid w:val="00546214"/>
    <w:rsid w:val="00546A49"/>
    <w:rsid w:val="005475FF"/>
    <w:rsid w:val="00547DB8"/>
    <w:rsid w:val="005500D8"/>
    <w:rsid w:val="00550257"/>
    <w:rsid w:val="0055161B"/>
    <w:rsid w:val="005520BE"/>
    <w:rsid w:val="00554B25"/>
    <w:rsid w:val="00554B39"/>
    <w:rsid w:val="00554F01"/>
    <w:rsid w:val="00556D56"/>
    <w:rsid w:val="00556DB6"/>
    <w:rsid w:val="00556FAF"/>
    <w:rsid w:val="00560F50"/>
    <w:rsid w:val="00561939"/>
    <w:rsid w:val="005633E2"/>
    <w:rsid w:val="00563A5F"/>
    <w:rsid w:val="00566ABD"/>
    <w:rsid w:val="005713B7"/>
    <w:rsid w:val="00571F3D"/>
    <w:rsid w:val="00572B03"/>
    <w:rsid w:val="00572EA3"/>
    <w:rsid w:val="00572ECA"/>
    <w:rsid w:val="00573164"/>
    <w:rsid w:val="005742C6"/>
    <w:rsid w:val="00575AD3"/>
    <w:rsid w:val="00576003"/>
    <w:rsid w:val="0057632B"/>
    <w:rsid w:val="005764C4"/>
    <w:rsid w:val="00576613"/>
    <w:rsid w:val="005768EF"/>
    <w:rsid w:val="0057779B"/>
    <w:rsid w:val="00581747"/>
    <w:rsid w:val="00582DEE"/>
    <w:rsid w:val="00582F7E"/>
    <w:rsid w:val="0058324E"/>
    <w:rsid w:val="0058384E"/>
    <w:rsid w:val="00584739"/>
    <w:rsid w:val="00585109"/>
    <w:rsid w:val="00585190"/>
    <w:rsid w:val="00586169"/>
    <w:rsid w:val="00587D09"/>
    <w:rsid w:val="00587E56"/>
    <w:rsid w:val="00591962"/>
    <w:rsid w:val="00591A91"/>
    <w:rsid w:val="00591C10"/>
    <w:rsid w:val="005928F0"/>
    <w:rsid w:val="0059335E"/>
    <w:rsid w:val="005944B0"/>
    <w:rsid w:val="0059571F"/>
    <w:rsid w:val="005978F7"/>
    <w:rsid w:val="005A1A35"/>
    <w:rsid w:val="005A23AA"/>
    <w:rsid w:val="005A2A4A"/>
    <w:rsid w:val="005A48A4"/>
    <w:rsid w:val="005A7B8B"/>
    <w:rsid w:val="005A7CBB"/>
    <w:rsid w:val="005B2E38"/>
    <w:rsid w:val="005B4185"/>
    <w:rsid w:val="005C0CCB"/>
    <w:rsid w:val="005C1898"/>
    <w:rsid w:val="005C1EEE"/>
    <w:rsid w:val="005C4135"/>
    <w:rsid w:val="005C41D9"/>
    <w:rsid w:val="005C6F6A"/>
    <w:rsid w:val="005C77D4"/>
    <w:rsid w:val="005D12B3"/>
    <w:rsid w:val="005D2679"/>
    <w:rsid w:val="005D29D2"/>
    <w:rsid w:val="005D2CCF"/>
    <w:rsid w:val="005D3C41"/>
    <w:rsid w:val="005D4FEF"/>
    <w:rsid w:val="005D6274"/>
    <w:rsid w:val="005D6AC6"/>
    <w:rsid w:val="005D6E7D"/>
    <w:rsid w:val="005D7665"/>
    <w:rsid w:val="005E0257"/>
    <w:rsid w:val="005E208C"/>
    <w:rsid w:val="005E2671"/>
    <w:rsid w:val="005E309E"/>
    <w:rsid w:val="005E3885"/>
    <w:rsid w:val="005E3C73"/>
    <w:rsid w:val="005E3E85"/>
    <w:rsid w:val="005E5390"/>
    <w:rsid w:val="005F067E"/>
    <w:rsid w:val="005F0A8F"/>
    <w:rsid w:val="005F1696"/>
    <w:rsid w:val="005F26FA"/>
    <w:rsid w:val="005F3F65"/>
    <w:rsid w:val="005F4017"/>
    <w:rsid w:val="005F4F3C"/>
    <w:rsid w:val="005F52F7"/>
    <w:rsid w:val="005F6AFD"/>
    <w:rsid w:val="005F72B2"/>
    <w:rsid w:val="005F7B23"/>
    <w:rsid w:val="005F7C7C"/>
    <w:rsid w:val="0060041B"/>
    <w:rsid w:val="006009CF"/>
    <w:rsid w:val="006012E3"/>
    <w:rsid w:val="006014AB"/>
    <w:rsid w:val="006018BE"/>
    <w:rsid w:val="006020F5"/>
    <w:rsid w:val="00603301"/>
    <w:rsid w:val="0060431B"/>
    <w:rsid w:val="00605C0D"/>
    <w:rsid w:val="00610DBB"/>
    <w:rsid w:val="006128C3"/>
    <w:rsid w:val="00612B48"/>
    <w:rsid w:val="00612FB1"/>
    <w:rsid w:val="00613D8E"/>
    <w:rsid w:val="00614CC6"/>
    <w:rsid w:val="00615071"/>
    <w:rsid w:val="006161A5"/>
    <w:rsid w:val="00616C77"/>
    <w:rsid w:val="006177F3"/>
    <w:rsid w:val="00617F54"/>
    <w:rsid w:val="00620015"/>
    <w:rsid w:val="006203E9"/>
    <w:rsid w:val="00620D22"/>
    <w:rsid w:val="006213F4"/>
    <w:rsid w:val="00621E4E"/>
    <w:rsid w:val="006220BB"/>
    <w:rsid w:val="00623F38"/>
    <w:rsid w:val="00624A55"/>
    <w:rsid w:val="00625101"/>
    <w:rsid w:val="006310D8"/>
    <w:rsid w:val="00631DBD"/>
    <w:rsid w:val="0063351E"/>
    <w:rsid w:val="0063494C"/>
    <w:rsid w:val="00635982"/>
    <w:rsid w:val="006362F9"/>
    <w:rsid w:val="00640AED"/>
    <w:rsid w:val="00642575"/>
    <w:rsid w:val="006436E3"/>
    <w:rsid w:val="00644C58"/>
    <w:rsid w:val="00644C8B"/>
    <w:rsid w:val="006462F1"/>
    <w:rsid w:val="006471BF"/>
    <w:rsid w:val="006610AE"/>
    <w:rsid w:val="006617B5"/>
    <w:rsid w:val="0066238B"/>
    <w:rsid w:val="00662EF2"/>
    <w:rsid w:val="00664643"/>
    <w:rsid w:val="00664664"/>
    <w:rsid w:val="00665311"/>
    <w:rsid w:val="006654BE"/>
    <w:rsid w:val="00665C49"/>
    <w:rsid w:val="006705D3"/>
    <w:rsid w:val="006717AA"/>
    <w:rsid w:val="00675105"/>
    <w:rsid w:val="00680AE7"/>
    <w:rsid w:val="006810F7"/>
    <w:rsid w:val="00682256"/>
    <w:rsid w:val="006824B6"/>
    <w:rsid w:val="00682D6C"/>
    <w:rsid w:val="00682F74"/>
    <w:rsid w:val="00683A4B"/>
    <w:rsid w:val="00683BBB"/>
    <w:rsid w:val="00683E99"/>
    <w:rsid w:val="00683EDF"/>
    <w:rsid w:val="00684E87"/>
    <w:rsid w:val="00686BC4"/>
    <w:rsid w:val="00690D58"/>
    <w:rsid w:val="00690D72"/>
    <w:rsid w:val="00690DE5"/>
    <w:rsid w:val="00692098"/>
    <w:rsid w:val="006920AA"/>
    <w:rsid w:val="0069264D"/>
    <w:rsid w:val="00692770"/>
    <w:rsid w:val="00692AD8"/>
    <w:rsid w:val="00693326"/>
    <w:rsid w:val="00693A2D"/>
    <w:rsid w:val="00694AE4"/>
    <w:rsid w:val="00695049"/>
    <w:rsid w:val="00696ED3"/>
    <w:rsid w:val="0069753B"/>
    <w:rsid w:val="006A007B"/>
    <w:rsid w:val="006A02F1"/>
    <w:rsid w:val="006A0466"/>
    <w:rsid w:val="006A0AEE"/>
    <w:rsid w:val="006A1AE6"/>
    <w:rsid w:val="006A233E"/>
    <w:rsid w:val="006A32B9"/>
    <w:rsid w:val="006A5513"/>
    <w:rsid w:val="006A58B9"/>
    <w:rsid w:val="006A5C4E"/>
    <w:rsid w:val="006B0BF9"/>
    <w:rsid w:val="006B1FCD"/>
    <w:rsid w:val="006B286D"/>
    <w:rsid w:val="006B2F49"/>
    <w:rsid w:val="006B33D8"/>
    <w:rsid w:val="006B4AB3"/>
    <w:rsid w:val="006B4DC7"/>
    <w:rsid w:val="006B50B7"/>
    <w:rsid w:val="006B5D50"/>
    <w:rsid w:val="006B5F56"/>
    <w:rsid w:val="006B68B1"/>
    <w:rsid w:val="006B68F0"/>
    <w:rsid w:val="006C0675"/>
    <w:rsid w:val="006C2079"/>
    <w:rsid w:val="006C259E"/>
    <w:rsid w:val="006C262F"/>
    <w:rsid w:val="006C654D"/>
    <w:rsid w:val="006C69D5"/>
    <w:rsid w:val="006C7C0A"/>
    <w:rsid w:val="006D07B6"/>
    <w:rsid w:val="006D2229"/>
    <w:rsid w:val="006D2FBD"/>
    <w:rsid w:val="006D3EB8"/>
    <w:rsid w:val="006D4FFE"/>
    <w:rsid w:val="006D644F"/>
    <w:rsid w:val="006D649D"/>
    <w:rsid w:val="006D6AE9"/>
    <w:rsid w:val="006D7A43"/>
    <w:rsid w:val="006E0AAB"/>
    <w:rsid w:val="006E0EA3"/>
    <w:rsid w:val="006E2207"/>
    <w:rsid w:val="006E3142"/>
    <w:rsid w:val="006E372E"/>
    <w:rsid w:val="006E4C5E"/>
    <w:rsid w:val="006E72A1"/>
    <w:rsid w:val="006E7793"/>
    <w:rsid w:val="006E7F16"/>
    <w:rsid w:val="006F0946"/>
    <w:rsid w:val="006F0D8F"/>
    <w:rsid w:val="006F1945"/>
    <w:rsid w:val="006F3C00"/>
    <w:rsid w:val="006F454E"/>
    <w:rsid w:val="00700B93"/>
    <w:rsid w:val="00701B0E"/>
    <w:rsid w:val="00702887"/>
    <w:rsid w:val="007029E7"/>
    <w:rsid w:val="0070487D"/>
    <w:rsid w:val="007051EF"/>
    <w:rsid w:val="00710ABE"/>
    <w:rsid w:val="0071196C"/>
    <w:rsid w:val="00711E43"/>
    <w:rsid w:val="00712961"/>
    <w:rsid w:val="0071306E"/>
    <w:rsid w:val="00713956"/>
    <w:rsid w:val="007142DC"/>
    <w:rsid w:val="00714F13"/>
    <w:rsid w:val="007166CE"/>
    <w:rsid w:val="00716C22"/>
    <w:rsid w:val="0072159E"/>
    <w:rsid w:val="007218EA"/>
    <w:rsid w:val="00722998"/>
    <w:rsid w:val="00723875"/>
    <w:rsid w:val="00724132"/>
    <w:rsid w:val="00724372"/>
    <w:rsid w:val="0072513F"/>
    <w:rsid w:val="0072584D"/>
    <w:rsid w:val="007258BA"/>
    <w:rsid w:val="00726DA0"/>
    <w:rsid w:val="00730592"/>
    <w:rsid w:val="007341C0"/>
    <w:rsid w:val="00736E72"/>
    <w:rsid w:val="0073716C"/>
    <w:rsid w:val="00737BB4"/>
    <w:rsid w:val="00741FD1"/>
    <w:rsid w:val="00742BE5"/>
    <w:rsid w:val="00744394"/>
    <w:rsid w:val="007456A4"/>
    <w:rsid w:val="00745A82"/>
    <w:rsid w:val="00745B7B"/>
    <w:rsid w:val="0074622F"/>
    <w:rsid w:val="00746DD4"/>
    <w:rsid w:val="0074704D"/>
    <w:rsid w:val="00747070"/>
    <w:rsid w:val="007470C9"/>
    <w:rsid w:val="00750251"/>
    <w:rsid w:val="00750632"/>
    <w:rsid w:val="00750962"/>
    <w:rsid w:val="0075141B"/>
    <w:rsid w:val="00751803"/>
    <w:rsid w:val="007527A3"/>
    <w:rsid w:val="00753C85"/>
    <w:rsid w:val="00754825"/>
    <w:rsid w:val="00754AD3"/>
    <w:rsid w:val="00755716"/>
    <w:rsid w:val="0075627C"/>
    <w:rsid w:val="00756E14"/>
    <w:rsid w:val="0075746D"/>
    <w:rsid w:val="00757DFC"/>
    <w:rsid w:val="00762F84"/>
    <w:rsid w:val="00764075"/>
    <w:rsid w:val="00764A91"/>
    <w:rsid w:val="0076600E"/>
    <w:rsid w:val="0076742F"/>
    <w:rsid w:val="00767A0C"/>
    <w:rsid w:val="007704F1"/>
    <w:rsid w:val="00770924"/>
    <w:rsid w:val="0077098C"/>
    <w:rsid w:val="00770B29"/>
    <w:rsid w:val="007713F7"/>
    <w:rsid w:val="00772775"/>
    <w:rsid w:val="00772C8E"/>
    <w:rsid w:val="007731D1"/>
    <w:rsid w:val="00773F95"/>
    <w:rsid w:val="007744C6"/>
    <w:rsid w:val="00775ABF"/>
    <w:rsid w:val="00775EAD"/>
    <w:rsid w:val="0078023A"/>
    <w:rsid w:val="00781CCC"/>
    <w:rsid w:val="0078266D"/>
    <w:rsid w:val="00782F4D"/>
    <w:rsid w:val="0078302D"/>
    <w:rsid w:val="007834D8"/>
    <w:rsid w:val="0078715D"/>
    <w:rsid w:val="00790424"/>
    <w:rsid w:val="00790FB8"/>
    <w:rsid w:val="00791BEE"/>
    <w:rsid w:val="00791CCB"/>
    <w:rsid w:val="00791DCE"/>
    <w:rsid w:val="0079279A"/>
    <w:rsid w:val="00793371"/>
    <w:rsid w:val="00793E19"/>
    <w:rsid w:val="00794DB7"/>
    <w:rsid w:val="00797B22"/>
    <w:rsid w:val="00797CE2"/>
    <w:rsid w:val="007A08D1"/>
    <w:rsid w:val="007A1B80"/>
    <w:rsid w:val="007A273A"/>
    <w:rsid w:val="007A2905"/>
    <w:rsid w:val="007A4E50"/>
    <w:rsid w:val="007A543F"/>
    <w:rsid w:val="007A5B0A"/>
    <w:rsid w:val="007A5C71"/>
    <w:rsid w:val="007A6130"/>
    <w:rsid w:val="007A660B"/>
    <w:rsid w:val="007A6E60"/>
    <w:rsid w:val="007A6E93"/>
    <w:rsid w:val="007A6FD6"/>
    <w:rsid w:val="007B01A5"/>
    <w:rsid w:val="007B0983"/>
    <w:rsid w:val="007B14EC"/>
    <w:rsid w:val="007B15C1"/>
    <w:rsid w:val="007B1AB1"/>
    <w:rsid w:val="007B65D1"/>
    <w:rsid w:val="007B6C85"/>
    <w:rsid w:val="007C003F"/>
    <w:rsid w:val="007C1C17"/>
    <w:rsid w:val="007C2785"/>
    <w:rsid w:val="007C32F1"/>
    <w:rsid w:val="007C5136"/>
    <w:rsid w:val="007C51BE"/>
    <w:rsid w:val="007C6E2A"/>
    <w:rsid w:val="007C7AA7"/>
    <w:rsid w:val="007C7D77"/>
    <w:rsid w:val="007D276B"/>
    <w:rsid w:val="007D3151"/>
    <w:rsid w:val="007D378A"/>
    <w:rsid w:val="007D4442"/>
    <w:rsid w:val="007D6C0E"/>
    <w:rsid w:val="007D6EF1"/>
    <w:rsid w:val="007E0539"/>
    <w:rsid w:val="007E1FC3"/>
    <w:rsid w:val="007E3B91"/>
    <w:rsid w:val="007E557D"/>
    <w:rsid w:val="007E68DC"/>
    <w:rsid w:val="007F0DB6"/>
    <w:rsid w:val="007F14C4"/>
    <w:rsid w:val="007F30AF"/>
    <w:rsid w:val="007F38F5"/>
    <w:rsid w:val="007F3AE8"/>
    <w:rsid w:val="007F51FF"/>
    <w:rsid w:val="007F6B35"/>
    <w:rsid w:val="00804283"/>
    <w:rsid w:val="00804EAE"/>
    <w:rsid w:val="00805471"/>
    <w:rsid w:val="00805AFF"/>
    <w:rsid w:val="0080624F"/>
    <w:rsid w:val="00806887"/>
    <w:rsid w:val="008071AF"/>
    <w:rsid w:val="008073DB"/>
    <w:rsid w:val="00807406"/>
    <w:rsid w:val="0080761A"/>
    <w:rsid w:val="00810911"/>
    <w:rsid w:val="00811C96"/>
    <w:rsid w:val="0081371A"/>
    <w:rsid w:val="008157FC"/>
    <w:rsid w:val="008168BA"/>
    <w:rsid w:val="008206A8"/>
    <w:rsid w:val="008219F6"/>
    <w:rsid w:val="00821B0D"/>
    <w:rsid w:val="0082244A"/>
    <w:rsid w:val="008235FB"/>
    <w:rsid w:val="00823879"/>
    <w:rsid w:val="00826353"/>
    <w:rsid w:val="008266FF"/>
    <w:rsid w:val="008300E1"/>
    <w:rsid w:val="00830130"/>
    <w:rsid w:val="00831154"/>
    <w:rsid w:val="008311C0"/>
    <w:rsid w:val="008322D4"/>
    <w:rsid w:val="00832830"/>
    <w:rsid w:val="00832981"/>
    <w:rsid w:val="00832FA7"/>
    <w:rsid w:val="00834A1F"/>
    <w:rsid w:val="0083552F"/>
    <w:rsid w:val="008357BA"/>
    <w:rsid w:val="00836DB6"/>
    <w:rsid w:val="00840D77"/>
    <w:rsid w:val="00842B2C"/>
    <w:rsid w:val="0084306D"/>
    <w:rsid w:val="00845257"/>
    <w:rsid w:val="00845705"/>
    <w:rsid w:val="00846092"/>
    <w:rsid w:val="008461EA"/>
    <w:rsid w:val="00847304"/>
    <w:rsid w:val="00847B1B"/>
    <w:rsid w:val="00847FAF"/>
    <w:rsid w:val="00851B3A"/>
    <w:rsid w:val="008524CE"/>
    <w:rsid w:val="00852E45"/>
    <w:rsid w:val="0085327C"/>
    <w:rsid w:val="00853E4F"/>
    <w:rsid w:val="00856525"/>
    <w:rsid w:val="008567D8"/>
    <w:rsid w:val="0085768B"/>
    <w:rsid w:val="00860612"/>
    <w:rsid w:val="00862442"/>
    <w:rsid w:val="008628DE"/>
    <w:rsid w:val="00863C6E"/>
    <w:rsid w:val="00870363"/>
    <w:rsid w:val="00870DEE"/>
    <w:rsid w:val="0087126D"/>
    <w:rsid w:val="00871874"/>
    <w:rsid w:val="00872A62"/>
    <w:rsid w:val="00872CB9"/>
    <w:rsid w:val="00874DE0"/>
    <w:rsid w:val="0087719D"/>
    <w:rsid w:val="008776A5"/>
    <w:rsid w:val="00880456"/>
    <w:rsid w:val="00880FC1"/>
    <w:rsid w:val="00881D9C"/>
    <w:rsid w:val="00881FB0"/>
    <w:rsid w:val="008833B5"/>
    <w:rsid w:val="008845B4"/>
    <w:rsid w:val="00884C6C"/>
    <w:rsid w:val="00885A3B"/>
    <w:rsid w:val="008860F3"/>
    <w:rsid w:val="0088627A"/>
    <w:rsid w:val="008878DA"/>
    <w:rsid w:val="00887B12"/>
    <w:rsid w:val="00887EA5"/>
    <w:rsid w:val="008903E2"/>
    <w:rsid w:val="00890B5C"/>
    <w:rsid w:val="00890CF8"/>
    <w:rsid w:val="00890E8D"/>
    <w:rsid w:val="00891515"/>
    <w:rsid w:val="00891CB9"/>
    <w:rsid w:val="00891D3B"/>
    <w:rsid w:val="008924DE"/>
    <w:rsid w:val="00894272"/>
    <w:rsid w:val="00894E9B"/>
    <w:rsid w:val="008953AD"/>
    <w:rsid w:val="00895C93"/>
    <w:rsid w:val="00895FD1"/>
    <w:rsid w:val="00897082"/>
    <w:rsid w:val="008974B4"/>
    <w:rsid w:val="00897D94"/>
    <w:rsid w:val="008A0A56"/>
    <w:rsid w:val="008A0CF6"/>
    <w:rsid w:val="008A237C"/>
    <w:rsid w:val="008A2DA4"/>
    <w:rsid w:val="008A36DB"/>
    <w:rsid w:val="008A5214"/>
    <w:rsid w:val="008B0CB8"/>
    <w:rsid w:val="008B0CE8"/>
    <w:rsid w:val="008B1AFF"/>
    <w:rsid w:val="008B26A3"/>
    <w:rsid w:val="008B2D9E"/>
    <w:rsid w:val="008B34B3"/>
    <w:rsid w:val="008B58AF"/>
    <w:rsid w:val="008B66BC"/>
    <w:rsid w:val="008B7624"/>
    <w:rsid w:val="008B7884"/>
    <w:rsid w:val="008C17F6"/>
    <w:rsid w:val="008C18FC"/>
    <w:rsid w:val="008C2B61"/>
    <w:rsid w:val="008C338B"/>
    <w:rsid w:val="008C47B5"/>
    <w:rsid w:val="008C47F1"/>
    <w:rsid w:val="008C579F"/>
    <w:rsid w:val="008D0814"/>
    <w:rsid w:val="008D0D59"/>
    <w:rsid w:val="008D39D1"/>
    <w:rsid w:val="008D3B02"/>
    <w:rsid w:val="008D3B4D"/>
    <w:rsid w:val="008D5267"/>
    <w:rsid w:val="008E0715"/>
    <w:rsid w:val="008E1BFC"/>
    <w:rsid w:val="008E3592"/>
    <w:rsid w:val="008E5EBF"/>
    <w:rsid w:val="008E670E"/>
    <w:rsid w:val="008E683B"/>
    <w:rsid w:val="008E6B30"/>
    <w:rsid w:val="008E733A"/>
    <w:rsid w:val="008E74CB"/>
    <w:rsid w:val="008E799E"/>
    <w:rsid w:val="008E7D49"/>
    <w:rsid w:val="008F18C6"/>
    <w:rsid w:val="008F1C4B"/>
    <w:rsid w:val="008F294A"/>
    <w:rsid w:val="008F40B5"/>
    <w:rsid w:val="008F5324"/>
    <w:rsid w:val="008F5962"/>
    <w:rsid w:val="008F6B6F"/>
    <w:rsid w:val="008F7C1D"/>
    <w:rsid w:val="0090078B"/>
    <w:rsid w:val="00901CC8"/>
    <w:rsid w:val="009020F1"/>
    <w:rsid w:val="009022DE"/>
    <w:rsid w:val="00902A0A"/>
    <w:rsid w:val="00902E19"/>
    <w:rsid w:val="00903658"/>
    <w:rsid w:val="009051C2"/>
    <w:rsid w:val="009052A8"/>
    <w:rsid w:val="00905788"/>
    <w:rsid w:val="00905B69"/>
    <w:rsid w:val="0090799C"/>
    <w:rsid w:val="0091134A"/>
    <w:rsid w:val="00911969"/>
    <w:rsid w:val="00911C2D"/>
    <w:rsid w:val="00913490"/>
    <w:rsid w:val="009139D2"/>
    <w:rsid w:val="00914DE7"/>
    <w:rsid w:val="00915F95"/>
    <w:rsid w:val="00916671"/>
    <w:rsid w:val="0091669A"/>
    <w:rsid w:val="009204BC"/>
    <w:rsid w:val="0092059C"/>
    <w:rsid w:val="00920F7B"/>
    <w:rsid w:val="00921993"/>
    <w:rsid w:val="00921E29"/>
    <w:rsid w:val="00922B0C"/>
    <w:rsid w:val="00924829"/>
    <w:rsid w:val="009257E8"/>
    <w:rsid w:val="00926B2D"/>
    <w:rsid w:val="009277C4"/>
    <w:rsid w:val="00927930"/>
    <w:rsid w:val="00930E56"/>
    <w:rsid w:val="009314CD"/>
    <w:rsid w:val="00932767"/>
    <w:rsid w:val="00933BA2"/>
    <w:rsid w:val="00934892"/>
    <w:rsid w:val="00936C08"/>
    <w:rsid w:val="00937A62"/>
    <w:rsid w:val="00940196"/>
    <w:rsid w:val="0094193E"/>
    <w:rsid w:val="00941CAB"/>
    <w:rsid w:val="009428F0"/>
    <w:rsid w:val="009436D4"/>
    <w:rsid w:val="009436DD"/>
    <w:rsid w:val="00943781"/>
    <w:rsid w:val="009442E8"/>
    <w:rsid w:val="00945505"/>
    <w:rsid w:val="00945BF7"/>
    <w:rsid w:val="00950474"/>
    <w:rsid w:val="009504D0"/>
    <w:rsid w:val="00950C07"/>
    <w:rsid w:val="00952F9B"/>
    <w:rsid w:val="00954E57"/>
    <w:rsid w:val="009551C0"/>
    <w:rsid w:val="00955CCF"/>
    <w:rsid w:val="00960D44"/>
    <w:rsid w:val="00962016"/>
    <w:rsid w:val="009632E7"/>
    <w:rsid w:val="009635CD"/>
    <w:rsid w:val="00964C8A"/>
    <w:rsid w:val="009668BE"/>
    <w:rsid w:val="009674CE"/>
    <w:rsid w:val="0096776B"/>
    <w:rsid w:val="00970E5E"/>
    <w:rsid w:val="00971E94"/>
    <w:rsid w:val="0097248F"/>
    <w:rsid w:val="00973FE3"/>
    <w:rsid w:val="00974F2A"/>
    <w:rsid w:val="00975526"/>
    <w:rsid w:val="0097657F"/>
    <w:rsid w:val="009800E4"/>
    <w:rsid w:val="00980C0E"/>
    <w:rsid w:val="0098308D"/>
    <w:rsid w:val="009834A3"/>
    <w:rsid w:val="0098729C"/>
    <w:rsid w:val="009906F3"/>
    <w:rsid w:val="00990AD5"/>
    <w:rsid w:val="0099103B"/>
    <w:rsid w:val="00992C83"/>
    <w:rsid w:val="009932B3"/>
    <w:rsid w:val="009935C3"/>
    <w:rsid w:val="009945AC"/>
    <w:rsid w:val="00995103"/>
    <w:rsid w:val="00996198"/>
    <w:rsid w:val="00996C4E"/>
    <w:rsid w:val="00996F9B"/>
    <w:rsid w:val="0099786D"/>
    <w:rsid w:val="009A1300"/>
    <w:rsid w:val="009A1316"/>
    <w:rsid w:val="009A1C10"/>
    <w:rsid w:val="009A1FCF"/>
    <w:rsid w:val="009A2085"/>
    <w:rsid w:val="009A2CD5"/>
    <w:rsid w:val="009A6454"/>
    <w:rsid w:val="009A74D9"/>
    <w:rsid w:val="009A77FE"/>
    <w:rsid w:val="009A7B31"/>
    <w:rsid w:val="009A7B35"/>
    <w:rsid w:val="009B078C"/>
    <w:rsid w:val="009B1A93"/>
    <w:rsid w:val="009B1FB6"/>
    <w:rsid w:val="009B353B"/>
    <w:rsid w:val="009B61F6"/>
    <w:rsid w:val="009B696D"/>
    <w:rsid w:val="009C072E"/>
    <w:rsid w:val="009C0ADC"/>
    <w:rsid w:val="009C139F"/>
    <w:rsid w:val="009C3942"/>
    <w:rsid w:val="009C42CC"/>
    <w:rsid w:val="009D0562"/>
    <w:rsid w:val="009D0E97"/>
    <w:rsid w:val="009D106E"/>
    <w:rsid w:val="009D3158"/>
    <w:rsid w:val="009D3D94"/>
    <w:rsid w:val="009D4D93"/>
    <w:rsid w:val="009D539A"/>
    <w:rsid w:val="009D6A27"/>
    <w:rsid w:val="009D6D80"/>
    <w:rsid w:val="009E03A2"/>
    <w:rsid w:val="009E0DA1"/>
    <w:rsid w:val="009E1117"/>
    <w:rsid w:val="009E18CE"/>
    <w:rsid w:val="009E18F2"/>
    <w:rsid w:val="009E1C54"/>
    <w:rsid w:val="009E28B0"/>
    <w:rsid w:val="009E2E87"/>
    <w:rsid w:val="009E5B1E"/>
    <w:rsid w:val="009E63E0"/>
    <w:rsid w:val="009F1135"/>
    <w:rsid w:val="009F1815"/>
    <w:rsid w:val="009F439D"/>
    <w:rsid w:val="009F4529"/>
    <w:rsid w:val="009F49A9"/>
    <w:rsid w:val="009F5746"/>
    <w:rsid w:val="009F59AA"/>
    <w:rsid w:val="009F5C80"/>
    <w:rsid w:val="009F6029"/>
    <w:rsid w:val="00A009E7"/>
    <w:rsid w:val="00A010DF"/>
    <w:rsid w:val="00A0196B"/>
    <w:rsid w:val="00A01A37"/>
    <w:rsid w:val="00A04B63"/>
    <w:rsid w:val="00A058FE"/>
    <w:rsid w:val="00A079B6"/>
    <w:rsid w:val="00A109B0"/>
    <w:rsid w:val="00A113D4"/>
    <w:rsid w:val="00A1503A"/>
    <w:rsid w:val="00A16516"/>
    <w:rsid w:val="00A1669F"/>
    <w:rsid w:val="00A200C6"/>
    <w:rsid w:val="00A200DE"/>
    <w:rsid w:val="00A2023A"/>
    <w:rsid w:val="00A220DB"/>
    <w:rsid w:val="00A23691"/>
    <w:rsid w:val="00A23DEB"/>
    <w:rsid w:val="00A24281"/>
    <w:rsid w:val="00A25F7A"/>
    <w:rsid w:val="00A271B2"/>
    <w:rsid w:val="00A274BF"/>
    <w:rsid w:val="00A27EF2"/>
    <w:rsid w:val="00A27F4A"/>
    <w:rsid w:val="00A30A38"/>
    <w:rsid w:val="00A3240D"/>
    <w:rsid w:val="00A3242C"/>
    <w:rsid w:val="00A325DA"/>
    <w:rsid w:val="00A33577"/>
    <w:rsid w:val="00A3455B"/>
    <w:rsid w:val="00A366C3"/>
    <w:rsid w:val="00A40B31"/>
    <w:rsid w:val="00A41BC7"/>
    <w:rsid w:val="00A41E00"/>
    <w:rsid w:val="00A43371"/>
    <w:rsid w:val="00A44B19"/>
    <w:rsid w:val="00A4514F"/>
    <w:rsid w:val="00A45384"/>
    <w:rsid w:val="00A4547C"/>
    <w:rsid w:val="00A46F28"/>
    <w:rsid w:val="00A4751F"/>
    <w:rsid w:val="00A50567"/>
    <w:rsid w:val="00A515C3"/>
    <w:rsid w:val="00A51B06"/>
    <w:rsid w:val="00A522F1"/>
    <w:rsid w:val="00A5373D"/>
    <w:rsid w:val="00A53ABE"/>
    <w:rsid w:val="00A53F6A"/>
    <w:rsid w:val="00A5422A"/>
    <w:rsid w:val="00A54A54"/>
    <w:rsid w:val="00A54BD0"/>
    <w:rsid w:val="00A55633"/>
    <w:rsid w:val="00A561E3"/>
    <w:rsid w:val="00A5712A"/>
    <w:rsid w:val="00A576B9"/>
    <w:rsid w:val="00A601ED"/>
    <w:rsid w:val="00A61E81"/>
    <w:rsid w:val="00A6216F"/>
    <w:rsid w:val="00A62D93"/>
    <w:rsid w:val="00A64446"/>
    <w:rsid w:val="00A66037"/>
    <w:rsid w:val="00A6763C"/>
    <w:rsid w:val="00A7048E"/>
    <w:rsid w:val="00A749BE"/>
    <w:rsid w:val="00A75008"/>
    <w:rsid w:val="00A76789"/>
    <w:rsid w:val="00A769E8"/>
    <w:rsid w:val="00A80921"/>
    <w:rsid w:val="00A818EF"/>
    <w:rsid w:val="00A81E43"/>
    <w:rsid w:val="00A8247D"/>
    <w:rsid w:val="00A82AD0"/>
    <w:rsid w:val="00A84BEC"/>
    <w:rsid w:val="00A84F2E"/>
    <w:rsid w:val="00A855C7"/>
    <w:rsid w:val="00A85F17"/>
    <w:rsid w:val="00A8742D"/>
    <w:rsid w:val="00A874FE"/>
    <w:rsid w:val="00A87961"/>
    <w:rsid w:val="00A87EC6"/>
    <w:rsid w:val="00A902B8"/>
    <w:rsid w:val="00A90408"/>
    <w:rsid w:val="00A906A2"/>
    <w:rsid w:val="00A912CD"/>
    <w:rsid w:val="00A9193C"/>
    <w:rsid w:val="00A9381F"/>
    <w:rsid w:val="00A93F3D"/>
    <w:rsid w:val="00A9556C"/>
    <w:rsid w:val="00A95F4B"/>
    <w:rsid w:val="00A966A5"/>
    <w:rsid w:val="00A96F67"/>
    <w:rsid w:val="00A970AC"/>
    <w:rsid w:val="00A971AA"/>
    <w:rsid w:val="00A975D9"/>
    <w:rsid w:val="00AA29E8"/>
    <w:rsid w:val="00AA2BBA"/>
    <w:rsid w:val="00AA3403"/>
    <w:rsid w:val="00AA362F"/>
    <w:rsid w:val="00AA4CDE"/>
    <w:rsid w:val="00AA5735"/>
    <w:rsid w:val="00AA58D3"/>
    <w:rsid w:val="00AA645B"/>
    <w:rsid w:val="00AA6541"/>
    <w:rsid w:val="00AA6AEE"/>
    <w:rsid w:val="00AB023D"/>
    <w:rsid w:val="00AB03D9"/>
    <w:rsid w:val="00AB0BCE"/>
    <w:rsid w:val="00AB131F"/>
    <w:rsid w:val="00AB1590"/>
    <w:rsid w:val="00AB1816"/>
    <w:rsid w:val="00AB3502"/>
    <w:rsid w:val="00AB54F9"/>
    <w:rsid w:val="00AB63BE"/>
    <w:rsid w:val="00AC004D"/>
    <w:rsid w:val="00AC0ED7"/>
    <w:rsid w:val="00AC2E8C"/>
    <w:rsid w:val="00AC4039"/>
    <w:rsid w:val="00AC4A2B"/>
    <w:rsid w:val="00AC60E1"/>
    <w:rsid w:val="00AC62E0"/>
    <w:rsid w:val="00AC7408"/>
    <w:rsid w:val="00AC744E"/>
    <w:rsid w:val="00AC7D56"/>
    <w:rsid w:val="00AD036F"/>
    <w:rsid w:val="00AD080D"/>
    <w:rsid w:val="00AD383B"/>
    <w:rsid w:val="00AD3CF3"/>
    <w:rsid w:val="00AD4638"/>
    <w:rsid w:val="00AD70D2"/>
    <w:rsid w:val="00AD7B78"/>
    <w:rsid w:val="00AE10C7"/>
    <w:rsid w:val="00AE2F74"/>
    <w:rsid w:val="00AE38A3"/>
    <w:rsid w:val="00AE4211"/>
    <w:rsid w:val="00AE5121"/>
    <w:rsid w:val="00AE5841"/>
    <w:rsid w:val="00AE58A7"/>
    <w:rsid w:val="00AE58BB"/>
    <w:rsid w:val="00AE6A64"/>
    <w:rsid w:val="00AE75B3"/>
    <w:rsid w:val="00AE7A12"/>
    <w:rsid w:val="00AE7AAD"/>
    <w:rsid w:val="00AE7B20"/>
    <w:rsid w:val="00AE7F18"/>
    <w:rsid w:val="00AF070F"/>
    <w:rsid w:val="00AF0915"/>
    <w:rsid w:val="00AF11A2"/>
    <w:rsid w:val="00AF361C"/>
    <w:rsid w:val="00AF4387"/>
    <w:rsid w:val="00AF54BF"/>
    <w:rsid w:val="00AF57B4"/>
    <w:rsid w:val="00AF595F"/>
    <w:rsid w:val="00AF6312"/>
    <w:rsid w:val="00AF6EB7"/>
    <w:rsid w:val="00AF7035"/>
    <w:rsid w:val="00AF738F"/>
    <w:rsid w:val="00AF74FD"/>
    <w:rsid w:val="00AF77CB"/>
    <w:rsid w:val="00B001AF"/>
    <w:rsid w:val="00B016AE"/>
    <w:rsid w:val="00B04346"/>
    <w:rsid w:val="00B0447B"/>
    <w:rsid w:val="00B04AEE"/>
    <w:rsid w:val="00B06A8D"/>
    <w:rsid w:val="00B06B23"/>
    <w:rsid w:val="00B10189"/>
    <w:rsid w:val="00B10285"/>
    <w:rsid w:val="00B105F2"/>
    <w:rsid w:val="00B10F69"/>
    <w:rsid w:val="00B11ED7"/>
    <w:rsid w:val="00B132E8"/>
    <w:rsid w:val="00B1423C"/>
    <w:rsid w:val="00B14B74"/>
    <w:rsid w:val="00B15C01"/>
    <w:rsid w:val="00B17219"/>
    <w:rsid w:val="00B22C25"/>
    <w:rsid w:val="00B235C8"/>
    <w:rsid w:val="00B255C6"/>
    <w:rsid w:val="00B25B35"/>
    <w:rsid w:val="00B26A59"/>
    <w:rsid w:val="00B27D06"/>
    <w:rsid w:val="00B30CCB"/>
    <w:rsid w:val="00B310F1"/>
    <w:rsid w:val="00B319E6"/>
    <w:rsid w:val="00B33C2A"/>
    <w:rsid w:val="00B3657B"/>
    <w:rsid w:val="00B36A5A"/>
    <w:rsid w:val="00B378BA"/>
    <w:rsid w:val="00B4050F"/>
    <w:rsid w:val="00B41771"/>
    <w:rsid w:val="00B418A3"/>
    <w:rsid w:val="00B43939"/>
    <w:rsid w:val="00B439A4"/>
    <w:rsid w:val="00B439BC"/>
    <w:rsid w:val="00B43B84"/>
    <w:rsid w:val="00B44B70"/>
    <w:rsid w:val="00B469B2"/>
    <w:rsid w:val="00B47346"/>
    <w:rsid w:val="00B50B67"/>
    <w:rsid w:val="00B51562"/>
    <w:rsid w:val="00B539B4"/>
    <w:rsid w:val="00B543BE"/>
    <w:rsid w:val="00B544C2"/>
    <w:rsid w:val="00B5482F"/>
    <w:rsid w:val="00B55C25"/>
    <w:rsid w:val="00B56511"/>
    <w:rsid w:val="00B57571"/>
    <w:rsid w:val="00B60250"/>
    <w:rsid w:val="00B60D58"/>
    <w:rsid w:val="00B6119E"/>
    <w:rsid w:val="00B62419"/>
    <w:rsid w:val="00B637FE"/>
    <w:rsid w:val="00B6391C"/>
    <w:rsid w:val="00B67ACE"/>
    <w:rsid w:val="00B67B55"/>
    <w:rsid w:val="00B719DE"/>
    <w:rsid w:val="00B7265A"/>
    <w:rsid w:val="00B74447"/>
    <w:rsid w:val="00B74B09"/>
    <w:rsid w:val="00B75A58"/>
    <w:rsid w:val="00B75B4E"/>
    <w:rsid w:val="00B7714C"/>
    <w:rsid w:val="00B814A3"/>
    <w:rsid w:val="00B8180E"/>
    <w:rsid w:val="00B827A1"/>
    <w:rsid w:val="00B8282D"/>
    <w:rsid w:val="00B833EE"/>
    <w:rsid w:val="00B842C2"/>
    <w:rsid w:val="00B85D13"/>
    <w:rsid w:val="00B8621B"/>
    <w:rsid w:val="00B86A4F"/>
    <w:rsid w:val="00B8724B"/>
    <w:rsid w:val="00B90B93"/>
    <w:rsid w:val="00B90B94"/>
    <w:rsid w:val="00B90F08"/>
    <w:rsid w:val="00B91037"/>
    <w:rsid w:val="00B92883"/>
    <w:rsid w:val="00B93703"/>
    <w:rsid w:val="00B944A3"/>
    <w:rsid w:val="00B948F2"/>
    <w:rsid w:val="00B94B26"/>
    <w:rsid w:val="00B95F11"/>
    <w:rsid w:val="00B96E92"/>
    <w:rsid w:val="00B97932"/>
    <w:rsid w:val="00BA11A0"/>
    <w:rsid w:val="00BA1F43"/>
    <w:rsid w:val="00BA2320"/>
    <w:rsid w:val="00BA2767"/>
    <w:rsid w:val="00BA2D66"/>
    <w:rsid w:val="00BA45C3"/>
    <w:rsid w:val="00BA4EE4"/>
    <w:rsid w:val="00BA50F3"/>
    <w:rsid w:val="00BA5598"/>
    <w:rsid w:val="00BA5884"/>
    <w:rsid w:val="00BA5E34"/>
    <w:rsid w:val="00BA7040"/>
    <w:rsid w:val="00BA741D"/>
    <w:rsid w:val="00BB34E1"/>
    <w:rsid w:val="00BB57CD"/>
    <w:rsid w:val="00BB5DDA"/>
    <w:rsid w:val="00BB6BC9"/>
    <w:rsid w:val="00BB79BD"/>
    <w:rsid w:val="00BB7BF3"/>
    <w:rsid w:val="00BB7C3D"/>
    <w:rsid w:val="00BC1116"/>
    <w:rsid w:val="00BC2C04"/>
    <w:rsid w:val="00BC76CD"/>
    <w:rsid w:val="00BC7EF0"/>
    <w:rsid w:val="00BC7F94"/>
    <w:rsid w:val="00BD010A"/>
    <w:rsid w:val="00BD08B8"/>
    <w:rsid w:val="00BD2118"/>
    <w:rsid w:val="00BD2511"/>
    <w:rsid w:val="00BD2559"/>
    <w:rsid w:val="00BD2E3D"/>
    <w:rsid w:val="00BD3987"/>
    <w:rsid w:val="00BD3B72"/>
    <w:rsid w:val="00BD5CFB"/>
    <w:rsid w:val="00BD691F"/>
    <w:rsid w:val="00BD6C9C"/>
    <w:rsid w:val="00BD76D5"/>
    <w:rsid w:val="00BD773B"/>
    <w:rsid w:val="00BD7E59"/>
    <w:rsid w:val="00BE17BA"/>
    <w:rsid w:val="00BE17D8"/>
    <w:rsid w:val="00BE4E57"/>
    <w:rsid w:val="00BE4E71"/>
    <w:rsid w:val="00BE5194"/>
    <w:rsid w:val="00BE5514"/>
    <w:rsid w:val="00BE5703"/>
    <w:rsid w:val="00BE5816"/>
    <w:rsid w:val="00BE603B"/>
    <w:rsid w:val="00BE604D"/>
    <w:rsid w:val="00BE642F"/>
    <w:rsid w:val="00BE7173"/>
    <w:rsid w:val="00BE7FD4"/>
    <w:rsid w:val="00BF14BF"/>
    <w:rsid w:val="00BF19E5"/>
    <w:rsid w:val="00BF3315"/>
    <w:rsid w:val="00BF3839"/>
    <w:rsid w:val="00BF4CED"/>
    <w:rsid w:val="00BF5D01"/>
    <w:rsid w:val="00BF6772"/>
    <w:rsid w:val="00C02317"/>
    <w:rsid w:val="00C0290C"/>
    <w:rsid w:val="00C02C6D"/>
    <w:rsid w:val="00C035F3"/>
    <w:rsid w:val="00C03B91"/>
    <w:rsid w:val="00C0405A"/>
    <w:rsid w:val="00C04634"/>
    <w:rsid w:val="00C048EF"/>
    <w:rsid w:val="00C0507B"/>
    <w:rsid w:val="00C054EB"/>
    <w:rsid w:val="00C05751"/>
    <w:rsid w:val="00C057DD"/>
    <w:rsid w:val="00C10145"/>
    <w:rsid w:val="00C1055D"/>
    <w:rsid w:val="00C10A84"/>
    <w:rsid w:val="00C11268"/>
    <w:rsid w:val="00C11672"/>
    <w:rsid w:val="00C118CD"/>
    <w:rsid w:val="00C14778"/>
    <w:rsid w:val="00C15873"/>
    <w:rsid w:val="00C205A9"/>
    <w:rsid w:val="00C20E72"/>
    <w:rsid w:val="00C220E2"/>
    <w:rsid w:val="00C23900"/>
    <w:rsid w:val="00C23933"/>
    <w:rsid w:val="00C23D23"/>
    <w:rsid w:val="00C2480B"/>
    <w:rsid w:val="00C25047"/>
    <w:rsid w:val="00C25D7F"/>
    <w:rsid w:val="00C26303"/>
    <w:rsid w:val="00C2666E"/>
    <w:rsid w:val="00C26B3A"/>
    <w:rsid w:val="00C26D0C"/>
    <w:rsid w:val="00C272D1"/>
    <w:rsid w:val="00C3127C"/>
    <w:rsid w:val="00C3152F"/>
    <w:rsid w:val="00C3160C"/>
    <w:rsid w:val="00C3380A"/>
    <w:rsid w:val="00C344C7"/>
    <w:rsid w:val="00C348EF"/>
    <w:rsid w:val="00C37794"/>
    <w:rsid w:val="00C379F4"/>
    <w:rsid w:val="00C40447"/>
    <w:rsid w:val="00C41EE7"/>
    <w:rsid w:val="00C42204"/>
    <w:rsid w:val="00C43282"/>
    <w:rsid w:val="00C4376A"/>
    <w:rsid w:val="00C4488F"/>
    <w:rsid w:val="00C45EA1"/>
    <w:rsid w:val="00C46173"/>
    <w:rsid w:val="00C46B2C"/>
    <w:rsid w:val="00C47958"/>
    <w:rsid w:val="00C51357"/>
    <w:rsid w:val="00C52BA5"/>
    <w:rsid w:val="00C53AFD"/>
    <w:rsid w:val="00C53B8B"/>
    <w:rsid w:val="00C55567"/>
    <w:rsid w:val="00C55690"/>
    <w:rsid w:val="00C5632C"/>
    <w:rsid w:val="00C579DB"/>
    <w:rsid w:val="00C60508"/>
    <w:rsid w:val="00C61E92"/>
    <w:rsid w:val="00C63E95"/>
    <w:rsid w:val="00C64249"/>
    <w:rsid w:val="00C648ED"/>
    <w:rsid w:val="00C66636"/>
    <w:rsid w:val="00C66C8F"/>
    <w:rsid w:val="00C71FD9"/>
    <w:rsid w:val="00C74DF7"/>
    <w:rsid w:val="00C76D58"/>
    <w:rsid w:val="00C77696"/>
    <w:rsid w:val="00C80C9B"/>
    <w:rsid w:val="00C81559"/>
    <w:rsid w:val="00C817BD"/>
    <w:rsid w:val="00C8320F"/>
    <w:rsid w:val="00C83A13"/>
    <w:rsid w:val="00C83D98"/>
    <w:rsid w:val="00C840B4"/>
    <w:rsid w:val="00C857D5"/>
    <w:rsid w:val="00C871D1"/>
    <w:rsid w:val="00C921B5"/>
    <w:rsid w:val="00C92AD7"/>
    <w:rsid w:val="00C92EE1"/>
    <w:rsid w:val="00C9495F"/>
    <w:rsid w:val="00C95559"/>
    <w:rsid w:val="00C960E5"/>
    <w:rsid w:val="00C97063"/>
    <w:rsid w:val="00C978F3"/>
    <w:rsid w:val="00CA0960"/>
    <w:rsid w:val="00CA0C4D"/>
    <w:rsid w:val="00CA1372"/>
    <w:rsid w:val="00CA16C4"/>
    <w:rsid w:val="00CA2BF8"/>
    <w:rsid w:val="00CA2D9D"/>
    <w:rsid w:val="00CA3689"/>
    <w:rsid w:val="00CA488A"/>
    <w:rsid w:val="00CA4F86"/>
    <w:rsid w:val="00CA7C28"/>
    <w:rsid w:val="00CB0F46"/>
    <w:rsid w:val="00CB271D"/>
    <w:rsid w:val="00CB2BE9"/>
    <w:rsid w:val="00CB3FEC"/>
    <w:rsid w:val="00CB428B"/>
    <w:rsid w:val="00CB502E"/>
    <w:rsid w:val="00CB5139"/>
    <w:rsid w:val="00CB632E"/>
    <w:rsid w:val="00CB6F32"/>
    <w:rsid w:val="00CB6F7E"/>
    <w:rsid w:val="00CC0F49"/>
    <w:rsid w:val="00CC20EC"/>
    <w:rsid w:val="00CC323D"/>
    <w:rsid w:val="00CC37C9"/>
    <w:rsid w:val="00CC39FC"/>
    <w:rsid w:val="00CC3F9F"/>
    <w:rsid w:val="00CC4DE0"/>
    <w:rsid w:val="00CC6CDE"/>
    <w:rsid w:val="00CD0740"/>
    <w:rsid w:val="00CD085A"/>
    <w:rsid w:val="00CD3073"/>
    <w:rsid w:val="00CD35BE"/>
    <w:rsid w:val="00CD3C48"/>
    <w:rsid w:val="00CD6C56"/>
    <w:rsid w:val="00CD7B99"/>
    <w:rsid w:val="00CE076C"/>
    <w:rsid w:val="00CE4D3F"/>
    <w:rsid w:val="00CE4D4B"/>
    <w:rsid w:val="00CE51DB"/>
    <w:rsid w:val="00CE5F26"/>
    <w:rsid w:val="00CF0E1B"/>
    <w:rsid w:val="00CF1C76"/>
    <w:rsid w:val="00CF23B1"/>
    <w:rsid w:val="00CF2C40"/>
    <w:rsid w:val="00CF336B"/>
    <w:rsid w:val="00CF39BA"/>
    <w:rsid w:val="00CF444B"/>
    <w:rsid w:val="00CF4EAC"/>
    <w:rsid w:val="00CF514F"/>
    <w:rsid w:val="00D0197C"/>
    <w:rsid w:val="00D01ED3"/>
    <w:rsid w:val="00D030EB"/>
    <w:rsid w:val="00D038FE"/>
    <w:rsid w:val="00D04518"/>
    <w:rsid w:val="00D05E03"/>
    <w:rsid w:val="00D072DE"/>
    <w:rsid w:val="00D0789A"/>
    <w:rsid w:val="00D108EA"/>
    <w:rsid w:val="00D111AE"/>
    <w:rsid w:val="00D112D4"/>
    <w:rsid w:val="00D11718"/>
    <w:rsid w:val="00D140B2"/>
    <w:rsid w:val="00D1427E"/>
    <w:rsid w:val="00D156C6"/>
    <w:rsid w:val="00D15A03"/>
    <w:rsid w:val="00D15CA6"/>
    <w:rsid w:val="00D16790"/>
    <w:rsid w:val="00D167E5"/>
    <w:rsid w:val="00D178FA"/>
    <w:rsid w:val="00D20853"/>
    <w:rsid w:val="00D2133B"/>
    <w:rsid w:val="00D21F32"/>
    <w:rsid w:val="00D22435"/>
    <w:rsid w:val="00D242E2"/>
    <w:rsid w:val="00D25683"/>
    <w:rsid w:val="00D25FA5"/>
    <w:rsid w:val="00D267A2"/>
    <w:rsid w:val="00D27EE5"/>
    <w:rsid w:val="00D30BA7"/>
    <w:rsid w:val="00D33BED"/>
    <w:rsid w:val="00D33E13"/>
    <w:rsid w:val="00D357D8"/>
    <w:rsid w:val="00D35EF7"/>
    <w:rsid w:val="00D36769"/>
    <w:rsid w:val="00D37A8C"/>
    <w:rsid w:val="00D40E76"/>
    <w:rsid w:val="00D42097"/>
    <w:rsid w:val="00D43F17"/>
    <w:rsid w:val="00D45963"/>
    <w:rsid w:val="00D4634A"/>
    <w:rsid w:val="00D46B5E"/>
    <w:rsid w:val="00D47434"/>
    <w:rsid w:val="00D47589"/>
    <w:rsid w:val="00D47724"/>
    <w:rsid w:val="00D47B36"/>
    <w:rsid w:val="00D47F32"/>
    <w:rsid w:val="00D505D6"/>
    <w:rsid w:val="00D514DA"/>
    <w:rsid w:val="00D517D7"/>
    <w:rsid w:val="00D53399"/>
    <w:rsid w:val="00D54592"/>
    <w:rsid w:val="00D55C1D"/>
    <w:rsid w:val="00D56194"/>
    <w:rsid w:val="00D600C7"/>
    <w:rsid w:val="00D638CF"/>
    <w:rsid w:val="00D6403F"/>
    <w:rsid w:val="00D649DA"/>
    <w:rsid w:val="00D6549D"/>
    <w:rsid w:val="00D65735"/>
    <w:rsid w:val="00D66252"/>
    <w:rsid w:val="00D6632D"/>
    <w:rsid w:val="00D663BB"/>
    <w:rsid w:val="00D6686D"/>
    <w:rsid w:val="00D6754D"/>
    <w:rsid w:val="00D72EC8"/>
    <w:rsid w:val="00D73C35"/>
    <w:rsid w:val="00D7437F"/>
    <w:rsid w:val="00D74812"/>
    <w:rsid w:val="00D74DDF"/>
    <w:rsid w:val="00D74FA9"/>
    <w:rsid w:val="00D75586"/>
    <w:rsid w:val="00D7670F"/>
    <w:rsid w:val="00D823BE"/>
    <w:rsid w:val="00D8415C"/>
    <w:rsid w:val="00D841B1"/>
    <w:rsid w:val="00D8478B"/>
    <w:rsid w:val="00D85745"/>
    <w:rsid w:val="00D863B2"/>
    <w:rsid w:val="00D86606"/>
    <w:rsid w:val="00D8694D"/>
    <w:rsid w:val="00D8700A"/>
    <w:rsid w:val="00D903FD"/>
    <w:rsid w:val="00D904DD"/>
    <w:rsid w:val="00D952CD"/>
    <w:rsid w:val="00D9636B"/>
    <w:rsid w:val="00D979B6"/>
    <w:rsid w:val="00D97EC3"/>
    <w:rsid w:val="00DA117A"/>
    <w:rsid w:val="00DA4A6B"/>
    <w:rsid w:val="00DA6429"/>
    <w:rsid w:val="00DA664B"/>
    <w:rsid w:val="00DB2CF8"/>
    <w:rsid w:val="00DB3B9E"/>
    <w:rsid w:val="00DB4CC8"/>
    <w:rsid w:val="00DB5D19"/>
    <w:rsid w:val="00DB645E"/>
    <w:rsid w:val="00DB68EC"/>
    <w:rsid w:val="00DB7261"/>
    <w:rsid w:val="00DC0FD0"/>
    <w:rsid w:val="00DC13B4"/>
    <w:rsid w:val="00DC13F6"/>
    <w:rsid w:val="00DC1617"/>
    <w:rsid w:val="00DC1938"/>
    <w:rsid w:val="00DC1AC1"/>
    <w:rsid w:val="00DC224B"/>
    <w:rsid w:val="00DC2C63"/>
    <w:rsid w:val="00DC557D"/>
    <w:rsid w:val="00DC5DED"/>
    <w:rsid w:val="00DC6741"/>
    <w:rsid w:val="00DC6BC5"/>
    <w:rsid w:val="00DD1A71"/>
    <w:rsid w:val="00DD2150"/>
    <w:rsid w:val="00DD219C"/>
    <w:rsid w:val="00DD2280"/>
    <w:rsid w:val="00DD2940"/>
    <w:rsid w:val="00DD2F86"/>
    <w:rsid w:val="00DD3E48"/>
    <w:rsid w:val="00DD556A"/>
    <w:rsid w:val="00DD5A06"/>
    <w:rsid w:val="00DD5D8E"/>
    <w:rsid w:val="00DD5D95"/>
    <w:rsid w:val="00DD6630"/>
    <w:rsid w:val="00DD6742"/>
    <w:rsid w:val="00DD6978"/>
    <w:rsid w:val="00DD79B8"/>
    <w:rsid w:val="00DE0E36"/>
    <w:rsid w:val="00DE3C26"/>
    <w:rsid w:val="00DE47DD"/>
    <w:rsid w:val="00DE5EA2"/>
    <w:rsid w:val="00DE6E4A"/>
    <w:rsid w:val="00DE7B15"/>
    <w:rsid w:val="00DF061E"/>
    <w:rsid w:val="00DF0FBD"/>
    <w:rsid w:val="00DF27C4"/>
    <w:rsid w:val="00DF356B"/>
    <w:rsid w:val="00DF4D93"/>
    <w:rsid w:val="00DF70F0"/>
    <w:rsid w:val="00DF7F4F"/>
    <w:rsid w:val="00E01148"/>
    <w:rsid w:val="00E030A7"/>
    <w:rsid w:val="00E05971"/>
    <w:rsid w:val="00E06C65"/>
    <w:rsid w:val="00E06EA7"/>
    <w:rsid w:val="00E06F4C"/>
    <w:rsid w:val="00E06FC2"/>
    <w:rsid w:val="00E07DB4"/>
    <w:rsid w:val="00E12384"/>
    <w:rsid w:val="00E130A5"/>
    <w:rsid w:val="00E13832"/>
    <w:rsid w:val="00E13B1A"/>
    <w:rsid w:val="00E13D13"/>
    <w:rsid w:val="00E15A29"/>
    <w:rsid w:val="00E162E2"/>
    <w:rsid w:val="00E20978"/>
    <w:rsid w:val="00E20DDE"/>
    <w:rsid w:val="00E21576"/>
    <w:rsid w:val="00E22E8E"/>
    <w:rsid w:val="00E24233"/>
    <w:rsid w:val="00E245DB"/>
    <w:rsid w:val="00E25DE6"/>
    <w:rsid w:val="00E266E6"/>
    <w:rsid w:val="00E30C16"/>
    <w:rsid w:val="00E30F23"/>
    <w:rsid w:val="00E3123A"/>
    <w:rsid w:val="00E313A5"/>
    <w:rsid w:val="00E329CC"/>
    <w:rsid w:val="00E33AAF"/>
    <w:rsid w:val="00E35466"/>
    <w:rsid w:val="00E35643"/>
    <w:rsid w:val="00E35A4D"/>
    <w:rsid w:val="00E363FE"/>
    <w:rsid w:val="00E37107"/>
    <w:rsid w:val="00E40A04"/>
    <w:rsid w:val="00E40B3E"/>
    <w:rsid w:val="00E40D82"/>
    <w:rsid w:val="00E41E13"/>
    <w:rsid w:val="00E4299C"/>
    <w:rsid w:val="00E42CA1"/>
    <w:rsid w:val="00E43D06"/>
    <w:rsid w:val="00E4570A"/>
    <w:rsid w:val="00E4693F"/>
    <w:rsid w:val="00E474AC"/>
    <w:rsid w:val="00E50018"/>
    <w:rsid w:val="00E50347"/>
    <w:rsid w:val="00E5178F"/>
    <w:rsid w:val="00E51B02"/>
    <w:rsid w:val="00E524C5"/>
    <w:rsid w:val="00E53D2E"/>
    <w:rsid w:val="00E54D3D"/>
    <w:rsid w:val="00E54D6C"/>
    <w:rsid w:val="00E575E3"/>
    <w:rsid w:val="00E610D5"/>
    <w:rsid w:val="00E62069"/>
    <w:rsid w:val="00E620AF"/>
    <w:rsid w:val="00E622C0"/>
    <w:rsid w:val="00E62BC0"/>
    <w:rsid w:val="00E62CCD"/>
    <w:rsid w:val="00E6333D"/>
    <w:rsid w:val="00E6560D"/>
    <w:rsid w:val="00E6561E"/>
    <w:rsid w:val="00E66715"/>
    <w:rsid w:val="00E66FA5"/>
    <w:rsid w:val="00E67A12"/>
    <w:rsid w:val="00E67F14"/>
    <w:rsid w:val="00E709B1"/>
    <w:rsid w:val="00E723B6"/>
    <w:rsid w:val="00E73006"/>
    <w:rsid w:val="00E73B4A"/>
    <w:rsid w:val="00E7434F"/>
    <w:rsid w:val="00E74918"/>
    <w:rsid w:val="00E753AE"/>
    <w:rsid w:val="00E7574B"/>
    <w:rsid w:val="00E75EA0"/>
    <w:rsid w:val="00E802FE"/>
    <w:rsid w:val="00E80AD5"/>
    <w:rsid w:val="00E80FF0"/>
    <w:rsid w:val="00E81128"/>
    <w:rsid w:val="00E8119F"/>
    <w:rsid w:val="00E82789"/>
    <w:rsid w:val="00E833FB"/>
    <w:rsid w:val="00E8349C"/>
    <w:rsid w:val="00E85789"/>
    <w:rsid w:val="00E858AA"/>
    <w:rsid w:val="00E8639B"/>
    <w:rsid w:val="00E86940"/>
    <w:rsid w:val="00E86DFB"/>
    <w:rsid w:val="00E86FB2"/>
    <w:rsid w:val="00E900EA"/>
    <w:rsid w:val="00E90C51"/>
    <w:rsid w:val="00E9193B"/>
    <w:rsid w:val="00E92088"/>
    <w:rsid w:val="00E9299C"/>
    <w:rsid w:val="00E94C22"/>
    <w:rsid w:val="00E96165"/>
    <w:rsid w:val="00E97137"/>
    <w:rsid w:val="00E974C3"/>
    <w:rsid w:val="00EA3629"/>
    <w:rsid w:val="00EA4A48"/>
    <w:rsid w:val="00EA5E93"/>
    <w:rsid w:val="00EA69CD"/>
    <w:rsid w:val="00EA7DD1"/>
    <w:rsid w:val="00EB0F36"/>
    <w:rsid w:val="00EB11AA"/>
    <w:rsid w:val="00EB31C3"/>
    <w:rsid w:val="00EB73D3"/>
    <w:rsid w:val="00EC1039"/>
    <w:rsid w:val="00EC2999"/>
    <w:rsid w:val="00EC51A0"/>
    <w:rsid w:val="00EC5F4A"/>
    <w:rsid w:val="00ED03D7"/>
    <w:rsid w:val="00ED0BEF"/>
    <w:rsid w:val="00ED1549"/>
    <w:rsid w:val="00ED1E16"/>
    <w:rsid w:val="00ED23BA"/>
    <w:rsid w:val="00ED2B12"/>
    <w:rsid w:val="00ED2C7F"/>
    <w:rsid w:val="00ED39C6"/>
    <w:rsid w:val="00ED3F5F"/>
    <w:rsid w:val="00ED425A"/>
    <w:rsid w:val="00ED4E4F"/>
    <w:rsid w:val="00ED5DE9"/>
    <w:rsid w:val="00EE2733"/>
    <w:rsid w:val="00EE2BD8"/>
    <w:rsid w:val="00EE310B"/>
    <w:rsid w:val="00EE3C07"/>
    <w:rsid w:val="00EE40F5"/>
    <w:rsid w:val="00EE6A85"/>
    <w:rsid w:val="00EE6E64"/>
    <w:rsid w:val="00EE6EFD"/>
    <w:rsid w:val="00EE76F4"/>
    <w:rsid w:val="00EF134A"/>
    <w:rsid w:val="00EF13F8"/>
    <w:rsid w:val="00EF245C"/>
    <w:rsid w:val="00EF2F9B"/>
    <w:rsid w:val="00EF33D0"/>
    <w:rsid w:val="00EF3767"/>
    <w:rsid w:val="00EF4473"/>
    <w:rsid w:val="00EF5AD6"/>
    <w:rsid w:val="00EF6BD4"/>
    <w:rsid w:val="00EF73ED"/>
    <w:rsid w:val="00EF7594"/>
    <w:rsid w:val="00F00675"/>
    <w:rsid w:val="00F021A5"/>
    <w:rsid w:val="00F04122"/>
    <w:rsid w:val="00F043E3"/>
    <w:rsid w:val="00F04E83"/>
    <w:rsid w:val="00F05711"/>
    <w:rsid w:val="00F103FF"/>
    <w:rsid w:val="00F1104E"/>
    <w:rsid w:val="00F113ED"/>
    <w:rsid w:val="00F1141A"/>
    <w:rsid w:val="00F129C2"/>
    <w:rsid w:val="00F139B0"/>
    <w:rsid w:val="00F14DF5"/>
    <w:rsid w:val="00F15ADC"/>
    <w:rsid w:val="00F161D0"/>
    <w:rsid w:val="00F211A0"/>
    <w:rsid w:val="00F21BCF"/>
    <w:rsid w:val="00F2274F"/>
    <w:rsid w:val="00F22BA1"/>
    <w:rsid w:val="00F23D2E"/>
    <w:rsid w:val="00F24BE0"/>
    <w:rsid w:val="00F25B1E"/>
    <w:rsid w:val="00F26092"/>
    <w:rsid w:val="00F26944"/>
    <w:rsid w:val="00F2704A"/>
    <w:rsid w:val="00F27539"/>
    <w:rsid w:val="00F27B77"/>
    <w:rsid w:val="00F309A7"/>
    <w:rsid w:val="00F32EE6"/>
    <w:rsid w:val="00F33F9C"/>
    <w:rsid w:val="00F34DA3"/>
    <w:rsid w:val="00F37D4F"/>
    <w:rsid w:val="00F4085B"/>
    <w:rsid w:val="00F40AF9"/>
    <w:rsid w:val="00F415E9"/>
    <w:rsid w:val="00F42360"/>
    <w:rsid w:val="00F44CD0"/>
    <w:rsid w:val="00F45047"/>
    <w:rsid w:val="00F4659D"/>
    <w:rsid w:val="00F46DE1"/>
    <w:rsid w:val="00F50DE1"/>
    <w:rsid w:val="00F50E94"/>
    <w:rsid w:val="00F52E0E"/>
    <w:rsid w:val="00F531DF"/>
    <w:rsid w:val="00F533DE"/>
    <w:rsid w:val="00F53B23"/>
    <w:rsid w:val="00F5435C"/>
    <w:rsid w:val="00F54780"/>
    <w:rsid w:val="00F56630"/>
    <w:rsid w:val="00F570BB"/>
    <w:rsid w:val="00F606F5"/>
    <w:rsid w:val="00F60F8B"/>
    <w:rsid w:val="00F612B7"/>
    <w:rsid w:val="00F61C65"/>
    <w:rsid w:val="00F6324F"/>
    <w:rsid w:val="00F63B19"/>
    <w:rsid w:val="00F658F8"/>
    <w:rsid w:val="00F65945"/>
    <w:rsid w:val="00F659EE"/>
    <w:rsid w:val="00F70F06"/>
    <w:rsid w:val="00F71F9E"/>
    <w:rsid w:val="00F72BE2"/>
    <w:rsid w:val="00F72CE0"/>
    <w:rsid w:val="00F73A55"/>
    <w:rsid w:val="00F7407B"/>
    <w:rsid w:val="00F74563"/>
    <w:rsid w:val="00F75608"/>
    <w:rsid w:val="00F7700A"/>
    <w:rsid w:val="00F77670"/>
    <w:rsid w:val="00F801A3"/>
    <w:rsid w:val="00F80A1B"/>
    <w:rsid w:val="00F81180"/>
    <w:rsid w:val="00F81B0F"/>
    <w:rsid w:val="00F836B3"/>
    <w:rsid w:val="00F847EF"/>
    <w:rsid w:val="00F864AE"/>
    <w:rsid w:val="00F86CF2"/>
    <w:rsid w:val="00F878B4"/>
    <w:rsid w:val="00F87B04"/>
    <w:rsid w:val="00F87E01"/>
    <w:rsid w:val="00F87ED2"/>
    <w:rsid w:val="00F90AB7"/>
    <w:rsid w:val="00F9132F"/>
    <w:rsid w:val="00F94425"/>
    <w:rsid w:val="00F944A9"/>
    <w:rsid w:val="00F94C6B"/>
    <w:rsid w:val="00F94EB1"/>
    <w:rsid w:val="00F9715A"/>
    <w:rsid w:val="00FA036E"/>
    <w:rsid w:val="00FA09F9"/>
    <w:rsid w:val="00FA10AA"/>
    <w:rsid w:val="00FA1CD3"/>
    <w:rsid w:val="00FA1D90"/>
    <w:rsid w:val="00FA22C4"/>
    <w:rsid w:val="00FA28FC"/>
    <w:rsid w:val="00FA3211"/>
    <w:rsid w:val="00FA37D5"/>
    <w:rsid w:val="00FA612F"/>
    <w:rsid w:val="00FA62EB"/>
    <w:rsid w:val="00FA643C"/>
    <w:rsid w:val="00FA7AF2"/>
    <w:rsid w:val="00FA7C6E"/>
    <w:rsid w:val="00FB0DC8"/>
    <w:rsid w:val="00FB0E3E"/>
    <w:rsid w:val="00FB1271"/>
    <w:rsid w:val="00FB144E"/>
    <w:rsid w:val="00FB2779"/>
    <w:rsid w:val="00FB453B"/>
    <w:rsid w:val="00FB6A77"/>
    <w:rsid w:val="00FB7B2D"/>
    <w:rsid w:val="00FC0356"/>
    <w:rsid w:val="00FC13DD"/>
    <w:rsid w:val="00FC17FC"/>
    <w:rsid w:val="00FC30D3"/>
    <w:rsid w:val="00FC3BEE"/>
    <w:rsid w:val="00FC4B21"/>
    <w:rsid w:val="00FC5DDE"/>
    <w:rsid w:val="00FC75A8"/>
    <w:rsid w:val="00FD2AE1"/>
    <w:rsid w:val="00FD4218"/>
    <w:rsid w:val="00FD4A8F"/>
    <w:rsid w:val="00FD4D1D"/>
    <w:rsid w:val="00FD79EC"/>
    <w:rsid w:val="00FE01AD"/>
    <w:rsid w:val="00FE1157"/>
    <w:rsid w:val="00FE21E1"/>
    <w:rsid w:val="00FE26B1"/>
    <w:rsid w:val="00FE2C74"/>
    <w:rsid w:val="00FE2E80"/>
    <w:rsid w:val="00FE3E4F"/>
    <w:rsid w:val="00FE516A"/>
    <w:rsid w:val="00FE5724"/>
    <w:rsid w:val="00FF021A"/>
    <w:rsid w:val="00FF07D2"/>
    <w:rsid w:val="00FF0FD3"/>
    <w:rsid w:val="00FF11D8"/>
    <w:rsid w:val="00FF11F7"/>
    <w:rsid w:val="00FF150B"/>
    <w:rsid w:val="00FF2591"/>
    <w:rsid w:val="00FF2A3D"/>
    <w:rsid w:val="00FF2B12"/>
    <w:rsid w:val="00FF2FDD"/>
    <w:rsid w:val="00FF3A5D"/>
    <w:rsid w:val="00FF45D5"/>
    <w:rsid w:val="00FF4D8F"/>
    <w:rsid w:val="00FF50B1"/>
    <w:rsid w:val="00FF7274"/>
    <w:rsid w:val="01300309"/>
    <w:rsid w:val="013F153F"/>
    <w:rsid w:val="014C5C3B"/>
    <w:rsid w:val="015B788C"/>
    <w:rsid w:val="015C4140"/>
    <w:rsid w:val="020531A4"/>
    <w:rsid w:val="021D04ED"/>
    <w:rsid w:val="02691984"/>
    <w:rsid w:val="026954E1"/>
    <w:rsid w:val="02B06627"/>
    <w:rsid w:val="02DC3F04"/>
    <w:rsid w:val="0323707D"/>
    <w:rsid w:val="0341574C"/>
    <w:rsid w:val="04566055"/>
    <w:rsid w:val="04E97C34"/>
    <w:rsid w:val="050463C4"/>
    <w:rsid w:val="059960DD"/>
    <w:rsid w:val="05BB1A9E"/>
    <w:rsid w:val="064A5629"/>
    <w:rsid w:val="069468A4"/>
    <w:rsid w:val="06CC603E"/>
    <w:rsid w:val="070361EF"/>
    <w:rsid w:val="074C5854"/>
    <w:rsid w:val="080261BB"/>
    <w:rsid w:val="08161C67"/>
    <w:rsid w:val="082F13E8"/>
    <w:rsid w:val="087C12C7"/>
    <w:rsid w:val="088C1F29"/>
    <w:rsid w:val="089A4646"/>
    <w:rsid w:val="08D55065"/>
    <w:rsid w:val="095F264D"/>
    <w:rsid w:val="096076EF"/>
    <w:rsid w:val="09622C8A"/>
    <w:rsid w:val="096E2C39"/>
    <w:rsid w:val="09877458"/>
    <w:rsid w:val="09895FFE"/>
    <w:rsid w:val="09CE5383"/>
    <w:rsid w:val="09F102DE"/>
    <w:rsid w:val="09F643F9"/>
    <w:rsid w:val="0A32324C"/>
    <w:rsid w:val="0A851DF6"/>
    <w:rsid w:val="0A8A06EA"/>
    <w:rsid w:val="0A917CCA"/>
    <w:rsid w:val="0AB2719C"/>
    <w:rsid w:val="0B846A84"/>
    <w:rsid w:val="0B8E5FB8"/>
    <w:rsid w:val="0B957346"/>
    <w:rsid w:val="0BCB720C"/>
    <w:rsid w:val="0BE856C8"/>
    <w:rsid w:val="0C085D6A"/>
    <w:rsid w:val="0C0D3381"/>
    <w:rsid w:val="0C26093E"/>
    <w:rsid w:val="0C572E75"/>
    <w:rsid w:val="0C691BD1"/>
    <w:rsid w:val="0D007FB3"/>
    <w:rsid w:val="0D2A44C2"/>
    <w:rsid w:val="0DAD77AE"/>
    <w:rsid w:val="0E0868E7"/>
    <w:rsid w:val="0E3F0DAA"/>
    <w:rsid w:val="0E460DCC"/>
    <w:rsid w:val="0E4F4473"/>
    <w:rsid w:val="0E546814"/>
    <w:rsid w:val="0E707BF7"/>
    <w:rsid w:val="0E917362"/>
    <w:rsid w:val="0EAE0E4B"/>
    <w:rsid w:val="0EB2020F"/>
    <w:rsid w:val="0EC95C85"/>
    <w:rsid w:val="0EF225FE"/>
    <w:rsid w:val="0F0559B6"/>
    <w:rsid w:val="0F37555B"/>
    <w:rsid w:val="0F3A26DF"/>
    <w:rsid w:val="0F943740"/>
    <w:rsid w:val="0F9811B3"/>
    <w:rsid w:val="0FB12878"/>
    <w:rsid w:val="0FC03CB9"/>
    <w:rsid w:val="0FDD16E2"/>
    <w:rsid w:val="0FED59A3"/>
    <w:rsid w:val="0FFFA95A"/>
    <w:rsid w:val="1051483D"/>
    <w:rsid w:val="10B8464E"/>
    <w:rsid w:val="10D068CA"/>
    <w:rsid w:val="10EC5508"/>
    <w:rsid w:val="11205904"/>
    <w:rsid w:val="112E1369"/>
    <w:rsid w:val="11812847"/>
    <w:rsid w:val="121178A4"/>
    <w:rsid w:val="125C0BBE"/>
    <w:rsid w:val="12C50511"/>
    <w:rsid w:val="12CD2132"/>
    <w:rsid w:val="12DE7825"/>
    <w:rsid w:val="131C54DD"/>
    <w:rsid w:val="13267353"/>
    <w:rsid w:val="13495C7E"/>
    <w:rsid w:val="13CD37F5"/>
    <w:rsid w:val="13CE5AEB"/>
    <w:rsid w:val="13EE1CEA"/>
    <w:rsid w:val="1408253C"/>
    <w:rsid w:val="143C343F"/>
    <w:rsid w:val="143C61AE"/>
    <w:rsid w:val="144D5D1A"/>
    <w:rsid w:val="14595396"/>
    <w:rsid w:val="14877AD9"/>
    <w:rsid w:val="14DF1632"/>
    <w:rsid w:val="14EB15F5"/>
    <w:rsid w:val="15145780"/>
    <w:rsid w:val="15186FAF"/>
    <w:rsid w:val="15581B10"/>
    <w:rsid w:val="158D1D41"/>
    <w:rsid w:val="15A970CE"/>
    <w:rsid w:val="163B0AEA"/>
    <w:rsid w:val="16747E6A"/>
    <w:rsid w:val="167C538B"/>
    <w:rsid w:val="168939E0"/>
    <w:rsid w:val="16961030"/>
    <w:rsid w:val="16CB7F70"/>
    <w:rsid w:val="16CD42DD"/>
    <w:rsid w:val="171D6872"/>
    <w:rsid w:val="177B7D38"/>
    <w:rsid w:val="1787240A"/>
    <w:rsid w:val="178C784F"/>
    <w:rsid w:val="179B3F36"/>
    <w:rsid w:val="17D879D7"/>
    <w:rsid w:val="181652C5"/>
    <w:rsid w:val="184C5231"/>
    <w:rsid w:val="185D708E"/>
    <w:rsid w:val="1887113B"/>
    <w:rsid w:val="195E521C"/>
    <w:rsid w:val="198B234D"/>
    <w:rsid w:val="199450E1"/>
    <w:rsid w:val="199C1263"/>
    <w:rsid w:val="19C239FC"/>
    <w:rsid w:val="19E2665F"/>
    <w:rsid w:val="1A1A6839"/>
    <w:rsid w:val="1A27797B"/>
    <w:rsid w:val="1AB11E86"/>
    <w:rsid w:val="1AF10826"/>
    <w:rsid w:val="1B2E0D9E"/>
    <w:rsid w:val="1B391A9C"/>
    <w:rsid w:val="1B5602C2"/>
    <w:rsid w:val="1B9E2247"/>
    <w:rsid w:val="1BA972F6"/>
    <w:rsid w:val="1BCF41AF"/>
    <w:rsid w:val="1BD802C2"/>
    <w:rsid w:val="1BF14125"/>
    <w:rsid w:val="1C4D7BCD"/>
    <w:rsid w:val="1C5B149D"/>
    <w:rsid w:val="1C6C135A"/>
    <w:rsid w:val="1C751853"/>
    <w:rsid w:val="1CA06A08"/>
    <w:rsid w:val="1D816DDE"/>
    <w:rsid w:val="1E31622A"/>
    <w:rsid w:val="1E5135A1"/>
    <w:rsid w:val="1E990EF1"/>
    <w:rsid w:val="1EA25855"/>
    <w:rsid w:val="1EB366EA"/>
    <w:rsid w:val="1ECE43BB"/>
    <w:rsid w:val="1F0E10C9"/>
    <w:rsid w:val="1F572E70"/>
    <w:rsid w:val="1F623698"/>
    <w:rsid w:val="1F634192"/>
    <w:rsid w:val="1F691D3E"/>
    <w:rsid w:val="1F824733"/>
    <w:rsid w:val="1FD47FE6"/>
    <w:rsid w:val="20151A81"/>
    <w:rsid w:val="2015630B"/>
    <w:rsid w:val="20394B54"/>
    <w:rsid w:val="205B0707"/>
    <w:rsid w:val="20836C4A"/>
    <w:rsid w:val="208C3619"/>
    <w:rsid w:val="20A96A36"/>
    <w:rsid w:val="21057D47"/>
    <w:rsid w:val="21125AAA"/>
    <w:rsid w:val="21274A8D"/>
    <w:rsid w:val="217A4BBD"/>
    <w:rsid w:val="217B381F"/>
    <w:rsid w:val="224C6559"/>
    <w:rsid w:val="228F785C"/>
    <w:rsid w:val="22C930A0"/>
    <w:rsid w:val="231177A3"/>
    <w:rsid w:val="231336BF"/>
    <w:rsid w:val="231F70DD"/>
    <w:rsid w:val="233A418D"/>
    <w:rsid w:val="233C22E0"/>
    <w:rsid w:val="23AA269C"/>
    <w:rsid w:val="23E50709"/>
    <w:rsid w:val="23E72EC6"/>
    <w:rsid w:val="24215D08"/>
    <w:rsid w:val="24575689"/>
    <w:rsid w:val="245E2574"/>
    <w:rsid w:val="24894346"/>
    <w:rsid w:val="24A27510"/>
    <w:rsid w:val="24D420EB"/>
    <w:rsid w:val="253E162A"/>
    <w:rsid w:val="25502CD5"/>
    <w:rsid w:val="257A41E5"/>
    <w:rsid w:val="258347E6"/>
    <w:rsid w:val="2597251E"/>
    <w:rsid w:val="25AB0E64"/>
    <w:rsid w:val="25D54F6F"/>
    <w:rsid w:val="25F1498B"/>
    <w:rsid w:val="270441E6"/>
    <w:rsid w:val="273C2EE6"/>
    <w:rsid w:val="275325AC"/>
    <w:rsid w:val="27A76588"/>
    <w:rsid w:val="27EA5342"/>
    <w:rsid w:val="27FD20A3"/>
    <w:rsid w:val="28123DA1"/>
    <w:rsid w:val="281F026C"/>
    <w:rsid w:val="281F7831"/>
    <w:rsid w:val="28561144"/>
    <w:rsid w:val="28953575"/>
    <w:rsid w:val="28983E1D"/>
    <w:rsid w:val="28A27323"/>
    <w:rsid w:val="28EA11F0"/>
    <w:rsid w:val="28FB3648"/>
    <w:rsid w:val="29472C62"/>
    <w:rsid w:val="295D3539"/>
    <w:rsid w:val="29826D04"/>
    <w:rsid w:val="29A405FD"/>
    <w:rsid w:val="29B64D58"/>
    <w:rsid w:val="29BB5D72"/>
    <w:rsid w:val="29DA269C"/>
    <w:rsid w:val="29DB0105"/>
    <w:rsid w:val="2A451142"/>
    <w:rsid w:val="2A685DE4"/>
    <w:rsid w:val="2A705E60"/>
    <w:rsid w:val="2A73664D"/>
    <w:rsid w:val="2AC603BE"/>
    <w:rsid w:val="2ADF75F6"/>
    <w:rsid w:val="2AFB6D6E"/>
    <w:rsid w:val="2B2177C0"/>
    <w:rsid w:val="2B6A5CA2"/>
    <w:rsid w:val="2BD80E5D"/>
    <w:rsid w:val="2BFB23E6"/>
    <w:rsid w:val="2C5B55EB"/>
    <w:rsid w:val="2C602C01"/>
    <w:rsid w:val="2C613836"/>
    <w:rsid w:val="2C6170A5"/>
    <w:rsid w:val="2C9C632F"/>
    <w:rsid w:val="2CC56BDB"/>
    <w:rsid w:val="2CD23E12"/>
    <w:rsid w:val="2D870D8D"/>
    <w:rsid w:val="2EB771D0"/>
    <w:rsid w:val="2F2A4967"/>
    <w:rsid w:val="2FC54BF7"/>
    <w:rsid w:val="2FD70FAD"/>
    <w:rsid w:val="2FFB511A"/>
    <w:rsid w:val="3038011D"/>
    <w:rsid w:val="305106B6"/>
    <w:rsid w:val="30AA0E56"/>
    <w:rsid w:val="30D2475D"/>
    <w:rsid w:val="30E3277E"/>
    <w:rsid w:val="31161248"/>
    <w:rsid w:val="314B3206"/>
    <w:rsid w:val="317B41B8"/>
    <w:rsid w:val="31FDAC48"/>
    <w:rsid w:val="32160F60"/>
    <w:rsid w:val="324328D1"/>
    <w:rsid w:val="325925CC"/>
    <w:rsid w:val="32866193"/>
    <w:rsid w:val="3307027A"/>
    <w:rsid w:val="330B1B18"/>
    <w:rsid w:val="33350C60"/>
    <w:rsid w:val="334826A6"/>
    <w:rsid w:val="3350487A"/>
    <w:rsid w:val="3381002D"/>
    <w:rsid w:val="338B5048"/>
    <w:rsid w:val="33E81E5A"/>
    <w:rsid w:val="33E84FB7"/>
    <w:rsid w:val="3448553B"/>
    <w:rsid w:val="34B65AB4"/>
    <w:rsid w:val="3565420A"/>
    <w:rsid w:val="3579545F"/>
    <w:rsid w:val="35F83766"/>
    <w:rsid w:val="35FF2BFA"/>
    <w:rsid w:val="36FDE8D0"/>
    <w:rsid w:val="37A61E10"/>
    <w:rsid w:val="37D44BCF"/>
    <w:rsid w:val="380A1709"/>
    <w:rsid w:val="38156F95"/>
    <w:rsid w:val="38271FD7"/>
    <w:rsid w:val="3837278C"/>
    <w:rsid w:val="38561A88"/>
    <w:rsid w:val="38765C86"/>
    <w:rsid w:val="3891486E"/>
    <w:rsid w:val="38B44A00"/>
    <w:rsid w:val="38F34FAE"/>
    <w:rsid w:val="390F2972"/>
    <w:rsid w:val="391E1E7A"/>
    <w:rsid w:val="393A4BBC"/>
    <w:rsid w:val="39783C80"/>
    <w:rsid w:val="39CB3D03"/>
    <w:rsid w:val="3AA647D2"/>
    <w:rsid w:val="3ADF4044"/>
    <w:rsid w:val="3AE74C19"/>
    <w:rsid w:val="3AFD61EB"/>
    <w:rsid w:val="3B4756B8"/>
    <w:rsid w:val="3B4E6061"/>
    <w:rsid w:val="3B5422C3"/>
    <w:rsid w:val="3B5424B5"/>
    <w:rsid w:val="3BBB7E54"/>
    <w:rsid w:val="3C0812EB"/>
    <w:rsid w:val="3C5B3478"/>
    <w:rsid w:val="3D66791E"/>
    <w:rsid w:val="3D7C2662"/>
    <w:rsid w:val="3D85696B"/>
    <w:rsid w:val="3D8A5D30"/>
    <w:rsid w:val="3D8E5AC9"/>
    <w:rsid w:val="3D9077BC"/>
    <w:rsid w:val="3E391C30"/>
    <w:rsid w:val="3E8859C8"/>
    <w:rsid w:val="3E9148CA"/>
    <w:rsid w:val="3E973163"/>
    <w:rsid w:val="3E9C3A26"/>
    <w:rsid w:val="3EC32C38"/>
    <w:rsid w:val="3F84512C"/>
    <w:rsid w:val="3F95DCCC"/>
    <w:rsid w:val="3FB79535"/>
    <w:rsid w:val="3FC656D4"/>
    <w:rsid w:val="3FFA6F02"/>
    <w:rsid w:val="400C0EBB"/>
    <w:rsid w:val="40302BBE"/>
    <w:rsid w:val="40BE0F76"/>
    <w:rsid w:val="40CD3D02"/>
    <w:rsid w:val="41151012"/>
    <w:rsid w:val="413C6C46"/>
    <w:rsid w:val="41B83D44"/>
    <w:rsid w:val="41D95E4C"/>
    <w:rsid w:val="42072EE9"/>
    <w:rsid w:val="422D3834"/>
    <w:rsid w:val="422E5823"/>
    <w:rsid w:val="428611BC"/>
    <w:rsid w:val="42A61BDF"/>
    <w:rsid w:val="43373DEF"/>
    <w:rsid w:val="43650587"/>
    <w:rsid w:val="438E1DA0"/>
    <w:rsid w:val="43B509B9"/>
    <w:rsid w:val="43E716C4"/>
    <w:rsid w:val="44006D4C"/>
    <w:rsid w:val="442742D8"/>
    <w:rsid w:val="446A53C3"/>
    <w:rsid w:val="448259B3"/>
    <w:rsid w:val="45156EDC"/>
    <w:rsid w:val="454964D0"/>
    <w:rsid w:val="45521716"/>
    <w:rsid w:val="45AA1727"/>
    <w:rsid w:val="45BD48AE"/>
    <w:rsid w:val="45C23588"/>
    <w:rsid w:val="4605689B"/>
    <w:rsid w:val="463351B6"/>
    <w:rsid w:val="46646D4A"/>
    <w:rsid w:val="46BD0F24"/>
    <w:rsid w:val="46E4008E"/>
    <w:rsid w:val="47084895"/>
    <w:rsid w:val="476C4B62"/>
    <w:rsid w:val="47CD5197"/>
    <w:rsid w:val="47F11990"/>
    <w:rsid w:val="47FB2395"/>
    <w:rsid w:val="48050A17"/>
    <w:rsid w:val="4856518C"/>
    <w:rsid w:val="48580F04"/>
    <w:rsid w:val="485E2293"/>
    <w:rsid w:val="4950709D"/>
    <w:rsid w:val="49527411"/>
    <w:rsid w:val="49A56C67"/>
    <w:rsid w:val="49F567ED"/>
    <w:rsid w:val="4A0A6787"/>
    <w:rsid w:val="4A2E4EA9"/>
    <w:rsid w:val="4A4721C6"/>
    <w:rsid w:val="4A607280"/>
    <w:rsid w:val="4A6C513B"/>
    <w:rsid w:val="4AD14BBC"/>
    <w:rsid w:val="4AF02EB3"/>
    <w:rsid w:val="4B307F16"/>
    <w:rsid w:val="4B3B2851"/>
    <w:rsid w:val="4B3B3D5F"/>
    <w:rsid w:val="4B4039DD"/>
    <w:rsid w:val="4B9304A5"/>
    <w:rsid w:val="4BBF14B2"/>
    <w:rsid w:val="4BC206BD"/>
    <w:rsid w:val="4BF03B4A"/>
    <w:rsid w:val="4C1D5FF2"/>
    <w:rsid w:val="4CF3615A"/>
    <w:rsid w:val="4D117102"/>
    <w:rsid w:val="4D3A32CE"/>
    <w:rsid w:val="4D6A3121"/>
    <w:rsid w:val="4D781194"/>
    <w:rsid w:val="4D990842"/>
    <w:rsid w:val="4E162199"/>
    <w:rsid w:val="4E1D3A41"/>
    <w:rsid w:val="4E3A10AC"/>
    <w:rsid w:val="4E4075E2"/>
    <w:rsid w:val="4E656499"/>
    <w:rsid w:val="4EBE1CDD"/>
    <w:rsid w:val="4F585C8E"/>
    <w:rsid w:val="4F5A7C58"/>
    <w:rsid w:val="4FA21C82"/>
    <w:rsid w:val="502E69EF"/>
    <w:rsid w:val="50901457"/>
    <w:rsid w:val="50A67D00"/>
    <w:rsid w:val="50B67718"/>
    <w:rsid w:val="50D93489"/>
    <w:rsid w:val="50E70180"/>
    <w:rsid w:val="518C0B09"/>
    <w:rsid w:val="51D42A8C"/>
    <w:rsid w:val="51E32F62"/>
    <w:rsid w:val="51F7712A"/>
    <w:rsid w:val="52EF09B9"/>
    <w:rsid w:val="52F47FAA"/>
    <w:rsid w:val="52F60FC2"/>
    <w:rsid w:val="53042DD0"/>
    <w:rsid w:val="5389287B"/>
    <w:rsid w:val="53933738"/>
    <w:rsid w:val="53C16CB6"/>
    <w:rsid w:val="53E775E0"/>
    <w:rsid w:val="540C44A4"/>
    <w:rsid w:val="546319C0"/>
    <w:rsid w:val="546E3DE0"/>
    <w:rsid w:val="548D0188"/>
    <w:rsid w:val="54A12E7B"/>
    <w:rsid w:val="54F46314"/>
    <w:rsid w:val="551C0E7A"/>
    <w:rsid w:val="554271C4"/>
    <w:rsid w:val="555E7D76"/>
    <w:rsid w:val="556D0B0C"/>
    <w:rsid w:val="559F856E"/>
    <w:rsid w:val="55C510F6"/>
    <w:rsid w:val="561173D0"/>
    <w:rsid w:val="565847C5"/>
    <w:rsid w:val="56592165"/>
    <w:rsid w:val="56707D61"/>
    <w:rsid w:val="56B33ED1"/>
    <w:rsid w:val="57174E60"/>
    <w:rsid w:val="5717642E"/>
    <w:rsid w:val="574014E1"/>
    <w:rsid w:val="574C5A25"/>
    <w:rsid w:val="576127D3"/>
    <w:rsid w:val="57885924"/>
    <w:rsid w:val="57891090"/>
    <w:rsid w:val="57B15634"/>
    <w:rsid w:val="580641C7"/>
    <w:rsid w:val="580927DB"/>
    <w:rsid w:val="58150BC0"/>
    <w:rsid w:val="58396290"/>
    <w:rsid w:val="583D3584"/>
    <w:rsid w:val="58421289"/>
    <w:rsid w:val="588E0D13"/>
    <w:rsid w:val="59306392"/>
    <w:rsid w:val="5967369D"/>
    <w:rsid w:val="59745DBA"/>
    <w:rsid w:val="59831B59"/>
    <w:rsid w:val="599D6EFC"/>
    <w:rsid w:val="59A315DB"/>
    <w:rsid w:val="5A0F163F"/>
    <w:rsid w:val="5A8646B8"/>
    <w:rsid w:val="5AC62645"/>
    <w:rsid w:val="5AC8583D"/>
    <w:rsid w:val="5AD20AF6"/>
    <w:rsid w:val="5B131324"/>
    <w:rsid w:val="5B1533D9"/>
    <w:rsid w:val="5B2D7FCE"/>
    <w:rsid w:val="5B311471"/>
    <w:rsid w:val="5B912063"/>
    <w:rsid w:val="5C2238AB"/>
    <w:rsid w:val="5CF315D6"/>
    <w:rsid w:val="5CF8349A"/>
    <w:rsid w:val="5D1E2550"/>
    <w:rsid w:val="5D4E1EA4"/>
    <w:rsid w:val="5DD514C9"/>
    <w:rsid w:val="5E3F7CF7"/>
    <w:rsid w:val="5EA65063"/>
    <w:rsid w:val="5EB05EE1"/>
    <w:rsid w:val="5EBA09C3"/>
    <w:rsid w:val="5EBB7FE7"/>
    <w:rsid w:val="5F2D4A41"/>
    <w:rsid w:val="5F3155D9"/>
    <w:rsid w:val="5F3E273E"/>
    <w:rsid w:val="5F4D54F9"/>
    <w:rsid w:val="5F622211"/>
    <w:rsid w:val="5FA913CA"/>
    <w:rsid w:val="5FAF4698"/>
    <w:rsid w:val="5FD749AD"/>
    <w:rsid w:val="60020629"/>
    <w:rsid w:val="60030460"/>
    <w:rsid w:val="60930ACB"/>
    <w:rsid w:val="609F02E4"/>
    <w:rsid w:val="60CE5DB0"/>
    <w:rsid w:val="60DD4245"/>
    <w:rsid w:val="60EE6452"/>
    <w:rsid w:val="60FF065F"/>
    <w:rsid w:val="613C540F"/>
    <w:rsid w:val="616D7366"/>
    <w:rsid w:val="61993908"/>
    <w:rsid w:val="622F287E"/>
    <w:rsid w:val="62793697"/>
    <w:rsid w:val="629D5887"/>
    <w:rsid w:val="62C36A06"/>
    <w:rsid w:val="636A66D9"/>
    <w:rsid w:val="63837B83"/>
    <w:rsid w:val="63F566E8"/>
    <w:rsid w:val="640F6E0B"/>
    <w:rsid w:val="6440400B"/>
    <w:rsid w:val="64762F12"/>
    <w:rsid w:val="64986E00"/>
    <w:rsid w:val="64AA2690"/>
    <w:rsid w:val="64D140C0"/>
    <w:rsid w:val="65733C50"/>
    <w:rsid w:val="658E5B0E"/>
    <w:rsid w:val="65923430"/>
    <w:rsid w:val="65F8567D"/>
    <w:rsid w:val="666878CC"/>
    <w:rsid w:val="66974E96"/>
    <w:rsid w:val="66E63727"/>
    <w:rsid w:val="67136C12"/>
    <w:rsid w:val="67287BBE"/>
    <w:rsid w:val="672D04AD"/>
    <w:rsid w:val="672F4716"/>
    <w:rsid w:val="67AC2BC3"/>
    <w:rsid w:val="67D068B1"/>
    <w:rsid w:val="68060D49"/>
    <w:rsid w:val="6828189F"/>
    <w:rsid w:val="682D3D04"/>
    <w:rsid w:val="68BC5088"/>
    <w:rsid w:val="68C006D4"/>
    <w:rsid w:val="692310A4"/>
    <w:rsid w:val="695E256B"/>
    <w:rsid w:val="69737C6F"/>
    <w:rsid w:val="69981651"/>
    <w:rsid w:val="699D0A15"/>
    <w:rsid w:val="69F8571C"/>
    <w:rsid w:val="69FE6364"/>
    <w:rsid w:val="6A206504"/>
    <w:rsid w:val="6A58493C"/>
    <w:rsid w:val="6AA70FDE"/>
    <w:rsid w:val="6AB06526"/>
    <w:rsid w:val="6AC344AB"/>
    <w:rsid w:val="6AF53820"/>
    <w:rsid w:val="6AF748A0"/>
    <w:rsid w:val="6B2B3DFF"/>
    <w:rsid w:val="6B59096C"/>
    <w:rsid w:val="6BEB771D"/>
    <w:rsid w:val="6BF07522"/>
    <w:rsid w:val="6BF62F98"/>
    <w:rsid w:val="6C1326C4"/>
    <w:rsid w:val="6D2F7BD6"/>
    <w:rsid w:val="6D891EDD"/>
    <w:rsid w:val="6D8C2EF3"/>
    <w:rsid w:val="6E0252EB"/>
    <w:rsid w:val="6E7475A2"/>
    <w:rsid w:val="6E82467D"/>
    <w:rsid w:val="6ED924EF"/>
    <w:rsid w:val="6EE5435C"/>
    <w:rsid w:val="6F045092"/>
    <w:rsid w:val="6FD95051"/>
    <w:rsid w:val="6FF7E7A7"/>
    <w:rsid w:val="6FFA9E46"/>
    <w:rsid w:val="70812E3F"/>
    <w:rsid w:val="709F3BC2"/>
    <w:rsid w:val="70B6166E"/>
    <w:rsid w:val="70C778D3"/>
    <w:rsid w:val="70FF3D63"/>
    <w:rsid w:val="710B4E43"/>
    <w:rsid w:val="71136C39"/>
    <w:rsid w:val="712612F0"/>
    <w:rsid w:val="7171781D"/>
    <w:rsid w:val="71C01745"/>
    <w:rsid w:val="71CA611F"/>
    <w:rsid w:val="71D14601"/>
    <w:rsid w:val="71EC078C"/>
    <w:rsid w:val="724529A5"/>
    <w:rsid w:val="72516841"/>
    <w:rsid w:val="72BB4884"/>
    <w:rsid w:val="72C214EC"/>
    <w:rsid w:val="72FA2A34"/>
    <w:rsid w:val="74583EB6"/>
    <w:rsid w:val="74736F42"/>
    <w:rsid w:val="747F469B"/>
    <w:rsid w:val="74844CAB"/>
    <w:rsid w:val="74E4399C"/>
    <w:rsid w:val="752B5547"/>
    <w:rsid w:val="7530273D"/>
    <w:rsid w:val="757C1B1E"/>
    <w:rsid w:val="759E7FEF"/>
    <w:rsid w:val="76085E43"/>
    <w:rsid w:val="76237B5F"/>
    <w:rsid w:val="7662101C"/>
    <w:rsid w:val="76871A3A"/>
    <w:rsid w:val="76A40805"/>
    <w:rsid w:val="76BB24DB"/>
    <w:rsid w:val="76EE0549"/>
    <w:rsid w:val="77471FC0"/>
    <w:rsid w:val="775C1F10"/>
    <w:rsid w:val="77837D63"/>
    <w:rsid w:val="778A603E"/>
    <w:rsid w:val="77E31CE9"/>
    <w:rsid w:val="78085BF3"/>
    <w:rsid w:val="780A3970"/>
    <w:rsid w:val="784968FE"/>
    <w:rsid w:val="785F0440"/>
    <w:rsid w:val="78643617"/>
    <w:rsid w:val="78787533"/>
    <w:rsid w:val="78BC53CF"/>
    <w:rsid w:val="78E269E7"/>
    <w:rsid w:val="78E73268"/>
    <w:rsid w:val="792544B5"/>
    <w:rsid w:val="793E5EA0"/>
    <w:rsid w:val="79A127C2"/>
    <w:rsid w:val="79A30953"/>
    <w:rsid w:val="79AB1B4E"/>
    <w:rsid w:val="79D7587D"/>
    <w:rsid w:val="79EB1495"/>
    <w:rsid w:val="79EF748B"/>
    <w:rsid w:val="7A3C3932"/>
    <w:rsid w:val="7A8678F9"/>
    <w:rsid w:val="7AC35E02"/>
    <w:rsid w:val="7ACC2BDD"/>
    <w:rsid w:val="7ACF2DEC"/>
    <w:rsid w:val="7AE069B4"/>
    <w:rsid w:val="7AF137F9"/>
    <w:rsid w:val="7B03623F"/>
    <w:rsid w:val="7B1623D5"/>
    <w:rsid w:val="7B9854E0"/>
    <w:rsid w:val="7BDA3403"/>
    <w:rsid w:val="7BDE556C"/>
    <w:rsid w:val="7C02545D"/>
    <w:rsid w:val="7C0807E3"/>
    <w:rsid w:val="7C4667B6"/>
    <w:rsid w:val="7C5A6013"/>
    <w:rsid w:val="7C75312C"/>
    <w:rsid w:val="7C766AAB"/>
    <w:rsid w:val="7C887296"/>
    <w:rsid w:val="7C9F3284"/>
    <w:rsid w:val="7CD75B94"/>
    <w:rsid w:val="7CE3278B"/>
    <w:rsid w:val="7D01060F"/>
    <w:rsid w:val="7D8B5B77"/>
    <w:rsid w:val="7D8F67D7"/>
    <w:rsid w:val="7DA61F6B"/>
    <w:rsid w:val="7DEA7CC7"/>
    <w:rsid w:val="7E10135E"/>
    <w:rsid w:val="7E47212B"/>
    <w:rsid w:val="7EF56893"/>
    <w:rsid w:val="7F2E23E3"/>
    <w:rsid w:val="7F746271"/>
    <w:rsid w:val="7F791C61"/>
    <w:rsid w:val="7F7B5631"/>
    <w:rsid w:val="7F7F2980"/>
    <w:rsid w:val="7F995383"/>
    <w:rsid w:val="7FB1527D"/>
    <w:rsid w:val="7FB556F3"/>
    <w:rsid w:val="7FEBBAD2"/>
    <w:rsid w:val="CCDE25ED"/>
    <w:rsid w:val="DAFE500B"/>
    <w:rsid w:val="DEDD9E78"/>
    <w:rsid w:val="E773A819"/>
    <w:rsid w:val="EE75E1DE"/>
    <w:rsid w:val="EF7DCCA9"/>
    <w:rsid w:val="F7AF44C0"/>
    <w:rsid w:val="FCBFD637"/>
    <w:rsid w:val="FEFFDB27"/>
    <w:rsid w:val="FFBEE89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99"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napToGrid w:val="0"/>
      <w:spacing w:line="360" w:lineRule="auto"/>
      <w:ind w:firstLine="960" w:firstLineChars="200"/>
      <w:jc w:val="both"/>
    </w:pPr>
    <w:rPr>
      <w:rFonts w:eastAsia="仿宋_GB2312" w:cs="仿宋_GB2312" w:asciiTheme="minorHAnsi" w:hAnsiTheme="minorHAnsi"/>
      <w:kern w:val="2"/>
      <w:sz w:val="32"/>
      <w:szCs w:val="32"/>
      <w:lang w:val="en-US" w:eastAsia="zh-CN" w:bidi="ar-SA"/>
    </w:rPr>
  </w:style>
  <w:style w:type="paragraph" w:styleId="2">
    <w:name w:val="heading 1"/>
    <w:basedOn w:val="1"/>
    <w:next w:val="1"/>
    <w:link w:val="26"/>
    <w:autoRedefine/>
    <w:qFormat/>
    <w:uiPriority w:val="0"/>
    <w:pPr>
      <w:keepNext/>
      <w:keepLines/>
      <w:outlineLvl w:val="0"/>
    </w:pPr>
    <w:rPr>
      <w:rFonts w:eastAsia="黑体"/>
      <w:bCs/>
      <w:kern w:val="44"/>
      <w:szCs w:val="44"/>
    </w:rPr>
  </w:style>
  <w:style w:type="paragraph" w:styleId="3">
    <w:name w:val="heading 2"/>
    <w:basedOn w:val="1"/>
    <w:next w:val="1"/>
    <w:link w:val="37"/>
    <w:autoRedefine/>
    <w:unhideWhenUsed/>
    <w:qFormat/>
    <w:uiPriority w:val="0"/>
    <w:pPr>
      <w:keepNext/>
      <w:keepLines/>
      <w:outlineLvl w:val="1"/>
    </w:pPr>
    <w:rPr>
      <w:rFonts w:ascii="Arial" w:hAnsi="Arial" w:eastAsia="楷体_GB2312"/>
    </w:rPr>
  </w:style>
  <w:style w:type="paragraph" w:styleId="4">
    <w:name w:val="heading 3"/>
    <w:basedOn w:val="1"/>
    <w:next w:val="1"/>
    <w:link w:val="27"/>
    <w:autoRedefine/>
    <w:unhideWhenUsed/>
    <w:qFormat/>
    <w:uiPriority w:val="0"/>
    <w:pPr>
      <w:keepNext/>
      <w:keepLines/>
      <w:outlineLvl w:val="2"/>
    </w:pPr>
    <w:rPr>
      <w:rFonts w:ascii="仿宋_GB2312" w:hAnsi="仿宋_GB2312"/>
      <w:b/>
    </w:r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annotation text"/>
    <w:basedOn w:val="1"/>
    <w:link w:val="48"/>
    <w:autoRedefine/>
    <w:qFormat/>
    <w:uiPriority w:val="0"/>
    <w:pPr>
      <w:jc w:val="left"/>
    </w:pPr>
  </w:style>
  <w:style w:type="paragraph" w:styleId="6">
    <w:name w:val="Body Text"/>
    <w:basedOn w:val="1"/>
    <w:link w:val="33"/>
    <w:autoRedefine/>
    <w:qFormat/>
    <w:uiPriority w:val="0"/>
    <w:pPr>
      <w:adjustRightInd/>
      <w:snapToGrid/>
      <w:spacing w:after="120" w:line="240" w:lineRule="auto"/>
      <w:ind w:firstLine="0" w:firstLineChars="0"/>
    </w:pPr>
    <w:rPr>
      <w:rFonts w:eastAsiaTheme="minorEastAsia" w:cstheme="minorBidi"/>
      <w:sz w:val="21"/>
      <w:szCs w:val="24"/>
    </w:rPr>
  </w:style>
  <w:style w:type="paragraph" w:styleId="7">
    <w:name w:val="Body Text Indent"/>
    <w:basedOn w:val="1"/>
    <w:autoRedefine/>
    <w:qFormat/>
    <w:uiPriority w:val="0"/>
    <w:pPr>
      <w:spacing w:after="120"/>
      <w:ind w:left="420" w:leftChars="200"/>
    </w:pPr>
  </w:style>
  <w:style w:type="paragraph" w:styleId="8">
    <w:name w:val="Plain Text"/>
    <w:basedOn w:val="1"/>
    <w:link w:val="43"/>
    <w:autoRedefine/>
    <w:qFormat/>
    <w:uiPriority w:val="0"/>
    <w:pPr>
      <w:adjustRightInd/>
      <w:snapToGrid/>
      <w:spacing w:line="240" w:lineRule="auto"/>
      <w:ind w:firstLine="0" w:firstLineChars="0"/>
    </w:pPr>
    <w:rPr>
      <w:rFonts w:ascii="宋体" w:hAnsi="Courier New" w:cs="Courier New" w:eastAsiaTheme="minorEastAsia"/>
      <w:sz w:val="21"/>
      <w:szCs w:val="21"/>
    </w:rPr>
  </w:style>
  <w:style w:type="paragraph" w:styleId="9">
    <w:name w:val="Date"/>
    <w:basedOn w:val="1"/>
    <w:next w:val="1"/>
    <w:link w:val="31"/>
    <w:autoRedefine/>
    <w:qFormat/>
    <w:uiPriority w:val="0"/>
    <w:pPr>
      <w:ind w:left="100" w:leftChars="2500"/>
    </w:pPr>
  </w:style>
  <w:style w:type="paragraph" w:styleId="10">
    <w:name w:val="Balloon Text"/>
    <w:basedOn w:val="1"/>
    <w:link w:val="30"/>
    <w:autoRedefine/>
    <w:qFormat/>
    <w:uiPriority w:val="0"/>
    <w:pPr>
      <w:spacing w:line="240" w:lineRule="auto"/>
    </w:pPr>
    <w:rPr>
      <w:sz w:val="18"/>
      <w:szCs w:val="18"/>
    </w:rPr>
  </w:style>
  <w:style w:type="paragraph" w:styleId="11">
    <w:name w:val="footer"/>
    <w:basedOn w:val="1"/>
    <w:link w:val="35"/>
    <w:autoRedefine/>
    <w:qFormat/>
    <w:uiPriority w:val="99"/>
    <w:pPr>
      <w:tabs>
        <w:tab w:val="center" w:pos="4153"/>
        <w:tab w:val="right" w:pos="8306"/>
      </w:tabs>
      <w:jc w:val="left"/>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styleId="13">
    <w:name w:val="toc 1"/>
    <w:basedOn w:val="1"/>
    <w:next w:val="1"/>
    <w:autoRedefine/>
    <w:qFormat/>
    <w:uiPriority w:val="39"/>
  </w:style>
  <w:style w:type="paragraph" w:styleId="14">
    <w:name w:val="toc 2"/>
    <w:basedOn w:val="1"/>
    <w:next w:val="1"/>
    <w:autoRedefine/>
    <w:qFormat/>
    <w:uiPriority w:val="39"/>
    <w:pPr>
      <w:ind w:left="420" w:leftChars="200"/>
    </w:pPr>
  </w:style>
  <w:style w:type="paragraph" w:styleId="1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6">
    <w:name w:val="Normal (Web)"/>
    <w:basedOn w:val="1"/>
    <w:autoRedefine/>
    <w:qFormat/>
    <w:uiPriority w:val="99"/>
    <w:pPr>
      <w:adjustRightInd/>
      <w:snapToGrid/>
      <w:spacing w:line="240" w:lineRule="auto"/>
      <w:ind w:firstLine="0" w:firstLineChars="0"/>
      <w:jc w:val="left"/>
    </w:pPr>
    <w:rPr>
      <w:rFonts w:cs="Times New Roman" w:eastAsiaTheme="minorEastAsia"/>
      <w:kern w:val="0"/>
      <w:sz w:val="24"/>
      <w:szCs w:val="24"/>
    </w:rPr>
  </w:style>
  <w:style w:type="paragraph" w:styleId="17">
    <w:name w:val="Title"/>
    <w:basedOn w:val="1"/>
    <w:next w:val="1"/>
    <w:link w:val="38"/>
    <w:autoRedefine/>
    <w:qFormat/>
    <w:uiPriority w:val="0"/>
    <w:pPr>
      <w:spacing w:before="240" w:after="60"/>
      <w:jc w:val="center"/>
      <w:outlineLvl w:val="0"/>
    </w:pPr>
    <w:rPr>
      <w:rFonts w:eastAsia="宋体" w:asciiTheme="majorHAnsi" w:hAnsiTheme="majorHAnsi" w:cstheme="majorBidi"/>
      <w:b/>
      <w:bCs/>
    </w:rPr>
  </w:style>
  <w:style w:type="paragraph" w:styleId="18">
    <w:name w:val="annotation subject"/>
    <w:basedOn w:val="5"/>
    <w:next w:val="5"/>
    <w:link w:val="49"/>
    <w:autoRedefine/>
    <w:semiHidden/>
    <w:unhideWhenUsed/>
    <w:qFormat/>
    <w:uiPriority w:val="0"/>
    <w:rPr>
      <w:b/>
      <w:bCs/>
    </w:rPr>
  </w:style>
  <w:style w:type="paragraph" w:styleId="19">
    <w:name w:val="Body Text First Indent 2"/>
    <w:basedOn w:val="7"/>
    <w:link w:val="34"/>
    <w:autoRedefine/>
    <w:qFormat/>
    <w:uiPriority w:val="0"/>
    <w:pPr>
      <w:ind w:firstLine="420"/>
    </w:p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99"/>
    <w:rPr>
      <w:rFonts w:cs="Times New Roman"/>
      <w:b/>
      <w:bCs/>
    </w:rPr>
  </w:style>
  <w:style w:type="character" w:styleId="24">
    <w:name w:val="Hyperlink"/>
    <w:basedOn w:val="22"/>
    <w:autoRedefine/>
    <w:unhideWhenUsed/>
    <w:qFormat/>
    <w:uiPriority w:val="99"/>
    <w:rPr>
      <w:color w:val="0563C1" w:themeColor="hyperlink"/>
      <w:u w:val="single"/>
      <w14:textFill>
        <w14:solidFill>
          <w14:schemeClr w14:val="hlink"/>
        </w14:solidFill>
      </w14:textFill>
    </w:rPr>
  </w:style>
  <w:style w:type="character" w:styleId="25">
    <w:name w:val="annotation reference"/>
    <w:basedOn w:val="22"/>
    <w:autoRedefine/>
    <w:semiHidden/>
    <w:unhideWhenUsed/>
    <w:qFormat/>
    <w:uiPriority w:val="0"/>
    <w:rPr>
      <w:sz w:val="21"/>
      <w:szCs w:val="21"/>
    </w:rPr>
  </w:style>
  <w:style w:type="character" w:customStyle="1" w:styleId="26">
    <w:name w:val="标题 1 字符"/>
    <w:link w:val="2"/>
    <w:autoRedefine/>
    <w:qFormat/>
    <w:uiPriority w:val="0"/>
    <w:rPr>
      <w:rFonts w:ascii="Calibri" w:hAnsi="Calibri" w:eastAsia="黑体" w:cs="Times New Roman"/>
      <w:kern w:val="44"/>
      <w:sz w:val="28"/>
    </w:rPr>
  </w:style>
  <w:style w:type="character" w:customStyle="1" w:styleId="27">
    <w:name w:val="标题 3 字符"/>
    <w:link w:val="4"/>
    <w:autoRedefine/>
    <w:qFormat/>
    <w:uiPriority w:val="0"/>
    <w:rPr>
      <w:rFonts w:ascii="仿宋_GB2312" w:hAnsi="仿宋_GB2312" w:eastAsia="仿宋_GB2312"/>
      <w:b/>
      <w:sz w:val="32"/>
    </w:rPr>
  </w:style>
  <w:style w:type="paragraph" w:customStyle="1" w:styleId="28">
    <w:name w:val="WPSOffice手动目录 1"/>
    <w:autoRedefine/>
    <w:qFormat/>
    <w:uiPriority w:val="0"/>
    <w:rPr>
      <w:rFonts w:ascii="Times New Roman" w:hAnsi="Times New Roman" w:eastAsia="宋体" w:cs="Times New Roman"/>
      <w:lang w:val="en-US" w:eastAsia="zh-CN" w:bidi="ar-SA"/>
    </w:rPr>
  </w:style>
  <w:style w:type="paragraph" w:customStyle="1" w:styleId="29">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30">
    <w:name w:val="批注框文本 字符"/>
    <w:basedOn w:val="22"/>
    <w:link w:val="10"/>
    <w:autoRedefine/>
    <w:qFormat/>
    <w:uiPriority w:val="0"/>
    <w:rPr>
      <w:rFonts w:eastAsia="仿宋_GB2312" w:cs="仿宋_GB2312" w:asciiTheme="minorHAnsi" w:hAnsiTheme="minorHAnsi"/>
      <w:kern w:val="2"/>
      <w:sz w:val="18"/>
      <w:szCs w:val="18"/>
    </w:rPr>
  </w:style>
  <w:style w:type="character" w:customStyle="1" w:styleId="31">
    <w:name w:val="日期 字符"/>
    <w:basedOn w:val="22"/>
    <w:link w:val="9"/>
    <w:autoRedefine/>
    <w:qFormat/>
    <w:uiPriority w:val="0"/>
    <w:rPr>
      <w:rFonts w:eastAsia="仿宋_GB2312" w:cs="仿宋_GB2312" w:asciiTheme="minorHAnsi" w:hAnsiTheme="minorHAnsi"/>
      <w:kern w:val="2"/>
      <w:sz w:val="32"/>
      <w:szCs w:val="32"/>
    </w:rPr>
  </w:style>
  <w:style w:type="paragraph" w:styleId="32">
    <w:name w:val="List Paragraph"/>
    <w:basedOn w:val="1"/>
    <w:autoRedefine/>
    <w:qFormat/>
    <w:uiPriority w:val="34"/>
    <w:pPr>
      <w:widowControl/>
      <w:adjustRightInd/>
      <w:snapToGrid/>
      <w:spacing w:line="240" w:lineRule="auto"/>
      <w:ind w:firstLine="420"/>
      <w:jc w:val="left"/>
    </w:pPr>
    <w:rPr>
      <w:rFonts w:ascii="Calibri" w:hAnsi="Calibri" w:eastAsia="宋体" w:cs="Times New Roman"/>
      <w:sz w:val="21"/>
      <w:szCs w:val="24"/>
    </w:rPr>
  </w:style>
  <w:style w:type="character" w:customStyle="1" w:styleId="33">
    <w:name w:val="正文文本 字符"/>
    <w:basedOn w:val="22"/>
    <w:link w:val="6"/>
    <w:autoRedefine/>
    <w:qFormat/>
    <w:uiPriority w:val="0"/>
    <w:rPr>
      <w:rFonts w:asciiTheme="minorHAnsi" w:hAnsiTheme="minorHAnsi" w:eastAsiaTheme="minorEastAsia" w:cstheme="minorBidi"/>
      <w:kern w:val="2"/>
      <w:sz w:val="21"/>
      <w:szCs w:val="24"/>
    </w:rPr>
  </w:style>
  <w:style w:type="character" w:customStyle="1" w:styleId="34">
    <w:name w:val="正文文本首行缩进 2 字符"/>
    <w:basedOn w:val="22"/>
    <w:link w:val="19"/>
    <w:autoRedefine/>
    <w:qFormat/>
    <w:uiPriority w:val="99"/>
    <w:rPr>
      <w:rFonts w:eastAsia="仿宋_GB2312" w:cs="仿宋_GB2312" w:asciiTheme="minorHAnsi" w:hAnsiTheme="minorHAnsi"/>
      <w:kern w:val="2"/>
      <w:sz w:val="32"/>
      <w:szCs w:val="32"/>
    </w:rPr>
  </w:style>
  <w:style w:type="character" w:customStyle="1" w:styleId="35">
    <w:name w:val="页脚 字符"/>
    <w:basedOn w:val="22"/>
    <w:link w:val="11"/>
    <w:autoRedefine/>
    <w:qFormat/>
    <w:uiPriority w:val="99"/>
    <w:rPr>
      <w:rFonts w:eastAsia="仿宋_GB2312" w:cs="仿宋_GB2312" w:asciiTheme="minorHAnsi" w:hAnsiTheme="minorHAnsi"/>
      <w:kern w:val="2"/>
      <w:sz w:val="18"/>
      <w:szCs w:val="32"/>
    </w:rPr>
  </w:style>
  <w:style w:type="paragraph" w:customStyle="1" w:styleId="36">
    <w:name w:val="TOC 标题1"/>
    <w:basedOn w:val="2"/>
    <w:next w:val="1"/>
    <w:autoRedefine/>
    <w:unhideWhenUsed/>
    <w:qFormat/>
    <w:uiPriority w:val="39"/>
    <w:pPr>
      <w:widowControl/>
      <w:adjustRightInd/>
      <w:snapToGrid/>
      <w:spacing w:before="480" w:line="276" w:lineRule="auto"/>
      <w:ind w:firstLine="0" w:firstLineChars="0"/>
      <w:jc w:val="left"/>
      <w:outlineLvl w:val="9"/>
    </w:pPr>
    <w:rPr>
      <w:rFonts w:asciiTheme="majorHAnsi" w:hAnsiTheme="majorHAnsi" w:eastAsiaTheme="majorEastAsia" w:cstheme="majorBidi"/>
      <w:b/>
      <w:color w:val="2E75B6" w:themeColor="accent1" w:themeShade="BF"/>
      <w:kern w:val="0"/>
      <w:sz w:val="28"/>
      <w:szCs w:val="28"/>
    </w:rPr>
  </w:style>
  <w:style w:type="character" w:customStyle="1" w:styleId="37">
    <w:name w:val="标题 2 字符"/>
    <w:basedOn w:val="22"/>
    <w:link w:val="3"/>
    <w:autoRedefine/>
    <w:qFormat/>
    <w:uiPriority w:val="0"/>
    <w:rPr>
      <w:rFonts w:ascii="Arial" w:hAnsi="Arial" w:eastAsia="楷体_GB2312" w:cs="仿宋_GB2312"/>
      <w:kern w:val="2"/>
      <w:sz w:val="32"/>
      <w:szCs w:val="32"/>
    </w:rPr>
  </w:style>
  <w:style w:type="character" w:customStyle="1" w:styleId="38">
    <w:name w:val="标题 字符"/>
    <w:basedOn w:val="22"/>
    <w:link w:val="17"/>
    <w:autoRedefine/>
    <w:qFormat/>
    <w:uiPriority w:val="0"/>
    <w:rPr>
      <w:rFonts w:asciiTheme="majorHAnsi" w:hAnsiTheme="majorHAnsi" w:cstheme="majorBidi"/>
      <w:b/>
      <w:bCs/>
      <w:kern w:val="2"/>
      <w:sz w:val="32"/>
      <w:szCs w:val="32"/>
    </w:rPr>
  </w:style>
  <w:style w:type="paragraph" w:customStyle="1" w:styleId="39">
    <w:name w:val="TOC 标题2"/>
    <w:basedOn w:val="2"/>
    <w:next w:val="1"/>
    <w:autoRedefine/>
    <w:unhideWhenUsed/>
    <w:qFormat/>
    <w:uiPriority w:val="39"/>
    <w:pPr>
      <w:widowControl/>
      <w:adjustRightInd/>
      <w:snapToGrid/>
      <w:spacing w:before="480" w:line="276" w:lineRule="auto"/>
      <w:ind w:firstLine="0" w:firstLineChars="0"/>
      <w:jc w:val="left"/>
      <w:outlineLvl w:val="9"/>
    </w:pPr>
    <w:rPr>
      <w:rFonts w:asciiTheme="majorHAnsi" w:hAnsiTheme="majorHAnsi" w:eastAsiaTheme="majorEastAsia" w:cstheme="majorBidi"/>
      <w:b/>
      <w:color w:val="2E75B6" w:themeColor="accent1" w:themeShade="BF"/>
      <w:kern w:val="0"/>
      <w:sz w:val="28"/>
      <w:szCs w:val="28"/>
    </w:rPr>
  </w:style>
  <w:style w:type="character" w:styleId="40">
    <w:name w:val="Placeholder Text"/>
    <w:basedOn w:val="22"/>
    <w:autoRedefine/>
    <w:unhideWhenUsed/>
    <w:qFormat/>
    <w:uiPriority w:val="99"/>
    <w:rPr>
      <w:color w:val="808080"/>
    </w:rPr>
  </w:style>
  <w:style w:type="character" w:customStyle="1" w:styleId="41">
    <w:name w:val="apple-converted-space"/>
    <w:basedOn w:val="22"/>
    <w:autoRedefine/>
    <w:qFormat/>
    <w:uiPriority w:val="0"/>
  </w:style>
  <w:style w:type="character" w:customStyle="1" w:styleId="42">
    <w:name w:val="纯文本 Char"/>
    <w:basedOn w:val="22"/>
    <w:autoRedefine/>
    <w:qFormat/>
    <w:uiPriority w:val="0"/>
    <w:rPr>
      <w:rFonts w:ascii="宋体" w:hAnsi="Courier New" w:cs="Courier New"/>
      <w:kern w:val="2"/>
      <w:sz w:val="21"/>
      <w:szCs w:val="21"/>
    </w:rPr>
  </w:style>
  <w:style w:type="character" w:customStyle="1" w:styleId="43">
    <w:name w:val="纯文本 字符"/>
    <w:basedOn w:val="22"/>
    <w:link w:val="8"/>
    <w:autoRedefine/>
    <w:qFormat/>
    <w:uiPriority w:val="99"/>
    <w:rPr>
      <w:rFonts w:ascii="宋体" w:hAnsi="Courier New" w:cs="Courier New" w:eastAsiaTheme="minorEastAsia"/>
      <w:kern w:val="2"/>
      <w:sz w:val="21"/>
      <w:szCs w:val="21"/>
    </w:rPr>
  </w:style>
  <w:style w:type="character" w:customStyle="1" w:styleId="44">
    <w:name w:val="正文文本_"/>
    <w:basedOn w:val="22"/>
    <w:link w:val="45"/>
    <w:autoRedefine/>
    <w:qFormat/>
    <w:uiPriority w:val="0"/>
    <w:rPr>
      <w:rFonts w:ascii="宋体" w:hAnsi="宋体" w:cs="宋体"/>
      <w:sz w:val="30"/>
      <w:szCs w:val="30"/>
    </w:rPr>
  </w:style>
  <w:style w:type="paragraph" w:customStyle="1" w:styleId="45">
    <w:name w:val="正文文本1"/>
    <w:basedOn w:val="1"/>
    <w:link w:val="44"/>
    <w:autoRedefine/>
    <w:qFormat/>
    <w:uiPriority w:val="0"/>
    <w:pPr>
      <w:adjustRightInd/>
      <w:snapToGrid/>
      <w:spacing w:line="432" w:lineRule="auto"/>
      <w:ind w:firstLine="400" w:firstLineChars="0"/>
      <w:jc w:val="left"/>
    </w:pPr>
    <w:rPr>
      <w:rFonts w:ascii="宋体" w:hAnsi="宋体" w:eastAsia="宋体" w:cs="宋体"/>
      <w:kern w:val="0"/>
      <w:sz w:val="30"/>
      <w:szCs w:val="30"/>
    </w:rPr>
  </w:style>
  <w:style w:type="paragraph" w:customStyle="1" w:styleId="46">
    <w:name w:val="BodyText"/>
    <w:basedOn w:val="1"/>
    <w:autoRedefine/>
    <w:qFormat/>
    <w:uiPriority w:val="0"/>
    <w:pPr>
      <w:widowControl/>
      <w:adjustRightInd/>
      <w:snapToGrid/>
      <w:spacing w:after="120" w:line="240" w:lineRule="auto"/>
      <w:ind w:firstLine="0" w:firstLineChars="0"/>
      <w:textAlignment w:val="baseline"/>
    </w:pPr>
    <w:rPr>
      <w:rFonts w:ascii="Times New Roman" w:hAnsi="Times New Roman" w:eastAsia="宋体" w:cstheme="minorBidi"/>
      <w:sz w:val="21"/>
      <w:szCs w:val="24"/>
    </w:rPr>
  </w:style>
  <w:style w:type="paragraph" w:customStyle="1" w:styleId="47">
    <w:name w:val="TOC 标题3"/>
    <w:basedOn w:val="2"/>
    <w:next w:val="1"/>
    <w:autoRedefine/>
    <w:unhideWhenUsed/>
    <w:qFormat/>
    <w:uiPriority w:val="39"/>
    <w:pPr>
      <w:widowControl/>
      <w:adjustRightInd/>
      <w:snapToGrid/>
      <w:spacing w:before="240" w:line="259" w:lineRule="auto"/>
      <w:ind w:firstLine="0" w:firstLineChars="0"/>
      <w:jc w:val="left"/>
      <w:outlineLvl w:val="9"/>
    </w:pPr>
    <w:rPr>
      <w:rFonts w:asciiTheme="majorHAnsi" w:hAnsiTheme="majorHAnsi" w:eastAsiaTheme="majorEastAsia" w:cstheme="majorBidi"/>
      <w:bCs w:val="0"/>
      <w:color w:val="2E75B6" w:themeColor="accent1" w:themeShade="BF"/>
      <w:kern w:val="0"/>
      <w:szCs w:val="32"/>
    </w:rPr>
  </w:style>
  <w:style w:type="character" w:customStyle="1" w:styleId="48">
    <w:name w:val="批注文字 字符"/>
    <w:basedOn w:val="22"/>
    <w:link w:val="5"/>
    <w:autoRedefine/>
    <w:qFormat/>
    <w:uiPriority w:val="0"/>
    <w:rPr>
      <w:rFonts w:eastAsia="仿宋_GB2312" w:cs="仿宋_GB2312" w:asciiTheme="minorHAnsi" w:hAnsiTheme="minorHAnsi"/>
      <w:kern w:val="2"/>
      <w:sz w:val="32"/>
      <w:szCs w:val="32"/>
    </w:rPr>
  </w:style>
  <w:style w:type="character" w:customStyle="1" w:styleId="49">
    <w:name w:val="批注主题 字符"/>
    <w:basedOn w:val="48"/>
    <w:link w:val="18"/>
    <w:autoRedefine/>
    <w:semiHidden/>
    <w:qFormat/>
    <w:uiPriority w:val="0"/>
    <w:rPr>
      <w:rFonts w:eastAsia="仿宋_GB2312" w:cs="仿宋_GB2312" w:asciiTheme="minorHAnsi" w:hAnsiTheme="minorHAnsi"/>
      <w:b/>
      <w:bCs/>
      <w:kern w:val="2"/>
      <w:sz w:val="32"/>
      <w:szCs w:val="32"/>
    </w:rPr>
  </w:style>
  <w:style w:type="character" w:customStyle="1" w:styleId="50">
    <w:name w:val="未处理的提及1"/>
    <w:basedOn w:val="22"/>
    <w:autoRedefine/>
    <w:semiHidden/>
    <w:unhideWhenUsed/>
    <w:qFormat/>
    <w:uiPriority w:val="99"/>
    <w:rPr>
      <w:color w:val="605E5C"/>
      <w:shd w:val="clear" w:color="auto" w:fill="E1DFDD"/>
    </w:rPr>
  </w:style>
  <w:style w:type="paragraph" w:customStyle="1" w:styleId="51">
    <w:name w:val="修订1"/>
    <w:autoRedefine/>
    <w:hidden/>
    <w:semiHidden/>
    <w:qFormat/>
    <w:uiPriority w:val="99"/>
    <w:rPr>
      <w:rFonts w:eastAsia="仿宋_GB2312" w:cs="仿宋_GB2312" w:asciiTheme="minorHAnsi" w:hAnsiTheme="minorHAnsi"/>
      <w:kern w:val="2"/>
      <w:sz w:val="32"/>
      <w:szCs w:val="32"/>
      <w:lang w:val="en-US" w:eastAsia="zh-CN" w:bidi="ar-SA"/>
    </w:rPr>
  </w:style>
  <w:style w:type="paragraph" w:customStyle="1" w:styleId="52">
    <w:name w:val="Revision"/>
    <w:autoRedefine/>
    <w:hidden/>
    <w:semiHidden/>
    <w:qFormat/>
    <w:uiPriority w:val="99"/>
    <w:rPr>
      <w:rFonts w:eastAsia="仿宋_GB2312" w:cs="仿宋_GB2312" w:asciiTheme="minorHAnsi" w:hAnsiTheme="minorHAnsi"/>
      <w:kern w:val="2"/>
      <w:sz w:val="32"/>
      <w:szCs w:val="32"/>
      <w:lang w:val="en-US" w:eastAsia="zh-CN" w:bidi="ar-SA"/>
    </w:rPr>
  </w:style>
  <w:style w:type="paragraph" w:customStyle="1" w:styleId="53">
    <w:name w:val="TOC1"/>
    <w:basedOn w:val="1"/>
    <w:next w:val="1"/>
    <w:autoRedefine/>
    <w:qFormat/>
    <w:uiPriority w:val="0"/>
    <w:pPr>
      <w:jc w:val="both"/>
      <w:textAlignment w:val="baseline"/>
    </w:pPr>
  </w:style>
  <w:style w:type="paragraph" w:customStyle="1" w:styleId="54">
    <w:name w:val="金凯报告正文"/>
    <w:basedOn w:val="1"/>
    <w:autoRedefine/>
    <w:qFormat/>
    <w:uiPriority w:val="0"/>
    <w:pPr>
      <w:keepNext w:val="0"/>
      <w:keepLines w:val="0"/>
      <w:widowControl w:val="0"/>
      <w:suppressLineNumbers w:val="0"/>
      <w:adjustRightInd w:val="0"/>
      <w:snapToGrid w:val="0"/>
      <w:spacing w:before="0" w:beforeAutospacing="0" w:after="0" w:afterAutospacing="0" w:line="360" w:lineRule="auto"/>
      <w:ind w:left="0" w:right="0" w:firstLine="640" w:firstLineChars="200"/>
      <w:jc w:val="both"/>
    </w:pPr>
    <w:rPr>
      <w:rFonts w:hint="default" w:ascii="仿宋_GB2312" w:hAnsi="宋体" w:eastAsia="仿宋_GB2312" w:cs="Times New Roman"/>
      <w:kern w:val="2"/>
      <w:sz w:val="32"/>
      <w:szCs w:val="32"/>
      <w:lang w:val="en-US" w:eastAsia="zh-CN" w:bidi="ar"/>
    </w:rPr>
  </w:style>
  <w:style w:type="paragraph" w:customStyle="1" w:styleId="55">
    <w:name w:val="金凯二级标题"/>
    <w:basedOn w:val="1"/>
    <w:autoRedefine/>
    <w:qFormat/>
    <w:uiPriority w:val="0"/>
    <w:pPr>
      <w:keepNext w:val="0"/>
      <w:keepLines w:val="0"/>
      <w:widowControl w:val="0"/>
      <w:suppressLineNumbers w:val="0"/>
      <w:adjustRightInd w:val="0"/>
      <w:snapToGrid w:val="0"/>
      <w:spacing w:before="0" w:beforeAutospacing="0" w:after="0" w:afterAutospacing="0" w:line="360" w:lineRule="auto"/>
      <w:ind w:left="0" w:right="0" w:firstLine="640" w:firstLineChars="200"/>
      <w:jc w:val="both"/>
      <w:outlineLvl w:val="1"/>
    </w:pPr>
    <w:rPr>
      <w:rFonts w:hint="default" w:ascii="仿宋_GB2312" w:hAnsi="宋体" w:eastAsia="楷体_GB2312" w:cs="Times New Roman"/>
      <w:kern w:val="2"/>
      <w:sz w:val="32"/>
      <w:szCs w:val="32"/>
      <w:lang w:val="en-US" w:eastAsia="zh-CN" w:bidi="ar"/>
    </w:rPr>
  </w:style>
  <w:style w:type="paragraph" w:customStyle="1" w:styleId="56">
    <w:name w:val="表格名称"/>
    <w:basedOn w:val="1"/>
    <w:qFormat/>
    <w:uiPriority w:val="0"/>
    <w:pPr>
      <w:spacing w:line="360" w:lineRule="auto"/>
      <w:jc w:val="center"/>
    </w:pPr>
    <w:rPr>
      <w:rFonts w:eastAsia="Helv" w:cs="New York"/>
      <w:b/>
      <w:sz w:val="24"/>
      <w:szCs w:val="24"/>
    </w:rPr>
  </w:style>
  <w:style w:type="character" w:customStyle="1" w:styleId="57">
    <w:name w:val="font31"/>
    <w:basedOn w:val="2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7C965-D755-492B-A547-FE14291DD399}">
  <ds:schemaRefs/>
</ds:datastoreItem>
</file>

<file path=docProps/app.xml><?xml version="1.0" encoding="utf-8"?>
<Properties xmlns="http://schemas.openxmlformats.org/officeDocument/2006/extended-properties" xmlns:vt="http://schemas.openxmlformats.org/officeDocument/2006/docPropsVTypes">
  <Pages>17</Pages>
  <Words>4707</Words>
  <Characters>4859</Characters>
  <Lines>1</Lines>
  <Paragraphs>1</Paragraphs>
  <TotalTime>8</TotalTime>
  <ScaleCrop>false</ScaleCrop>
  <LinksUpToDate>false</LinksUpToDate>
  <CharactersWithSpaces>4861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2022-06-28T09:27:00Z</dcterms:created>
  <dc:creator>晶</dc:creator>
  <cp:lastModifiedBy>杨勇</cp:lastModifiedBy>
  <cp:lastPrinted>2024-04-03T10:00:00Z</cp:lastPrinted>
  <dcterms:modified xsi:type="dcterms:W3CDTF">2024-08-22T06:45:47Z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A2C4D3B0E1C6484599AE9A6ACC2B868B_13</vt:lpwstr>
  </property>
</Properties>
</file>