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Lines="50" w:beforeAutospacing="0" w:afterLines="50" w:afterAutospacing="0" w:line="360" w:lineRule="auto"/>
        <w:jc w:val="center"/>
        <w:rPr>
          <w:rFonts w:hint="eastAsia"/>
          <w:b/>
          <w:bCs/>
          <w:sz w:val="44"/>
          <w:szCs w:val="44"/>
          <w:shd w:val="clear" w:color="auto" w:fill="FFFFFF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zh-CN" w:eastAsia="zh-CN"/>
        </w:rPr>
        <w:t>伊金霍洛旗乌兰木伦镇等六乡镇城镇土地定级与基准地价</w:t>
      </w:r>
      <w:r>
        <w:rPr>
          <w:rFonts w:hint="eastAsia"/>
          <w:b/>
          <w:bCs/>
          <w:sz w:val="44"/>
          <w:szCs w:val="44"/>
          <w:shd w:val="clear" w:color="auto" w:fill="FFFFFF"/>
          <w:lang w:val="zh-CN" w:eastAsia="zh-CN"/>
        </w:rPr>
        <w:t>成果</w:t>
      </w:r>
      <w:bookmarkStart w:id="0" w:name="_GoBack"/>
      <w:r>
        <w:rPr>
          <w:rFonts w:hint="eastAsia"/>
          <w:b/>
          <w:bCs/>
          <w:sz w:val="44"/>
          <w:szCs w:val="44"/>
          <w:shd w:val="clear" w:color="auto" w:fill="FFFFFF"/>
          <w:lang w:val="zh-CN" w:eastAsia="zh-CN"/>
        </w:rPr>
        <w:t>听证会须知</w:t>
      </w:r>
      <w:bookmarkEnd w:id="0"/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一、申请参加听证会的须知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凡户籍在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伊金霍洛旗</w:t>
      </w:r>
      <w:r>
        <w:rPr>
          <w:rFonts w:hint="eastAsia" w:ascii="仿宋_GB2312" w:hAnsi="仿宋_GB2312" w:eastAsia="仿宋_GB2312" w:cs="仿宋_GB2312"/>
          <w:sz w:val="32"/>
          <w:szCs w:val="32"/>
        </w:rPr>
        <w:t>的年满18周岁的公民、登记地在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伊金霍洛旗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的法人或其他组织均可申请或推选代表参加听证。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公民个人参加听证会的，请持参加听证会申请书及相关证明材料，于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2023年4月18日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伊金霍洛旗自然资源局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法人、其他组织报名参加听证会的，应当确定拟作为听证会代表的人员，请持参加听证会申请书及相关证明材料，于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2023年4月18日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伊金霍洛旗自然资源局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听证会举办机构将根据申请情况确定听证会代表。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二、申请旁听听证会的须知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符合参加条件的法人、其他组织、公民可以申请旁听听证会（与参加听证会代表提交的资料相同）。申请旁听人应于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2023年4月18日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伊金霍洛旗自然资源局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报名，报名时需提交旁听听证会申请书及相关证明材料。 听证会举办机构将根据申请情况指定旁听代表。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三、注意事项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1、听证代表及旁听代表的确定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听证会申请人经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伊金霍洛旗自然资源局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审核通过后获得参加资格，并由听证举办机构发放《听证通知书》及《旁听通知书》，参会人员凭《听证通知书》及《旁听通知书》入场。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2、参加听证会人员应本着实事求是的原则，根据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伊金霍洛旗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实际情况，对本次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伊金霍洛旗乌兰木伦镇等六乡镇城镇土地定级与基准地价成果</w:t>
      </w:r>
      <w:r>
        <w:rPr>
          <w:rFonts w:hint="eastAsia" w:ascii="仿宋_GB2312" w:hAnsi="仿宋_GB2312" w:eastAsia="仿宋_GB2312" w:cs="仿宋_GB2312"/>
          <w:sz w:val="32"/>
          <w:szCs w:val="32"/>
        </w:rPr>
        <w:t>的可行性、科学性和实用性等内容提出意见和建议。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3、在举行听证会前，听证会举办机构将听证材料送达确定的听证会代表，参加听证会的代表应提前了解、熟悉《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伊金霍洛旗乌兰木伦镇等六乡镇城镇土地定级与基准地价成果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》等相关资料，并事先做好发言准备。会上发言时应当简明扼要，每人发言不超过5分钟，会后将相关资料交听证举办机构。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4、参加听证会人员发言、陈述、质证和辩论，须经听证主持人许可，发言时请先简要介绍本人姓名、所在单位和职务。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5、听证会代表应当亲自参加听证，逾期不参加本次听证会的，视为对本次听证内容无异议。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听证会代表应当遵守听证纪律，保守国家秘密，自觉维护会场秩序，不得摄影、摄像（新闻媒体单位的听证代表例外），不得随意走动，不得喧哗、哄闹和实施其它妨碍听证活动的行为。违反听证会纪律的，听证会主持人可以责令其退场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7、听证会上提供的材料仅供听证会参加人发表意见时参考，会后收回。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65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65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</w:p>
    <w:p>
      <w:pPr>
        <w:jc w:val="right"/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伊金霍洛旗自然资源局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2023年3月28日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</w:t>
      </w:r>
    </w:p>
    <w:p>
      <w:pPr>
        <w:jc w:val="right"/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right"/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right"/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right"/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right"/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right"/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right"/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right"/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right"/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right"/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right"/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right"/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MjljNTRiZTliODA3YzM3OTYzMGVlNmYwZmY1YjAifQ=="/>
  </w:docVars>
  <w:rsids>
    <w:rsidRoot w:val="00000000"/>
    <w:rsid w:val="0B307DD1"/>
    <w:rsid w:val="378C0D4E"/>
    <w:rsid w:val="68802F97"/>
    <w:rsid w:val="6F43711B"/>
    <w:rsid w:val="71133E87"/>
    <w:rsid w:val="74B020BE"/>
    <w:rsid w:val="7C951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Times New Roman" w:hAnsi="Times New Roman" w:eastAsia="宋体" w:cs="宋体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50" w:line="240" w:lineRule="auto"/>
      <w:outlineLvl w:val="0"/>
    </w:pPr>
    <w:rPr>
      <w:rFonts w:cs="Times New Roman"/>
      <w:b/>
      <w:bCs/>
      <w:spacing w:val="6"/>
      <w:kern w:val="144"/>
      <w:sz w:val="32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日期 Char Char"/>
    <w:basedOn w:val="8"/>
    <w:link w:val="3"/>
    <w:qFormat/>
    <w:uiPriority w:val="0"/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标题 1 Char Char"/>
    <w:basedOn w:val="8"/>
    <w:link w:val="2"/>
    <w:qFormat/>
    <w:uiPriority w:val="0"/>
    <w:rPr>
      <w:rFonts w:cs="Times New Roman"/>
      <w:b/>
      <w:bCs/>
      <w:spacing w:val="6"/>
      <w:kern w:val="1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1437</Words>
  <Characters>1499</Characters>
  <Lines>11</Lines>
  <Paragraphs>3</Paragraphs>
  <TotalTime>8</TotalTime>
  <ScaleCrop>false</ScaleCrop>
  <LinksUpToDate>false</LinksUpToDate>
  <CharactersWithSpaces>1746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2021-06-30T02:08:00Z</dcterms:created>
  <dc:creator>微软用户</dc:creator>
  <cp:lastModifiedBy>WPS_1676599161</cp:lastModifiedBy>
  <cp:lastPrinted>2021-07-16T06:34:00Z</cp:lastPrinted>
  <dcterms:modified xsi:type="dcterms:W3CDTF">2023-03-28T07:58:06Z</dcterms:modified>
  <dc:title>康巴什区2019年土地定级与基准地价更新成果听证会公告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7F5A8E77E7644487A0BFC3E45A08D9CC</vt:lpwstr>
  </property>
</Properties>
</file>