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暖城乐购.伊旗共享”消费补贴活动方案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（征求意见稿）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一、活动目的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为贯彻落实国务院印发的《推动大规模设备更新和消费以旧换新行动方案》（国发〔2024〕7号）精神，结合《鄂尔多斯市商务局关于〈印发2024年“暖城乐购”惠民消费促进活动方案〉的通知》（鄂商发〔2024〕12号）要求，进一步释放消费潜力，全面提升我旗社会消费品零售水平，特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“暖城乐购.伊旗共享”消费补贴活动实施方案。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二、活动时间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2024年9月30日至12月31日。消费补贴实行活动时间控制及补贴总金额控制，按照活动时间截止或补贴资金300万元补贴完毕满足一项补贴结束。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三、发放标准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本次活动共安排300万元用于惠民消费券的发放，市级安排资金100万元，旗级安排资金200万元。根据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活动开展效果，适时调整各类消费券的投放数量和补贴金额，适时调整各类消费券的发放时间和发放方式。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tbl>
      <w:tblPr>
        <w:tblStyle w:val="8"/>
        <w:tblW w:w="10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02"/>
        <w:gridCol w:w="1357"/>
        <w:gridCol w:w="2532"/>
        <w:gridCol w:w="1592"/>
        <w:gridCol w:w="1161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优惠券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分类</w:t>
            </w:r>
          </w:p>
        </w:tc>
        <w:tc>
          <w:tcPr>
            <w:tcW w:w="1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消费券合计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消费券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面额（元）</w:t>
            </w:r>
          </w:p>
        </w:tc>
        <w:tc>
          <w:tcPr>
            <w:tcW w:w="2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使用要求</w:t>
            </w: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补贴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消费比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消费券数量（张）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带动消费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超市类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消费满50可用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消费满100可用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消费满200可用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12500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餐饮类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消费满200可用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1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100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消费满500可用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200</w:t>
            </w:r>
          </w:p>
        </w:tc>
        <w:tc>
          <w:tcPr>
            <w:tcW w:w="2575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消费满1000可用</w:t>
            </w:r>
          </w:p>
        </w:tc>
        <w:tc>
          <w:tcPr>
            <w:tcW w:w="1618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511" w:type="dxa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3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1：5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68500</w:t>
            </w:r>
          </w:p>
        </w:tc>
        <w:tc>
          <w:tcPr>
            <w:tcW w:w="151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四、发放方式及活动规则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（一）发放方式。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由第三方服务机构以电子消费券的形式同步发放。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（二）活动规则。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用户从第三方服务机构平台领取消费券，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消费券有效期为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次日24时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。用户有效期内如未使用,消费券将退回重新发放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五、实施细则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(一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伊金霍洛旗工业信息化和投资促进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局与市商务局联合开展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“暖城乐购.伊旗共享”消费补贴活动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(二)由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伊金霍洛旗工业信息化和投资促进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局会同市商务局验证第三方服务机构发券能力,确保消费券如期顺利发放。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(三)由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伊金霍洛旗工业信息化和投资促进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局与第三方服务机构签署乐购消费券合作协议。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(四)由第三方服务机构召集相关企业参与乐购消费券活动, 引导商家做好乐购消费券宣传推广及使用工作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E353E"/>
    <w:rsid w:val="7FF776B2"/>
    <w:rsid w:val="9BFBF23F"/>
    <w:rsid w:val="DC3EBBF6"/>
    <w:rsid w:val="FF8E8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1012</Characters>
  <Paragraphs>106</Paragraphs>
  <TotalTime>35</TotalTime>
  <ScaleCrop>false</ScaleCrop>
  <LinksUpToDate>false</LinksUpToDate>
  <CharactersWithSpaces>1086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2023-09-14T07:14:00Z</dcterms:created>
  <dc:creator>丿依赖你的守护</dc:creator>
  <cp:lastModifiedBy>user</cp:lastModifiedBy>
  <cp:lastPrinted>2024-09-25T19:02:00Z</cp:lastPrinted>
  <dcterms:modified xsi:type="dcterms:W3CDTF">2024-09-26T14:01:28Z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6f76ecc1907f450a8a5749a222dd6ecb_23</vt:lpwstr>
  </property>
</Properties>
</file>