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eepNext w:val="0"/>
        <w:keepLines w:val="0"/>
        <w:pageBreakBefore w:val="0"/>
        <w:widowControl w:val="0"/>
        <w:kinsoku/>
        <w:wordWrap/>
        <w:overflowPunct/>
        <w:topLinePunct w:val="0"/>
        <w:autoSpaceDE w:val="0"/>
        <w:autoSpaceDN w:val="0"/>
        <w:bidi w:val="0"/>
        <w:adjustRightInd w:val="0"/>
        <w:snapToGrid w:val="0"/>
        <w:spacing w:line="578" w:lineRule="exact"/>
        <w:ind w:left="0" w:right="0"/>
        <w:jc w:val="left"/>
        <w:textAlignment w:val="auto"/>
        <w:outlineLvl w:val="9"/>
        <w:rPr>
          <w:rFonts w:hint="default" w:ascii="方正黑体_GBK" w:eastAsia="方正黑体_GBK" w:cs="方正黑体_GBK"/>
          <w:b w:val="0"/>
          <w:bCs/>
          <w:color w:val="auto"/>
          <w:sz w:val="32"/>
          <w:szCs w:val="32"/>
          <w:lang w:val="en-US"/>
        </w:rPr>
      </w:pPr>
      <w:r>
        <w:rPr>
          <w:rFonts w:hint="eastAsia" w:ascii="方正黑体_GBK" w:eastAsia="方正黑体_GBK" w:cs="方正黑体_GBK"/>
          <w:color w:val="auto"/>
          <w:sz w:val="32"/>
          <w:szCs w:val="32"/>
          <w:lang w:eastAsia="zh-CN"/>
        </w:rPr>
        <w:t>附件</w:t>
      </w:r>
      <w:r>
        <w:rPr>
          <w:rFonts w:hint="eastAsia" w:ascii="方正黑体_GBK" w:eastAsia="方正黑体_GBK" w:cs="方正黑体_GBK"/>
          <w:color w:val="auto"/>
          <w:sz w:val="32"/>
          <w:szCs w:val="32"/>
          <w:lang w:val="en-US" w:eastAsia="zh-CN"/>
        </w:rPr>
        <w:t>1</w:t>
      </w:r>
    </w:p>
    <w:p>
      <w:pPr>
        <w:pStyle w:val="14"/>
        <w:keepNext w:val="0"/>
        <w:keepLines w:val="0"/>
        <w:pageBreakBefore w:val="0"/>
        <w:widowControl w:val="0"/>
        <w:kinsoku/>
        <w:wordWrap/>
        <w:overflowPunct/>
        <w:topLinePunct w:val="0"/>
        <w:autoSpaceDE w:val="0"/>
        <w:autoSpaceDN w:val="0"/>
        <w:bidi w:val="0"/>
        <w:adjustRightInd w:val="0"/>
        <w:snapToGrid w:val="0"/>
        <w:spacing w:line="578" w:lineRule="exact"/>
        <w:ind w:left="0" w:right="0"/>
        <w:jc w:val="center"/>
        <w:textAlignment w:val="auto"/>
        <w:outlineLvl w:val="9"/>
        <w:rPr>
          <w:rFonts w:ascii="Times New Roman" w:hAnsi="Times New Roman" w:eastAsia="方正小标宋简体" w:cs="Times New Roman"/>
          <w:b w:val="0"/>
          <w:bCs/>
          <w:color w:val="auto"/>
          <w:sz w:val="44"/>
          <w:szCs w:val="44"/>
        </w:rPr>
      </w:pPr>
    </w:p>
    <w:p>
      <w:pPr>
        <w:pStyle w:val="14"/>
        <w:keepNext w:val="0"/>
        <w:keepLines w:val="0"/>
        <w:pageBreakBefore w:val="0"/>
        <w:widowControl w:val="0"/>
        <w:kinsoku/>
        <w:wordWrap/>
        <w:overflowPunct/>
        <w:topLinePunct w:val="0"/>
        <w:autoSpaceDE w:val="0"/>
        <w:autoSpaceDN w:val="0"/>
        <w:bidi w:val="0"/>
        <w:adjustRightInd w:val="0"/>
        <w:snapToGrid w:val="0"/>
        <w:spacing w:line="578" w:lineRule="exact"/>
        <w:ind w:left="0" w:right="0"/>
        <w:jc w:val="center"/>
        <w:textAlignment w:val="auto"/>
        <w:outlineLvl w:val="9"/>
        <w:rPr>
          <w:rFonts w:hint="eastAsia" w:ascii="Times New Roman" w:eastAsia="方正小标宋简体" w:cs="Times New Roman"/>
          <w:b w:val="0"/>
          <w:bCs/>
          <w:color w:val="auto"/>
          <w:sz w:val="44"/>
          <w:szCs w:val="44"/>
          <w:lang w:val="en-US" w:eastAsia="zh-CN"/>
        </w:rPr>
      </w:pPr>
      <w:bookmarkStart w:id="0" w:name="_GoBack"/>
      <w:r>
        <w:rPr>
          <w:rFonts w:ascii="Times New Roman" w:hAnsi="Times New Roman" w:eastAsia="方正小标宋简体" w:cs="Times New Roman"/>
          <w:b w:val="0"/>
          <w:bCs/>
          <w:color w:val="auto"/>
          <w:sz w:val="44"/>
          <w:szCs w:val="44"/>
        </w:rPr>
        <w:t>202</w:t>
      </w:r>
      <w:r>
        <w:rPr>
          <w:rFonts w:hint="eastAsia" w:ascii="Times New Roman" w:hAnsi="Times New Roman" w:eastAsia="方正小标宋简体" w:cs="Times New Roman"/>
          <w:b w:val="0"/>
          <w:bCs/>
          <w:color w:val="auto"/>
          <w:sz w:val="44"/>
          <w:szCs w:val="44"/>
          <w:lang w:val="en-US" w:eastAsia="zh-CN"/>
        </w:rPr>
        <w:t>4</w:t>
      </w:r>
      <w:r>
        <w:rPr>
          <w:rFonts w:ascii="Times New Roman" w:hAnsi="Times New Roman" w:eastAsia="方正小标宋简体" w:cs="Times New Roman"/>
          <w:b w:val="0"/>
          <w:bCs/>
          <w:color w:val="auto"/>
          <w:sz w:val="44"/>
          <w:szCs w:val="44"/>
        </w:rPr>
        <w:t>年</w:t>
      </w:r>
      <w:r>
        <w:rPr>
          <w:rFonts w:hint="eastAsia" w:ascii="Times New Roman" w:eastAsia="方正小标宋简体" w:cs="Times New Roman"/>
          <w:b w:val="0"/>
          <w:bCs/>
          <w:color w:val="auto"/>
          <w:sz w:val="44"/>
          <w:szCs w:val="44"/>
          <w:lang w:val="en-US" w:eastAsia="zh-CN"/>
        </w:rPr>
        <w:t>伊金霍洛旗乡村振兴</w:t>
      </w:r>
    </w:p>
    <w:p>
      <w:pPr>
        <w:pStyle w:val="14"/>
        <w:keepNext w:val="0"/>
        <w:keepLines w:val="0"/>
        <w:pageBreakBefore w:val="0"/>
        <w:widowControl w:val="0"/>
        <w:kinsoku/>
        <w:wordWrap/>
        <w:overflowPunct/>
        <w:topLinePunct w:val="0"/>
        <w:autoSpaceDE w:val="0"/>
        <w:autoSpaceDN w:val="0"/>
        <w:bidi w:val="0"/>
        <w:adjustRightInd w:val="0"/>
        <w:snapToGrid w:val="0"/>
        <w:spacing w:line="578" w:lineRule="exact"/>
        <w:ind w:left="0" w:right="0"/>
        <w:jc w:val="center"/>
        <w:textAlignment w:val="auto"/>
        <w:outlineLvl w:val="9"/>
        <w:rPr>
          <w:rFonts w:ascii="Times New Roman" w:hAnsi="Times New Roman" w:eastAsia="方正小标宋简体" w:cs="Times New Roman"/>
          <w:b w:val="0"/>
          <w:bCs/>
          <w:color w:val="auto"/>
          <w:sz w:val="44"/>
          <w:szCs w:val="44"/>
        </w:rPr>
      </w:pPr>
      <w:r>
        <w:rPr>
          <w:rFonts w:ascii="Times New Roman" w:hAnsi="Times New Roman" w:eastAsia="方正小标宋简体" w:cs="Times New Roman"/>
          <w:b w:val="0"/>
          <w:bCs/>
          <w:color w:val="auto"/>
          <w:sz w:val="44"/>
          <w:szCs w:val="44"/>
        </w:rPr>
        <w:t>“揭榜挂帅”项目榜单</w:t>
      </w:r>
    </w:p>
    <w:bookmarkEnd w:id="0"/>
    <w:p>
      <w:pPr>
        <w:keepNext w:val="0"/>
        <w:keepLines w:val="0"/>
        <w:pageBreakBefore w:val="0"/>
        <w:widowControl w:val="0"/>
        <w:kinsoku/>
        <w:wordWrap/>
        <w:overflowPunct/>
        <w:topLinePunct w:val="0"/>
        <w:bidi w:val="0"/>
        <w:spacing w:line="578" w:lineRule="exact"/>
        <w:ind w:left="0" w:right="0"/>
        <w:textAlignment w:val="auto"/>
        <w:outlineLvl w:val="9"/>
        <w:rPr>
          <w:rFonts w:ascii="Times New Roman" w:hAnsi="Times New Roman" w:eastAsia="方正仿宋_GBK" w:cs="Times New Roman"/>
          <w:b w:val="0"/>
          <w:bCs/>
          <w:kern w:val="0"/>
          <w:sz w:val="32"/>
          <w:szCs w:val="32"/>
        </w:rPr>
      </w:pPr>
    </w:p>
    <w:p>
      <w:pPr>
        <w:pStyle w:val="15"/>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按照</w:t>
      </w:r>
      <w:r>
        <w:rPr>
          <w:rFonts w:hint="eastAsia" w:ascii="仿宋_GB2312" w:hAnsi="宋体" w:eastAsia="仿宋_GB2312" w:cs="仿宋_GB2312"/>
          <w:i w:val="0"/>
          <w:iCs w:val="0"/>
          <w:caps w:val="0"/>
          <w:color w:val="333333"/>
          <w:spacing w:val="0"/>
          <w:sz w:val="32"/>
          <w:szCs w:val="32"/>
          <w:shd w:val="clear" w:color="auto" w:fill="FFFFFF"/>
          <w:lang w:val="en-US" w:eastAsia="zh-CN"/>
        </w:rPr>
        <w:t>《伊金霍洛旗乡村振兴“揭榜挂帅”项目实施方案（试行）》</w:t>
      </w:r>
      <w:r>
        <w:rPr>
          <w:rFonts w:hint="eastAsia" w:ascii="仿宋_GB2312" w:hAnsi="仿宋_GB2312" w:eastAsia="仿宋_GB2312" w:cs="仿宋_GB2312"/>
          <w:kern w:val="2"/>
          <w:sz w:val="32"/>
          <w:szCs w:val="32"/>
          <w:highlight w:val="none"/>
          <w:lang w:val="en-US" w:eastAsia="zh-CN" w:bidi="ar-SA"/>
        </w:rPr>
        <w:t>，现发布2024年乡村振兴领域“揭榜挂帅”项目榜单，具体榜单如下。</w:t>
      </w:r>
    </w:p>
    <w:p>
      <w:pPr>
        <w:pStyle w:val="15"/>
        <w:keepNext w:val="0"/>
        <w:keepLines w:val="0"/>
        <w:pageBreakBefore w:val="0"/>
        <w:widowControl w:val="0"/>
        <w:kinsoku/>
        <w:wordWrap/>
        <w:overflowPunct/>
        <w:topLinePunct w:val="0"/>
        <w:autoSpaceDE/>
        <w:autoSpaceDN/>
        <w:bidi w:val="0"/>
        <w:adjustRightInd/>
        <w:snapToGrid/>
        <w:spacing w:line="578" w:lineRule="exact"/>
        <w:ind w:right="0" w:firstLine="640" w:firstLineChars="200"/>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sz w:val="32"/>
          <w:szCs w:val="32"/>
          <w:lang w:val="en-US" w:eastAsia="zh-CN" w:bidi="ar-SA"/>
        </w:rPr>
        <w:t>一、</w:t>
      </w:r>
      <w:r>
        <w:rPr>
          <w:rFonts w:hint="eastAsia" w:ascii="黑体" w:hAnsi="黑体" w:eastAsia="黑体" w:cs="黑体"/>
          <w:sz w:val="32"/>
          <w:szCs w:val="32"/>
        </w:rPr>
        <w:t>绒山羊基因组选育及羔羊病原性腹泻防控技术研究</w:t>
      </w:r>
    </w:p>
    <w:p>
      <w:pPr>
        <w:numPr>
          <w:ilvl w:val="0"/>
          <w:numId w:val="0"/>
        </w:numPr>
        <w:ind w:firstLine="640" w:firstLineChars="200"/>
        <w:textAlignment w:val="baseline"/>
        <w:rPr>
          <w:rFonts w:hint="eastAsia" w:ascii="仿宋_GB2312" w:hAnsi="仿宋_GB2312" w:eastAsia="仿宋_GB2312" w:cs="仿宋_GB2312"/>
          <w:kern w:val="2"/>
          <w:sz w:val="32"/>
          <w:szCs w:val="32"/>
          <w:highlight w:val="none"/>
          <w:lang w:val="en-US" w:eastAsia="zh-CN" w:bidi="ar-SA"/>
        </w:rPr>
      </w:pPr>
      <w:r>
        <w:rPr>
          <w:rFonts w:hint="eastAsia" w:ascii="楷体" w:hAnsi="楷体" w:eastAsia="楷体" w:cs="楷体"/>
          <w:kern w:val="2"/>
          <w:sz w:val="32"/>
          <w:szCs w:val="32"/>
          <w:lang w:val="en-US" w:eastAsia="zh-CN" w:bidi="ar-SA"/>
        </w:rPr>
        <w:t>需求目标：</w:t>
      </w:r>
      <w:r>
        <w:rPr>
          <w:rFonts w:hint="eastAsia" w:ascii="仿宋_GB2312" w:hAnsi="仿宋_GB2312" w:eastAsia="仿宋_GB2312" w:cs="仿宋_GB2312"/>
          <w:kern w:val="2"/>
          <w:sz w:val="32"/>
          <w:szCs w:val="32"/>
          <w:highlight w:val="none"/>
          <w:lang w:val="en-US" w:eastAsia="zh-CN" w:bidi="ar-SA"/>
        </w:rPr>
        <w:t>通过遗传变异分析和动物模型等手段明确影响饲养绒山羊重要性状的关键功能基因；对绒山羊腹泻的流行病学调查及相关病原快速诊断技术、防治制剂的研究。</w:t>
      </w:r>
    </w:p>
    <w:p>
      <w:pPr>
        <w:pStyle w:val="15"/>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楷体" w:hAnsi="楷体" w:eastAsia="楷体" w:cs="楷体"/>
          <w:kern w:val="2"/>
          <w:sz w:val="32"/>
          <w:szCs w:val="32"/>
          <w:lang w:val="en-US" w:eastAsia="zh-CN" w:bidi="ar-SA"/>
        </w:rPr>
        <w:t>考核指标：</w:t>
      </w:r>
      <w:r>
        <w:rPr>
          <w:rFonts w:hint="eastAsia" w:ascii="仿宋_GB2312" w:hAnsi="仿宋_GB2312" w:eastAsia="仿宋_GB2312" w:cs="仿宋_GB2312"/>
          <w:kern w:val="2"/>
          <w:sz w:val="32"/>
          <w:szCs w:val="32"/>
          <w:highlight w:val="none"/>
          <w:lang w:val="en-US" w:eastAsia="zh-CN" w:bidi="ar-SA"/>
        </w:rPr>
        <w:t>1.构建基因组育种技术体系1-2套，创制优质高产绒山羊育种新材料1个，羊绒直径由原来的16.2μm，降低到羊绒直径16.0μm以下，产绒量和体重提高3%-5%，羊绒纤维直径下降2%-3%，由现有200只群体规模达到群体规模300只以上。</w:t>
      </w:r>
    </w:p>
    <w:p>
      <w:pPr>
        <w:pStyle w:val="15"/>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2.制定绒山羊腹泻疾病综合防控措施1套。</w:t>
      </w:r>
    </w:p>
    <w:p>
      <w:pPr>
        <w:pStyle w:val="15"/>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3.使示范羊场羔羊腹泻发病率由常见的10%-15%，降低50%以上，提高经济效益。</w:t>
      </w:r>
    </w:p>
    <w:p>
      <w:pPr>
        <w:pStyle w:val="15"/>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4.发表论文2-3篇，申请国家专利2-3项。</w:t>
      </w:r>
    </w:p>
    <w:p>
      <w:pPr>
        <w:pStyle w:val="15"/>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5.本项目针对敏盖绒山羊羊绒产量、质量、生长性状等，突破绒山羊全基因组选择育种、分子遗传标记确定等技术体系，创制优质绒山羊育种新材料，提升企业创新能力。</w:t>
      </w:r>
    </w:p>
    <w:p>
      <w:pPr>
        <w:pStyle w:val="15"/>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6.开发隐孢子虫等病原实验室用检测试剂盒1-2个，现场检测试剂盒1-2个，特异性和敏感性分别达到90%以上。</w:t>
      </w:r>
    </w:p>
    <w:p>
      <w:pPr>
        <w:pStyle w:val="15"/>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7.研制绒山羊非特异性免疫增强剂1-2种，并在示范羊场应用。</w:t>
      </w:r>
    </w:p>
    <w:p>
      <w:pPr>
        <w:pStyle w:val="15"/>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textAlignment w:val="auto"/>
        <w:outlineLvl w:val="9"/>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榜单金额：300万元</w:t>
      </w:r>
    </w:p>
    <w:p>
      <w:pPr>
        <w:pStyle w:val="15"/>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textAlignment w:val="auto"/>
        <w:outlineLvl w:val="9"/>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实施期限：不超过2年</w:t>
      </w:r>
    </w:p>
    <w:p>
      <w:pPr>
        <w:pStyle w:val="15"/>
        <w:keepNext w:val="0"/>
        <w:keepLines w:val="0"/>
        <w:pageBreakBefore w:val="0"/>
        <w:widowControl w:val="0"/>
        <w:kinsoku/>
        <w:wordWrap/>
        <w:overflowPunct/>
        <w:topLinePunct w:val="0"/>
        <w:autoSpaceDE/>
        <w:autoSpaceDN/>
        <w:bidi w:val="0"/>
        <w:adjustRightInd/>
        <w:snapToGrid/>
        <w:spacing w:line="578" w:lineRule="exact"/>
        <w:ind w:right="0" w:firstLine="640" w:firstLineChars="200"/>
        <w:textAlignment w:val="auto"/>
        <w:outlineLvl w:val="9"/>
        <w:rPr>
          <w:rFonts w:hint="eastAsia" w:ascii="黑体" w:hAnsi="黑体" w:eastAsia="黑体" w:cs="黑体"/>
          <w:sz w:val="32"/>
          <w:szCs w:val="32"/>
          <w:lang w:val="en-US" w:eastAsia="zh-CN" w:bidi="ar-SA"/>
        </w:rPr>
      </w:pPr>
      <w:r>
        <w:rPr>
          <w:rFonts w:hint="eastAsia" w:ascii="黑体" w:hAnsi="黑体" w:eastAsia="黑体" w:cs="黑体"/>
          <w:sz w:val="32"/>
          <w:szCs w:val="32"/>
          <w:lang w:val="en-US" w:eastAsia="zh-CN" w:bidi="ar-SA"/>
        </w:rPr>
        <w:t>二、经济作物种植</w:t>
      </w:r>
    </w:p>
    <w:p>
      <w:pPr>
        <w:numPr>
          <w:ilvl w:val="0"/>
          <w:numId w:val="0"/>
        </w:numPr>
        <w:ind w:firstLine="642" w:firstLineChars="200"/>
        <w:textAlignment w:val="baseline"/>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（一）沙棘等道地药材育苗育种</w:t>
      </w:r>
    </w:p>
    <w:p>
      <w:pPr>
        <w:spacing w:line="440" w:lineRule="exact"/>
        <w:ind w:left="105" w:leftChars="50" w:right="105" w:firstLine="640" w:firstLineChars="200"/>
        <w:textAlignment w:val="baseline"/>
        <w:rPr>
          <w:rFonts w:hint="eastAsia" w:ascii="仿宋_GB2312" w:hAnsi="仿宋_GB2312" w:eastAsia="仿宋_GB2312" w:cs="仿宋_GB2312"/>
          <w:kern w:val="2"/>
          <w:sz w:val="32"/>
          <w:szCs w:val="32"/>
          <w:highlight w:val="none"/>
          <w:lang w:val="en-US" w:eastAsia="zh-CN" w:bidi="ar-SA"/>
        </w:rPr>
      </w:pPr>
      <w:r>
        <w:rPr>
          <w:rFonts w:hint="eastAsia" w:ascii="楷体" w:hAnsi="楷体" w:eastAsia="楷体" w:cs="楷体"/>
          <w:kern w:val="2"/>
          <w:sz w:val="32"/>
          <w:szCs w:val="32"/>
          <w:lang w:val="en-US" w:eastAsia="zh-CN" w:bidi="ar-SA"/>
        </w:rPr>
        <w:t>需求目标：</w:t>
      </w:r>
      <w:r>
        <w:rPr>
          <w:rFonts w:hint="eastAsia" w:ascii="仿宋_GB2312" w:hAnsi="仿宋_GB2312" w:eastAsia="仿宋_GB2312" w:cs="仿宋_GB2312"/>
          <w:kern w:val="2"/>
          <w:sz w:val="32"/>
          <w:szCs w:val="32"/>
          <w:highlight w:val="none"/>
          <w:lang w:val="en-US" w:eastAsia="zh-CN" w:bidi="ar-SA"/>
        </w:rPr>
        <w:t>引进或开发适用于沙棘与中药材套种的先进农业机械，提高作业精准度和效率。</w:t>
      </w:r>
    </w:p>
    <w:p>
      <w:pPr>
        <w:pStyle w:val="15"/>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楷体" w:hAnsi="楷体" w:eastAsia="楷体" w:cs="楷体"/>
          <w:kern w:val="2"/>
          <w:sz w:val="32"/>
          <w:szCs w:val="32"/>
          <w:lang w:val="en-US" w:eastAsia="zh-CN" w:bidi="ar-SA"/>
        </w:rPr>
        <w:t>考核指标：</w:t>
      </w:r>
      <w:r>
        <w:rPr>
          <w:rFonts w:hint="eastAsia" w:ascii="仿宋_GB2312" w:hAnsi="仿宋_GB2312" w:eastAsia="仿宋_GB2312" w:cs="仿宋_GB2312"/>
          <w:kern w:val="2"/>
          <w:sz w:val="32"/>
          <w:szCs w:val="32"/>
          <w:highlight w:val="none"/>
          <w:lang w:val="en-US" w:eastAsia="zh-CN" w:bidi="ar-SA"/>
        </w:rPr>
        <w:t>1.机械化作业覆盖率需达到90%以上，确保种植、施肥、除草、喷药和收获等关键环节的高效执行。</w:t>
      </w:r>
    </w:p>
    <w:p>
      <w:pPr>
        <w:pStyle w:val="15"/>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2.引进或自主研发至少5种专用于沙棘与中药材套种的农业机械，包括自动化种植机、精准施肥机、高效除草机、智能喷药机和联合收割机等，机械应适应药材产地的地形、气候和种植特点。</w:t>
      </w:r>
    </w:p>
    <w:p>
      <w:pPr>
        <w:pStyle w:val="15"/>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3.通过机械化作业，整体作业效率需提高至少40%，显著缩短作业周期，降低劳动强度30%以上。</w:t>
      </w:r>
    </w:p>
    <w:p>
      <w:pPr>
        <w:pStyle w:val="15"/>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4.实测内容中应包含对农业机械性能、使用效果、适应性及维修成本的详细评估，确保农业机械长期稳定运行。</w:t>
      </w:r>
    </w:p>
    <w:p>
      <w:pPr>
        <w:pStyle w:val="15"/>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textAlignment w:val="auto"/>
        <w:outlineLvl w:val="9"/>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榜单金额：90万元</w:t>
      </w:r>
    </w:p>
    <w:p>
      <w:pPr>
        <w:pStyle w:val="15"/>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textAlignment w:val="auto"/>
        <w:outlineLvl w:val="9"/>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实施期限：不超过2年</w:t>
      </w:r>
    </w:p>
    <w:p>
      <w:pPr>
        <w:numPr>
          <w:ilvl w:val="0"/>
          <w:numId w:val="0"/>
        </w:numPr>
        <w:ind w:firstLine="642" w:firstLineChars="200"/>
        <w:textAlignment w:val="baseline"/>
        <w:rPr>
          <w:rFonts w:hint="default"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（二）沙棘种苗培育项目</w:t>
      </w:r>
    </w:p>
    <w:p>
      <w:pPr>
        <w:pStyle w:val="15"/>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textAlignment w:val="auto"/>
        <w:outlineLvl w:val="9"/>
        <w:rPr>
          <w:rFonts w:hint="eastAsia" w:ascii="仿宋_GB2312" w:hAnsi="仿宋_GB2312" w:eastAsia="仿宋_GB2312" w:cs="仿宋_GB2312"/>
          <w:kern w:val="2"/>
          <w:sz w:val="32"/>
          <w:szCs w:val="32"/>
          <w:highlight w:val="none"/>
          <w:lang w:val="en-US" w:eastAsia="zh-CN" w:bidi="ar-SA"/>
        </w:rPr>
      </w:pPr>
      <w:r>
        <w:rPr>
          <w:rFonts w:ascii="方正楷体_GBK" w:eastAsia="方正楷体_GBK" w:cs="方正楷体_GBK"/>
          <w:kern w:val="2"/>
          <w:sz w:val="32"/>
          <w:szCs w:val="32"/>
          <w:lang w:val="en-US" w:eastAsia="zh-CN" w:bidi="ar-SA"/>
        </w:rPr>
        <w:t>需求目标：</w:t>
      </w:r>
      <w:r>
        <w:rPr>
          <w:rFonts w:hint="eastAsia" w:ascii="仿宋_GB2312" w:hAnsi="仿宋_GB2312" w:eastAsia="仿宋_GB2312" w:cs="仿宋_GB2312"/>
          <w:kern w:val="2"/>
          <w:sz w:val="32"/>
          <w:szCs w:val="32"/>
          <w:highlight w:val="none"/>
          <w:lang w:val="en-US" w:eastAsia="zh-CN" w:bidi="ar-SA"/>
        </w:rPr>
        <w:t>通过引进先进的种苗培育技术和设备，提高沙棘种苗的产量；通过科学的种苗培育技术和管理经验，提高沙棘种苗的质量和成活率；通过先进的种苗培育技术和设备，降低沙棘种苗的培育成本，减少沙棘产业的发展成本。研发可机械化采摘沙棘果的设备。</w:t>
      </w:r>
    </w:p>
    <w:p>
      <w:pPr>
        <w:pStyle w:val="15"/>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textAlignment w:val="auto"/>
        <w:outlineLvl w:val="9"/>
        <w:rPr>
          <w:rFonts w:hint="eastAsia" w:ascii="仿宋_GB2312" w:hAnsi="仿宋_GB2312" w:eastAsia="仿宋_GB2312" w:cs="仿宋_GB2312"/>
          <w:kern w:val="2"/>
          <w:sz w:val="32"/>
          <w:szCs w:val="32"/>
          <w:highlight w:val="none"/>
          <w:lang w:val="en-US" w:eastAsia="zh-CN" w:bidi="ar-SA"/>
        </w:rPr>
      </w:pPr>
      <w:r>
        <w:rPr>
          <w:rFonts w:ascii="方正楷体_GBK" w:eastAsia="方正楷体_GBK" w:cs="方正楷体_GBK"/>
          <w:kern w:val="2"/>
          <w:sz w:val="32"/>
          <w:szCs w:val="32"/>
          <w:lang w:val="en-US" w:eastAsia="zh-CN" w:bidi="ar-SA"/>
        </w:rPr>
        <w:t>考核指标：</w:t>
      </w:r>
      <w:r>
        <w:rPr>
          <w:rFonts w:hint="eastAsia" w:ascii="仿宋_GB2312" w:hAnsi="仿宋_GB2312" w:eastAsia="仿宋_GB2312" w:cs="仿宋_GB2312"/>
          <w:kern w:val="2"/>
          <w:sz w:val="32"/>
          <w:szCs w:val="32"/>
          <w:highlight w:val="none"/>
          <w:lang w:val="en-US" w:eastAsia="zh-CN" w:bidi="ar-SA"/>
        </w:rPr>
        <w:t>1.采用组织培养技术，培育优质的沙棘种苗。2.种苗成活率不低于93%以上，年生长量不低于35厘米，虫害发生率不高于5%。</w:t>
      </w:r>
    </w:p>
    <w:p>
      <w:pPr>
        <w:pStyle w:val="15"/>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3.种苗培育成本不高于市场平均水平的80%。</w:t>
      </w:r>
    </w:p>
    <w:p>
      <w:pPr>
        <w:pStyle w:val="15"/>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4.种苗培育数量约500万株/年。</w:t>
      </w:r>
    </w:p>
    <w:p>
      <w:pPr>
        <w:pStyle w:val="15"/>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5.种苗种植面积约3万亩。</w:t>
      </w:r>
    </w:p>
    <w:p>
      <w:pPr>
        <w:pStyle w:val="15"/>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textAlignment w:val="auto"/>
        <w:outlineLvl w:val="9"/>
        <w:rPr>
          <w:rFonts w:hint="eastAsia" w:ascii="Times New Roman" w:hAnsi="Times New Roman" w:eastAsia="方正仿宋_GBK" w:cs="Times New Roman"/>
          <w:b w:val="0"/>
          <w:bCs w:val="0"/>
          <w:kern w:val="2"/>
          <w:sz w:val="32"/>
          <w:szCs w:val="32"/>
          <w:lang w:val="en-US" w:eastAsia="zh-CN" w:bidi="ar-SA"/>
        </w:rPr>
      </w:pPr>
      <w:r>
        <w:rPr>
          <w:rFonts w:hint="eastAsia" w:ascii="仿宋_GB2312" w:hAnsi="仿宋_GB2312" w:eastAsia="仿宋_GB2312" w:cs="仿宋_GB2312"/>
          <w:kern w:val="2"/>
          <w:sz w:val="32"/>
          <w:szCs w:val="32"/>
          <w:highlight w:val="none"/>
          <w:lang w:val="en-US" w:eastAsia="zh-CN" w:bidi="ar-SA"/>
        </w:rPr>
        <w:t>6.新研发机械化采摘设备采果率不低于75%。</w:t>
      </w:r>
    </w:p>
    <w:p>
      <w:pPr>
        <w:pStyle w:val="15"/>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textAlignment w:val="auto"/>
        <w:outlineLvl w:val="9"/>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榜单金额：400万元</w:t>
      </w:r>
    </w:p>
    <w:p>
      <w:pPr>
        <w:pStyle w:val="15"/>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textAlignment w:val="auto"/>
        <w:outlineLvl w:val="9"/>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实施期限：不超过2年</w:t>
      </w:r>
    </w:p>
    <w:p>
      <w:pPr>
        <w:pStyle w:val="15"/>
        <w:keepNext w:val="0"/>
        <w:keepLines w:val="0"/>
        <w:pageBreakBefore w:val="0"/>
        <w:widowControl w:val="0"/>
        <w:kinsoku/>
        <w:wordWrap/>
        <w:overflowPunct/>
        <w:topLinePunct w:val="0"/>
        <w:autoSpaceDE/>
        <w:autoSpaceDN/>
        <w:bidi w:val="0"/>
        <w:adjustRightInd/>
        <w:snapToGrid/>
        <w:spacing w:line="578" w:lineRule="exact"/>
        <w:ind w:right="0" w:firstLine="640" w:firstLineChars="200"/>
        <w:textAlignment w:val="auto"/>
        <w:outlineLvl w:val="9"/>
        <w:rPr>
          <w:rFonts w:hint="eastAsia" w:ascii="黑体" w:hAnsi="黑体" w:eastAsia="黑体" w:cs="黑体"/>
          <w:sz w:val="32"/>
          <w:szCs w:val="32"/>
          <w:lang w:val="en-US" w:eastAsia="zh-CN" w:bidi="ar-SA"/>
        </w:rPr>
      </w:pPr>
      <w:r>
        <w:rPr>
          <w:rFonts w:hint="eastAsia" w:ascii="黑体" w:hAnsi="黑体" w:eastAsia="黑体" w:cs="黑体"/>
          <w:sz w:val="32"/>
          <w:szCs w:val="32"/>
          <w:lang w:val="en-US" w:eastAsia="zh-CN" w:bidi="ar-SA"/>
        </w:rPr>
        <w:t>三、净菜加工产品保鲜锁鲜</w:t>
      </w:r>
    </w:p>
    <w:p>
      <w:pPr>
        <w:pStyle w:val="15"/>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textAlignment w:val="auto"/>
        <w:outlineLvl w:val="9"/>
        <w:rPr>
          <w:rFonts w:hint="eastAsia" w:ascii="方正仿宋_GBK" w:eastAsia="方正仿宋_GBK" w:cs="方正仿宋_GBK"/>
          <w:kern w:val="2"/>
          <w:sz w:val="32"/>
          <w:szCs w:val="32"/>
          <w:lang w:val="en-US" w:eastAsia="zh-CN" w:bidi="ar-SA"/>
        </w:rPr>
      </w:pPr>
      <w:r>
        <w:rPr>
          <w:rFonts w:ascii="方正楷体_GBK" w:eastAsia="方正楷体_GBK" w:cs="方正楷体_GBK"/>
          <w:kern w:val="2"/>
          <w:sz w:val="32"/>
          <w:szCs w:val="32"/>
          <w:lang w:val="en-US" w:eastAsia="zh-CN" w:bidi="ar-SA"/>
        </w:rPr>
        <w:t>需求目标：</w:t>
      </w:r>
      <w:r>
        <w:rPr>
          <w:rFonts w:hint="eastAsia" w:ascii="仿宋_GB2312" w:hAnsi="仿宋_GB2312" w:eastAsia="仿宋_GB2312" w:cs="仿宋_GB2312"/>
          <w:kern w:val="2"/>
          <w:sz w:val="32"/>
          <w:szCs w:val="32"/>
          <w:highlight w:val="none"/>
          <w:lang w:val="en-US" w:eastAsia="zh-CN" w:bidi="ar-SA"/>
        </w:rPr>
        <w:t>采用先进的保鲜锁鲜技术，确保产品在储存和运输过程中保持优良品质和口感。</w:t>
      </w:r>
    </w:p>
    <w:p>
      <w:pPr>
        <w:pStyle w:val="15"/>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方正楷体_GBK" w:eastAsia="方正楷体_GBK" w:cs="方正楷体_GBK"/>
          <w:kern w:val="2"/>
          <w:sz w:val="32"/>
          <w:szCs w:val="32"/>
          <w:lang w:val="en-US" w:eastAsia="zh-CN" w:bidi="ar-SA"/>
        </w:rPr>
        <w:t>考核指标：</w:t>
      </w:r>
      <w:r>
        <w:rPr>
          <w:rFonts w:hint="eastAsia" w:ascii="仿宋_GB2312" w:hAnsi="仿宋_GB2312" w:eastAsia="仿宋_GB2312" w:cs="仿宋_GB2312"/>
          <w:kern w:val="2"/>
          <w:sz w:val="32"/>
          <w:szCs w:val="32"/>
          <w:highlight w:val="none"/>
          <w:lang w:val="en-US" w:eastAsia="zh-CN" w:bidi="ar-SA"/>
        </w:rPr>
        <w:t>1.延长净菜产品的货架期，由目前的3天延长至7天以上。</w:t>
      </w:r>
    </w:p>
    <w:p>
      <w:pPr>
        <w:pStyle w:val="15"/>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textAlignment w:val="auto"/>
        <w:outlineLvl w:val="9"/>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2.在不使用任何添加剂的基础上，通过物理及技术措施，在保证口感及食品安全的情况下降低蔬菜褐变率，</w:t>
      </w:r>
      <w:r>
        <w:rPr>
          <w:rFonts w:hint="default" w:ascii="仿宋_GB2312" w:hAnsi="仿宋_GB2312" w:eastAsia="仿宋_GB2312" w:cs="仿宋_GB2312"/>
          <w:kern w:val="2"/>
          <w:sz w:val="32"/>
          <w:szCs w:val="32"/>
          <w:highlight w:val="none"/>
          <w:lang w:val="en-US" w:eastAsia="zh-CN" w:bidi="ar-SA"/>
        </w:rPr>
        <w:t>最终产品的褐变率</w:t>
      </w:r>
      <w:r>
        <w:rPr>
          <w:rFonts w:hint="eastAsia" w:ascii="仿宋_GB2312" w:hAnsi="仿宋_GB2312" w:eastAsia="仿宋_GB2312" w:cs="仿宋_GB2312"/>
          <w:kern w:val="2"/>
          <w:sz w:val="32"/>
          <w:szCs w:val="32"/>
          <w:highlight w:val="none"/>
          <w:lang w:val="en-US" w:eastAsia="zh-CN" w:bidi="ar-SA"/>
        </w:rPr>
        <w:t>从5%降低为0</w:t>
      </w:r>
      <w:r>
        <w:rPr>
          <w:rFonts w:hint="default" w:ascii="仿宋_GB2312" w:hAnsi="仿宋_GB2312" w:eastAsia="仿宋_GB2312" w:cs="仿宋_GB2312"/>
          <w:kern w:val="2"/>
          <w:sz w:val="32"/>
          <w:szCs w:val="32"/>
          <w:highlight w:val="none"/>
          <w:lang w:val="en-US" w:eastAsia="zh-CN" w:bidi="ar-SA"/>
        </w:rPr>
        <w:t>。</w:t>
      </w:r>
    </w:p>
    <w:p>
      <w:pPr>
        <w:pStyle w:val="15"/>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3.根据产品的种类和保鲜需求对冷藏温度进行调整，</w:t>
      </w:r>
      <w:r>
        <w:rPr>
          <w:rFonts w:hint="default" w:ascii="仿宋_GB2312" w:hAnsi="仿宋_GB2312" w:eastAsia="仿宋_GB2312" w:cs="仿宋_GB2312"/>
          <w:kern w:val="2"/>
          <w:sz w:val="32"/>
          <w:szCs w:val="32"/>
          <w:highlight w:val="none"/>
          <w:lang w:val="en-US" w:eastAsia="zh-CN" w:bidi="ar-SA"/>
        </w:rPr>
        <w:t>着重保持净菜的天然色泽和脆嫩口感。</w:t>
      </w:r>
    </w:p>
    <w:p>
      <w:pPr>
        <w:pStyle w:val="15"/>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textAlignment w:val="auto"/>
        <w:outlineLvl w:val="9"/>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榜单金额：50万元</w:t>
      </w:r>
    </w:p>
    <w:p>
      <w:pPr>
        <w:pStyle w:val="15"/>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textAlignment w:val="auto"/>
        <w:outlineLvl w:val="9"/>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实施期限：不超过2年</w:t>
      </w:r>
    </w:p>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swiss"/>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宋体_x0004_fal">
    <w:altName w:val="方正书宋_GBK"/>
    <w:panose1 w:val="00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TrueTypeFonts/>
  <w:saveSubsetFonts/>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mMxNWVlNzY0NjM5YjA1MTBmZTRlZjM1MGEzMTM2NzMifQ=="/>
  </w:docVars>
  <w:rsids>
    <w:rsidRoot w:val="00000000"/>
    <w:rsid w:val="010F1C0D"/>
    <w:rsid w:val="017B16DC"/>
    <w:rsid w:val="04BE2226"/>
    <w:rsid w:val="099A2423"/>
    <w:rsid w:val="0C2730EE"/>
    <w:rsid w:val="0E2A38AE"/>
    <w:rsid w:val="0FE908DC"/>
    <w:rsid w:val="11877731"/>
    <w:rsid w:val="13CB0E42"/>
    <w:rsid w:val="14D47131"/>
    <w:rsid w:val="177B7D38"/>
    <w:rsid w:val="190235F6"/>
    <w:rsid w:val="1BEA548C"/>
    <w:rsid w:val="1C5F7C42"/>
    <w:rsid w:val="20DB67D7"/>
    <w:rsid w:val="21E8173A"/>
    <w:rsid w:val="22FF35CB"/>
    <w:rsid w:val="236C6787"/>
    <w:rsid w:val="24234632"/>
    <w:rsid w:val="249C309C"/>
    <w:rsid w:val="24E30C65"/>
    <w:rsid w:val="26964247"/>
    <w:rsid w:val="27EE4FF1"/>
    <w:rsid w:val="28DC615D"/>
    <w:rsid w:val="2964687E"/>
    <w:rsid w:val="2B096B47"/>
    <w:rsid w:val="2B602E05"/>
    <w:rsid w:val="2D3447B9"/>
    <w:rsid w:val="2D821D81"/>
    <w:rsid w:val="2E530D6D"/>
    <w:rsid w:val="2FEB3A8A"/>
    <w:rsid w:val="311F7AB1"/>
    <w:rsid w:val="31603DCF"/>
    <w:rsid w:val="323B0398"/>
    <w:rsid w:val="32D87995"/>
    <w:rsid w:val="339064C2"/>
    <w:rsid w:val="339E298D"/>
    <w:rsid w:val="3643781B"/>
    <w:rsid w:val="36AA5AEC"/>
    <w:rsid w:val="36C50A7E"/>
    <w:rsid w:val="375F0DA9"/>
    <w:rsid w:val="37F97CFC"/>
    <w:rsid w:val="39135CB8"/>
    <w:rsid w:val="3B9C1EA7"/>
    <w:rsid w:val="3CF00230"/>
    <w:rsid w:val="401069C0"/>
    <w:rsid w:val="40387CC5"/>
    <w:rsid w:val="40A460C5"/>
    <w:rsid w:val="4142119D"/>
    <w:rsid w:val="419A64DB"/>
    <w:rsid w:val="42051E29"/>
    <w:rsid w:val="451231DA"/>
    <w:rsid w:val="45EA1A61"/>
    <w:rsid w:val="46C04776"/>
    <w:rsid w:val="48900C04"/>
    <w:rsid w:val="48BF5427"/>
    <w:rsid w:val="494F64C8"/>
    <w:rsid w:val="4A5971B6"/>
    <w:rsid w:val="4CEC26B6"/>
    <w:rsid w:val="4D565C2E"/>
    <w:rsid w:val="4F823DD9"/>
    <w:rsid w:val="51016CF0"/>
    <w:rsid w:val="5119144D"/>
    <w:rsid w:val="511A58F1"/>
    <w:rsid w:val="51740A86"/>
    <w:rsid w:val="528F7C18"/>
    <w:rsid w:val="533C3438"/>
    <w:rsid w:val="54971006"/>
    <w:rsid w:val="564B654C"/>
    <w:rsid w:val="56F40992"/>
    <w:rsid w:val="578216F5"/>
    <w:rsid w:val="57D04F5B"/>
    <w:rsid w:val="5CAD362D"/>
    <w:rsid w:val="5FD56E87"/>
    <w:rsid w:val="5FEA14E8"/>
    <w:rsid w:val="64495D15"/>
    <w:rsid w:val="65315F2C"/>
    <w:rsid w:val="674D36BF"/>
    <w:rsid w:val="69685689"/>
    <w:rsid w:val="6AB96FF4"/>
    <w:rsid w:val="6B016D82"/>
    <w:rsid w:val="6B9B0F84"/>
    <w:rsid w:val="6D237483"/>
    <w:rsid w:val="6D390A55"/>
    <w:rsid w:val="6D747CDF"/>
    <w:rsid w:val="6FF70753"/>
    <w:rsid w:val="729055BB"/>
    <w:rsid w:val="73DC038C"/>
    <w:rsid w:val="750C2CDE"/>
    <w:rsid w:val="75181898"/>
    <w:rsid w:val="75244A64"/>
    <w:rsid w:val="79BA116F"/>
    <w:rsid w:val="7B000E04"/>
    <w:rsid w:val="7D2E598C"/>
    <w:rsid w:val="7D3E0C41"/>
    <w:rsid w:val="7E92673D"/>
    <w:rsid w:val="7EF0556B"/>
    <w:rsid w:val="7F8C0EB8"/>
    <w:rsid w:val="CF567F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7">
    <w:name w:val="heading 3"/>
    <w:basedOn w:val="1"/>
    <w:next w:val="1"/>
    <w:qFormat/>
    <w:uiPriority w:val="0"/>
    <w:pPr>
      <w:keepNext/>
      <w:keepLines/>
      <w:spacing w:before="260" w:after="260" w:line="415" w:lineRule="auto"/>
      <w:outlineLvl w:val="2"/>
    </w:pPr>
    <w:rPr>
      <w:b/>
      <w:bCs/>
      <w:sz w:val="32"/>
      <w:szCs w:val="32"/>
    </w:rPr>
  </w:style>
  <w:style w:type="character" w:default="1" w:styleId="12">
    <w:name w:val="Default Paragraph Font"/>
    <w:qFormat/>
    <w:uiPriority w:val="0"/>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eastAsia="黑体"/>
      <w:kern w:val="44"/>
      <w:sz w:val="32"/>
      <w:szCs w:val="20"/>
    </w:rPr>
  </w:style>
  <w:style w:type="paragraph" w:styleId="3">
    <w:name w:val="Body Text"/>
    <w:basedOn w:val="1"/>
    <w:next w:val="4"/>
    <w:qFormat/>
    <w:uiPriority w:val="0"/>
    <w:rPr>
      <w:rFonts w:ascii="宋体"/>
      <w:b/>
      <w:bCs/>
      <w:color w:val="000000"/>
      <w:sz w:val="28"/>
    </w:rPr>
  </w:style>
  <w:style w:type="paragraph" w:styleId="4">
    <w:name w:val="index 9"/>
    <w:basedOn w:val="1"/>
    <w:next w:val="1"/>
    <w:qFormat/>
    <w:uiPriority w:val="0"/>
    <w:pPr>
      <w:ind w:left="3360"/>
    </w:pPr>
  </w:style>
  <w:style w:type="paragraph" w:styleId="8">
    <w:name w:val="annotation text"/>
    <w:basedOn w:val="1"/>
    <w:unhideWhenUsed/>
    <w:qFormat/>
    <w:uiPriority w:val="99"/>
    <w:pPr>
      <w:jc w:val="left"/>
    </w:pPr>
  </w:style>
  <w:style w:type="paragraph" w:styleId="9">
    <w:name w:val="Body Text 2"/>
    <w:basedOn w:val="1"/>
    <w:qFormat/>
    <w:uiPriority w:val="0"/>
    <w:pPr>
      <w:spacing w:after="120" w:line="480" w:lineRule="auto"/>
    </w:pPr>
    <w:rPr>
      <w:rFonts w:ascii="Calibri" w:hAnsi="Calibri" w:cs="Times New Roman"/>
    </w:rPr>
  </w:style>
  <w:style w:type="paragraph" w:styleId="10">
    <w:name w:val="Title"/>
    <w:basedOn w:val="1"/>
    <w:next w:val="1"/>
    <w:qFormat/>
    <w:uiPriority w:val="0"/>
    <w:pPr>
      <w:spacing w:before="240" w:after="60"/>
      <w:jc w:val="left"/>
      <w:outlineLvl w:val="0"/>
    </w:pPr>
    <w:rPr>
      <w:rFonts w:ascii="Cambria" w:hAnsi="Cambria" w:eastAsia="黑体" w:cs="Times New Roman"/>
      <w:bCs/>
      <w:sz w:val="28"/>
      <w:szCs w:val="32"/>
    </w:rPr>
  </w:style>
  <w:style w:type="character" w:styleId="13">
    <w:name w:val="annotation reference"/>
    <w:basedOn w:val="12"/>
    <w:unhideWhenUsed/>
    <w:qFormat/>
    <w:uiPriority w:val="99"/>
    <w:rPr>
      <w:sz w:val="21"/>
      <w:szCs w:val="21"/>
    </w:r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
    <w:name w:val="样式 文字 + 首行缩进:  2 字符3"/>
    <w:basedOn w:val="1"/>
    <w:qFormat/>
    <w:uiPriority w:val="0"/>
    <w:rPr>
      <w:rFonts w:cs="宋体_x0004_fal"/>
    </w:rPr>
  </w:style>
  <w:style w:type="paragraph" w:customStyle="1" w:styleId="16">
    <w:name w:val="List Paragraph"/>
    <w:basedOn w:val="1"/>
    <w:qFormat/>
    <w:uiPriority w:val="0"/>
    <w:pPr>
      <w:ind w:firstLine="20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4</Pages>
  <Words>1297</Words>
  <Characters>1390</Characters>
  <Lines>151</Lines>
  <Paragraphs>74</Paragraphs>
  <TotalTime>4</TotalTime>
  <ScaleCrop>false</ScaleCrop>
  <LinksUpToDate>false</LinksUpToDate>
  <CharactersWithSpaces>1401</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2023-12-04T16:14:00Z</dcterms:created>
  <dc:creator>~木南~</dc:creator>
  <cp:lastModifiedBy>aaa</cp:lastModifiedBy>
  <cp:lastPrinted>2024-12-10T16:16:00Z</cp:lastPrinted>
  <dcterms:modified xsi:type="dcterms:W3CDTF">2024-12-10T17:19:59Z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C690407CF2D82874BF075867F2731CE0</vt:lpwstr>
  </property>
</Properties>
</file>