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w:t>
      </w:r>
      <w:r>
        <w:rPr>
          <w:rFonts w:hint="eastAsia" w:ascii="方正小标宋_GBK" w:hAnsi="方正小标宋_GBK" w:eastAsia="方正小标宋_GBK" w:cs="方正小标宋_GBK"/>
          <w:b w:val="0"/>
          <w:bCs w:val="0"/>
          <w:color w:val="auto"/>
          <w:sz w:val="44"/>
          <w:szCs w:val="44"/>
          <w:highlight w:val="none"/>
          <w:lang w:val="en-US" w:eastAsia="zh-CN"/>
        </w:rPr>
        <w:t>暖城乐购·伊旗共享”促进消费</w:t>
      </w:r>
    </w:p>
    <w:p>
      <w:pPr>
        <w:keepNext w:val="0"/>
        <w:keepLines w:val="0"/>
        <w:pageBreakBefore w:val="0"/>
        <w:widowControl/>
        <w:kinsoku w:val="0"/>
        <w:wordWrap/>
        <w:overflowPunct/>
        <w:topLinePunct w:val="0"/>
        <w:autoSpaceDE w:val="0"/>
        <w:autoSpaceDN w:val="0"/>
        <w:bidi w:val="0"/>
        <w:adjustRightInd w:val="0"/>
        <w:snapToGrid w:val="0"/>
        <w:spacing w:line="660" w:lineRule="exact"/>
        <w:jc w:val="center"/>
        <w:textAlignment w:val="baseline"/>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val="en-US" w:eastAsia="zh-CN"/>
        </w:rPr>
        <w:t>活动</w:t>
      </w:r>
      <w:r>
        <w:rPr>
          <w:rFonts w:hint="eastAsia" w:ascii="方正小标宋_GBK" w:hAnsi="方正小标宋_GBK" w:eastAsia="方正小标宋_GBK" w:cs="方正小标宋_GBK"/>
          <w:b w:val="0"/>
          <w:bCs w:val="0"/>
          <w:color w:val="auto"/>
          <w:sz w:val="44"/>
          <w:szCs w:val="44"/>
          <w:highlight w:val="none"/>
          <w:lang w:eastAsia="zh-CN"/>
        </w:rPr>
        <w:t>实施方案</w:t>
      </w:r>
    </w:p>
    <w:p>
      <w:pPr>
        <w:pStyle w:val="9"/>
        <w:keepNext w:val="0"/>
        <w:keepLines w:val="0"/>
        <w:pageBreakBefore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小标宋简体" w:hAnsi="方正小标宋简体" w:eastAsia="方正小标宋简体" w:cs="方正小标宋简体"/>
          <w:color w:val="auto"/>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一、活动目的</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default" w:ascii="仿宋_GB2312" w:hAnsi="仿宋_GB2312" w:eastAsia="仿宋_GB2312" w:cs="仿宋_GB2312"/>
          <w:b w:val="0"/>
          <w:bCs w:val="0"/>
          <w:color w:val="auto"/>
          <w:kern w:val="2"/>
          <w:sz w:val="32"/>
          <w:szCs w:val="32"/>
          <w:lang w:val="en-US" w:eastAsia="zh-CN"/>
        </w:rPr>
      </w:pPr>
      <w:r>
        <w:rPr>
          <w:rFonts w:hint="default" w:ascii="仿宋_GB2312" w:hAnsi="仿宋_GB2312" w:eastAsia="仿宋_GB2312" w:cs="仿宋_GB2312"/>
          <w:b w:val="0"/>
          <w:bCs w:val="0"/>
          <w:color w:val="auto"/>
          <w:kern w:val="2"/>
          <w:sz w:val="32"/>
          <w:szCs w:val="32"/>
          <w:lang w:val="en-US" w:eastAsia="zh-CN"/>
        </w:rPr>
        <w:t>为全面贯彻党的二十大和二十届二中、三中全会精神，认真落实中央经济工作会议关于</w:t>
      </w:r>
      <w:r>
        <w:rPr>
          <w:rFonts w:hint="eastAsia" w:ascii="仿宋_GB2312" w:hAnsi="仿宋_GB2312" w:eastAsia="仿宋_GB2312" w:cs="仿宋_GB2312"/>
          <w:b w:val="0"/>
          <w:bCs w:val="0"/>
          <w:color w:val="auto"/>
          <w:kern w:val="2"/>
          <w:sz w:val="32"/>
          <w:szCs w:val="32"/>
          <w:lang w:val="en-US" w:eastAsia="zh-CN"/>
        </w:rPr>
        <w:t>“</w:t>
      </w:r>
      <w:r>
        <w:rPr>
          <w:rFonts w:hint="default" w:ascii="仿宋_GB2312" w:hAnsi="仿宋_GB2312" w:eastAsia="仿宋_GB2312" w:cs="仿宋_GB2312"/>
          <w:b w:val="0"/>
          <w:bCs w:val="0"/>
          <w:color w:val="auto"/>
          <w:kern w:val="2"/>
          <w:sz w:val="32"/>
          <w:szCs w:val="32"/>
          <w:lang w:val="en-US" w:eastAsia="zh-CN"/>
        </w:rPr>
        <w:t>大力提振消费、提高投资效益，全方位扩大国内需求</w:t>
      </w:r>
      <w:r>
        <w:rPr>
          <w:rFonts w:hint="eastAsia" w:ascii="仿宋_GB2312" w:hAnsi="仿宋_GB2312" w:eastAsia="仿宋_GB2312" w:cs="仿宋_GB2312"/>
          <w:b w:val="0"/>
          <w:bCs w:val="0"/>
          <w:color w:val="auto"/>
          <w:kern w:val="2"/>
          <w:sz w:val="32"/>
          <w:szCs w:val="32"/>
          <w:lang w:val="en-US" w:eastAsia="zh-CN"/>
        </w:rPr>
        <w:t>”</w:t>
      </w:r>
      <w:r>
        <w:rPr>
          <w:rFonts w:hint="default" w:ascii="仿宋_GB2312" w:hAnsi="仿宋_GB2312" w:eastAsia="仿宋_GB2312" w:cs="仿宋_GB2312"/>
          <w:b w:val="0"/>
          <w:bCs w:val="0"/>
          <w:color w:val="auto"/>
          <w:kern w:val="2"/>
          <w:sz w:val="32"/>
          <w:szCs w:val="32"/>
          <w:lang w:val="en-US" w:eastAsia="zh-CN"/>
        </w:rPr>
        <w:t>要求，</w:t>
      </w:r>
      <w:r>
        <w:rPr>
          <w:rFonts w:hint="eastAsia" w:ascii="仿宋_GB2312" w:hAnsi="仿宋_GB2312" w:eastAsia="仿宋_GB2312" w:cs="仿宋_GB2312"/>
          <w:b w:val="0"/>
          <w:bCs w:val="0"/>
          <w:color w:val="auto"/>
          <w:kern w:val="2"/>
          <w:sz w:val="32"/>
          <w:szCs w:val="32"/>
          <w:lang w:val="en-US" w:eastAsia="zh-CN"/>
        </w:rPr>
        <w:t>进一步释放消费潜力，全面提升我旗社会消费品零售水平，</w:t>
      </w:r>
      <w:r>
        <w:rPr>
          <w:rFonts w:hint="default" w:ascii="仿宋_GB2312" w:hAnsi="仿宋_GB2312" w:eastAsia="仿宋_GB2312" w:cs="仿宋_GB2312"/>
          <w:b w:val="0"/>
          <w:bCs w:val="0"/>
          <w:color w:val="auto"/>
          <w:kern w:val="2"/>
          <w:sz w:val="32"/>
          <w:szCs w:val="32"/>
          <w:lang w:val="en-US" w:eastAsia="zh-CN"/>
        </w:rPr>
        <w:t>结合我</w:t>
      </w:r>
      <w:r>
        <w:rPr>
          <w:rFonts w:hint="eastAsia" w:ascii="仿宋_GB2312" w:hAnsi="仿宋_GB2312" w:eastAsia="仿宋_GB2312" w:cs="仿宋_GB2312"/>
          <w:b w:val="0"/>
          <w:bCs w:val="0"/>
          <w:color w:val="auto"/>
          <w:kern w:val="2"/>
          <w:sz w:val="32"/>
          <w:szCs w:val="32"/>
          <w:lang w:val="en-US" w:eastAsia="zh-CN"/>
        </w:rPr>
        <w:t>旗</w:t>
      </w:r>
      <w:r>
        <w:rPr>
          <w:rFonts w:hint="default" w:ascii="仿宋_GB2312" w:hAnsi="仿宋_GB2312" w:eastAsia="仿宋_GB2312" w:cs="仿宋_GB2312"/>
          <w:b w:val="0"/>
          <w:bCs w:val="0"/>
          <w:color w:val="auto"/>
          <w:kern w:val="2"/>
          <w:sz w:val="32"/>
          <w:szCs w:val="32"/>
          <w:lang w:val="en-US" w:eastAsia="zh-CN"/>
        </w:rPr>
        <w:t>实际，</w:t>
      </w:r>
      <w:r>
        <w:rPr>
          <w:rFonts w:hint="eastAsia" w:ascii="仿宋_GB2312" w:hAnsi="仿宋_GB2312" w:eastAsia="仿宋_GB2312" w:cs="仿宋_GB2312"/>
          <w:b w:val="0"/>
          <w:bCs w:val="0"/>
          <w:color w:val="auto"/>
          <w:kern w:val="2"/>
          <w:sz w:val="32"/>
          <w:szCs w:val="32"/>
          <w:lang w:val="en-US" w:eastAsia="zh-CN"/>
        </w:rPr>
        <w:t>特制定“暖城乐购”消费补贴活动实施方案。</w:t>
      </w:r>
    </w:p>
    <w:p>
      <w:pPr>
        <w:keepNext w:val="0"/>
        <w:keepLines w:val="0"/>
        <w:widowControl/>
        <w:suppressLineNumbers w:val="0"/>
        <w:ind w:firstLine="628" w:firstLineChars="200"/>
        <w:jc w:val="left"/>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二、活动时间</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eastAsia" w:ascii="仿宋_GB2312" w:hAnsi="仿宋_GB2312" w:eastAsia="仿宋_GB2312" w:cs="仿宋_GB2312"/>
          <w:b w:val="0"/>
          <w:bCs w:val="0"/>
          <w:color w:val="auto"/>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2025年3月22日至3月31日。消费补贴实行活动时间控制及补贴总金额控制，按照活动时间截止或补贴资金105万元补贴完毕满足一项补贴结束。</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Times New Roman" w:hAnsi="Times New Roman" w:eastAsia="黑体" w:cs="Times New Roman"/>
          <w:b w:val="0"/>
          <w:bCs w:val="0"/>
          <w:color w:val="auto"/>
          <w:kern w:val="2"/>
          <w:sz w:val="32"/>
          <w:szCs w:val="32"/>
          <w:highlight w:val="none"/>
          <w:lang w:val="en-US" w:eastAsia="zh-CN" w:bidi="ar-SA"/>
        </w:rPr>
        <w:t>三、</w:t>
      </w:r>
      <w:r>
        <w:rPr>
          <w:rFonts w:hint="eastAsia" w:ascii="Times New Roman" w:hAnsi="Times New Roman" w:eastAsia="黑体" w:cs="Times New Roman"/>
          <w:b w:val="0"/>
          <w:bCs w:val="0"/>
          <w:color w:val="auto"/>
          <w:kern w:val="2"/>
          <w:sz w:val="32"/>
          <w:szCs w:val="32"/>
          <w:highlight w:val="none"/>
          <w:lang w:val="en-US" w:eastAsia="zh-CN" w:bidi="ar-SA"/>
        </w:rPr>
        <w:t>资金安排</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color w:val="auto"/>
          <w:kern w:val="2"/>
          <w:sz w:val="32"/>
          <w:szCs w:val="32"/>
          <w:lang w:val="en-US" w:eastAsia="zh-CN"/>
        </w:rPr>
        <w:t>本次活动共安排105万元用于惠民消费券的发放。其中，市级安排资金35万元，旗级安排资金70万元（其中餐饮行业90万元、住宿行业15万元）。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28" w:firstLineChars="200"/>
        <w:jc w:val="both"/>
        <w:textAlignment w:val="auto"/>
        <w:rPr>
          <w:rFonts w:hint="eastAsia" w:ascii="方正黑体_GBK" w:hAnsi="方正黑体_GBK" w:eastAsia="方正黑体_GBK" w:cs="方正黑体_GBK"/>
          <w:b w:val="0"/>
          <w:bCs w:val="0"/>
          <w:snapToGrid/>
          <w:color w:val="auto"/>
          <w:kern w:val="2"/>
          <w:sz w:val="32"/>
          <w:szCs w:val="32"/>
          <w:highlight w:val="none"/>
          <w:lang w:val="en-US" w:eastAsia="zh-CN"/>
        </w:rPr>
      </w:pPr>
      <w:r>
        <w:rPr>
          <w:rFonts w:hint="eastAsia" w:ascii="方正黑体_GBK" w:hAnsi="方正黑体_GBK" w:eastAsia="方正黑体_GBK" w:cs="方正黑体_GBK"/>
          <w:b w:val="0"/>
          <w:bCs w:val="0"/>
          <w:snapToGrid/>
          <w:color w:val="auto"/>
          <w:kern w:val="2"/>
          <w:sz w:val="32"/>
          <w:szCs w:val="32"/>
          <w:highlight w:val="none"/>
          <w:lang w:val="en-US" w:eastAsia="zh-CN"/>
        </w:rPr>
        <w:t>四、参与企业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在</w:t>
      </w:r>
      <w:r>
        <w:rPr>
          <w:rFonts w:hint="default" w:ascii="Times New Roman" w:hAnsi="Times New Roman" w:eastAsia="仿宋_GB2312" w:cs="Times New Roman"/>
          <w:b w:val="0"/>
          <w:bCs w:val="0"/>
          <w:snapToGrid/>
          <w:color w:val="auto"/>
          <w:kern w:val="2"/>
          <w:sz w:val="32"/>
          <w:szCs w:val="32"/>
          <w:highlight w:val="none"/>
          <w:lang w:val="en-US" w:eastAsia="zh-CN"/>
        </w:rPr>
        <w:t>伊金霍洛旗内</w:t>
      </w:r>
      <w:r>
        <w:rPr>
          <w:rFonts w:hint="eastAsia" w:ascii="Times New Roman" w:hAnsi="Times New Roman" w:eastAsia="仿宋_GB2312" w:cs="Times New Roman"/>
          <w:b w:val="0"/>
          <w:bCs w:val="0"/>
          <w:snapToGrid/>
          <w:color w:val="auto"/>
          <w:kern w:val="2"/>
          <w:sz w:val="32"/>
          <w:szCs w:val="32"/>
          <w:highlight w:val="none"/>
          <w:lang w:val="en-US" w:eastAsia="zh-CN"/>
        </w:rPr>
        <w:t>注册登记且自愿参加活动的餐饮、住宿企业（个体）</w:t>
      </w:r>
      <w:r>
        <w:rPr>
          <w:rFonts w:hint="default" w:ascii="Times New Roman" w:hAnsi="Times New Roman" w:eastAsia="仿宋_GB2312" w:cs="Times New Roman"/>
          <w:b w:val="0"/>
          <w:bCs w:val="0"/>
          <w:snapToGrid/>
          <w:color w:val="auto"/>
          <w:kern w:val="2"/>
          <w:sz w:val="32"/>
          <w:szCs w:val="32"/>
          <w:highlight w:val="none"/>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五</w:t>
      </w:r>
      <w:r>
        <w:rPr>
          <w:rFonts w:hint="default" w:ascii="Times New Roman" w:hAnsi="Times New Roman" w:eastAsia="黑体" w:cs="Times New Roman"/>
          <w:b w:val="0"/>
          <w:bCs w:val="0"/>
          <w:color w:val="auto"/>
          <w:kern w:val="2"/>
          <w:sz w:val="32"/>
          <w:szCs w:val="32"/>
          <w:highlight w:val="none"/>
          <w:lang w:val="en-US" w:eastAsia="zh-CN" w:bidi="ar-SA"/>
        </w:rPr>
        <w:t>、发放方式及活动规则</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8" w:firstLineChars="200"/>
        <w:textAlignment w:val="auto"/>
        <w:rPr>
          <w:rFonts w:hint="eastAsia" w:ascii="仿宋_GB2312" w:hAnsi="仿宋_GB2312" w:eastAsia="仿宋_GB2312" w:cs="仿宋_GB2312"/>
          <w:b w:val="0"/>
          <w:bCs w:val="0"/>
          <w:kern w:val="2"/>
          <w:sz w:val="32"/>
          <w:szCs w:val="32"/>
          <w:lang w:val="en-US" w:eastAsia="zh-CN"/>
        </w:rPr>
      </w:pPr>
      <w:r>
        <w:rPr>
          <w:rFonts w:hint="default" w:ascii="仿宋_GB2312" w:hAnsi="仿宋_GB2312" w:eastAsia="仿宋_GB2312" w:cs="仿宋_GB2312"/>
          <w:b w:val="0"/>
          <w:bCs w:val="0"/>
          <w:kern w:val="2"/>
          <w:sz w:val="32"/>
          <w:szCs w:val="32"/>
          <w:lang w:val="en-US" w:eastAsia="zh-CN"/>
        </w:rPr>
        <w:t>（一）发放方式。</w:t>
      </w:r>
      <w:r>
        <w:rPr>
          <w:rFonts w:hint="eastAsia" w:ascii="仿宋_GB2312" w:hAnsi="仿宋_GB2312" w:eastAsia="仿宋_GB2312" w:cs="仿宋_GB2312"/>
          <w:b w:val="0"/>
          <w:bCs w:val="0"/>
          <w:kern w:val="2"/>
          <w:sz w:val="32"/>
          <w:szCs w:val="32"/>
          <w:lang w:val="en-US" w:eastAsia="zh-CN"/>
        </w:rPr>
        <w:t>由第三方服务机构以电子消费券的形式同步发放。</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default" w:ascii="仿宋_GB2312" w:hAnsi="仿宋_GB2312" w:eastAsia="仿宋_GB2312" w:cs="仿宋_GB2312"/>
          <w:b w:val="0"/>
          <w:bCs w:val="0"/>
          <w:kern w:val="2"/>
          <w:sz w:val="32"/>
          <w:szCs w:val="32"/>
          <w:lang w:val="en-US" w:eastAsia="zh-CN"/>
        </w:rPr>
        <w:t>（二）活动规则。</w:t>
      </w:r>
      <w:r>
        <w:rPr>
          <w:rFonts w:hint="eastAsia" w:ascii="仿宋_GB2312" w:hAnsi="仿宋_GB2312" w:eastAsia="仿宋_GB2312" w:cs="仿宋_GB2312"/>
          <w:b w:val="0"/>
          <w:bCs w:val="0"/>
          <w:kern w:val="2"/>
          <w:sz w:val="32"/>
          <w:szCs w:val="32"/>
          <w:lang w:val="en-US" w:eastAsia="zh-CN"/>
        </w:rPr>
        <w:t>用户从第三方服务机构平台领取消费券，</w:t>
      </w:r>
      <w:r>
        <w:rPr>
          <w:rFonts w:hint="default" w:ascii="仿宋_GB2312" w:hAnsi="仿宋_GB2312" w:eastAsia="仿宋_GB2312" w:cs="仿宋_GB2312"/>
          <w:b w:val="0"/>
          <w:bCs w:val="0"/>
          <w:kern w:val="2"/>
          <w:sz w:val="32"/>
          <w:szCs w:val="32"/>
          <w:lang w:val="en-US" w:eastAsia="zh-CN"/>
        </w:rPr>
        <w:t>消费券有效期为</w:t>
      </w:r>
      <w:r>
        <w:rPr>
          <w:rFonts w:hint="eastAsia" w:ascii="仿宋_GB2312" w:hAnsi="仿宋_GB2312" w:eastAsia="仿宋_GB2312" w:cs="仿宋_GB2312"/>
          <w:b w:val="0"/>
          <w:bCs w:val="0"/>
          <w:kern w:val="2"/>
          <w:sz w:val="32"/>
          <w:szCs w:val="32"/>
          <w:lang w:val="en-US" w:eastAsia="zh-CN"/>
        </w:rPr>
        <w:t>当日24时</w:t>
      </w:r>
      <w:r>
        <w:rPr>
          <w:rFonts w:hint="default" w:ascii="仿宋_GB2312" w:hAnsi="仿宋_GB2312" w:eastAsia="仿宋_GB2312" w:cs="仿宋_GB2312"/>
          <w:b w:val="0"/>
          <w:bCs w:val="0"/>
          <w:kern w:val="2"/>
          <w:sz w:val="32"/>
          <w:szCs w:val="32"/>
          <w:lang w:val="en-US" w:eastAsia="zh-CN"/>
        </w:rPr>
        <w:t>。用户有效期内如未使用,消费券将退回重新发放</w:t>
      </w:r>
      <w:r>
        <w:rPr>
          <w:rFonts w:hint="eastAsia" w:ascii="仿宋_GB2312" w:hAnsi="仿宋_GB2312" w:eastAsia="仿宋_GB2312" w:cs="仿宋_GB2312"/>
          <w:b w:val="0"/>
          <w:bCs w:val="0"/>
          <w:kern w:val="2"/>
          <w:sz w:val="32"/>
          <w:szCs w:val="32"/>
          <w:lang w:val="en-US" w:eastAsia="zh-CN"/>
        </w:rPr>
        <w:t>。</w:t>
      </w:r>
    </w:p>
    <w:p>
      <w:pPr>
        <w:keepNext w:val="0"/>
        <w:keepLines w:val="0"/>
        <w:pageBreakBefore w:val="0"/>
        <w:numPr>
          <w:ilvl w:val="0"/>
          <w:numId w:val="0"/>
        </w:numPr>
        <w:wordWrap/>
        <w:overflowPunct/>
        <w:topLinePunct w:val="0"/>
        <w:bidi w:val="0"/>
        <w:spacing w:line="540" w:lineRule="exact"/>
        <w:ind w:firstLine="628" w:firstLineChars="200"/>
        <w:rPr>
          <w:rFonts w:hint="default"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六、消费券金额及设置</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p>
    <w:tbl>
      <w:tblPr>
        <w:tblStyle w:val="11"/>
        <w:tblpPr w:leftFromText="180" w:rightFromText="180" w:vertAnchor="text" w:horzAnchor="page" w:tblpX="2114" w:tblpY="277"/>
        <w:tblOverlap w:val="never"/>
        <w:tblW w:w="7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128"/>
        <w:gridCol w:w="1019"/>
        <w:gridCol w:w="1019"/>
        <w:gridCol w:w="1904"/>
        <w:gridCol w:w="119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821"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黑体" w:hAnsi="黑体" w:eastAsia="黑体" w:cs="黑体"/>
                <w:color w:val="000000"/>
                <w:sz w:val="21"/>
                <w:szCs w:val="21"/>
                <w:vertAlign w:val="baseline"/>
                <w:lang w:eastAsia="zh-CN"/>
              </w:rPr>
              <w:t>优惠券分类</w:t>
            </w:r>
          </w:p>
        </w:tc>
        <w:tc>
          <w:tcPr>
            <w:tcW w:w="1128"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消费券合计（万元）</w:t>
            </w:r>
          </w:p>
        </w:tc>
        <w:tc>
          <w:tcPr>
            <w:tcW w:w="1019"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安排金额</w:t>
            </w:r>
            <w:r>
              <w:rPr>
                <w:rFonts w:hint="eastAsia" w:ascii="黑体" w:hAnsi="黑体" w:eastAsia="黑体" w:cs="黑体"/>
                <w:color w:val="auto"/>
                <w:sz w:val="21"/>
                <w:szCs w:val="21"/>
                <w:vertAlign w:val="baseline"/>
                <w:lang w:eastAsia="zh-CN"/>
              </w:rPr>
              <w:br w:type="textWrapping"/>
            </w:r>
            <w:r>
              <w:rPr>
                <w:rFonts w:hint="eastAsia" w:ascii="黑体" w:hAnsi="黑体" w:eastAsia="黑体" w:cs="黑体"/>
                <w:color w:val="auto"/>
                <w:sz w:val="21"/>
                <w:szCs w:val="21"/>
                <w:vertAlign w:val="baseline"/>
                <w:lang w:eastAsia="zh-CN"/>
              </w:rPr>
              <w:t>（万元）</w:t>
            </w:r>
          </w:p>
        </w:tc>
        <w:tc>
          <w:tcPr>
            <w:tcW w:w="1019"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消费券</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面额（元）</w:t>
            </w:r>
          </w:p>
        </w:tc>
        <w:tc>
          <w:tcPr>
            <w:tcW w:w="1904"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使用要求</w:t>
            </w:r>
          </w:p>
        </w:tc>
        <w:tc>
          <w:tcPr>
            <w:tcW w:w="1196"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补贴</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消费比</w:t>
            </w:r>
          </w:p>
        </w:tc>
        <w:tc>
          <w:tcPr>
            <w:tcW w:w="871"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黑体" w:hAnsi="黑体" w:eastAsia="黑体" w:cs="黑体"/>
                <w:color w:val="auto"/>
                <w:sz w:val="21"/>
                <w:szCs w:val="21"/>
                <w:vertAlign w:val="baseline"/>
                <w:lang w:eastAsia="zh-CN"/>
              </w:rPr>
            </w:pPr>
            <w:r>
              <w:rPr>
                <w:rFonts w:hint="eastAsia" w:ascii="黑体" w:hAnsi="黑体" w:eastAsia="黑体" w:cs="黑体"/>
                <w:color w:val="auto"/>
                <w:sz w:val="21"/>
                <w:szCs w:val="21"/>
                <w:vertAlign w:val="baseline"/>
                <w:lang w:eastAsia="zh-CN"/>
              </w:rPr>
              <w:t>消费券数量（张）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21" w:type="dxa"/>
            <w:vMerge w:val="restart"/>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住</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宿</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类</w:t>
            </w:r>
          </w:p>
        </w:tc>
        <w:tc>
          <w:tcPr>
            <w:tcW w:w="1128" w:type="dxa"/>
            <w:vMerge w:val="restart"/>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w:t>
            </w:r>
          </w:p>
        </w:tc>
        <w:tc>
          <w:tcPr>
            <w:tcW w:w="1019"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w:t>
            </w:r>
          </w:p>
        </w:tc>
        <w:tc>
          <w:tcPr>
            <w:tcW w:w="1019"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20</w:t>
            </w:r>
          </w:p>
        </w:tc>
        <w:tc>
          <w:tcPr>
            <w:tcW w:w="1904"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消费满200可用</w:t>
            </w:r>
          </w:p>
        </w:tc>
        <w:tc>
          <w:tcPr>
            <w:tcW w:w="1196"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1:10</w:t>
            </w:r>
          </w:p>
        </w:tc>
        <w:tc>
          <w:tcPr>
            <w:tcW w:w="871"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21" w:type="dxa"/>
            <w:vMerge w:val="continue"/>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28" w:type="dxa"/>
            <w:vMerge w:val="continue"/>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p>
        </w:tc>
        <w:tc>
          <w:tcPr>
            <w:tcW w:w="1019"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6</w:t>
            </w:r>
          </w:p>
        </w:tc>
        <w:tc>
          <w:tcPr>
            <w:tcW w:w="1019"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30</w:t>
            </w:r>
          </w:p>
        </w:tc>
        <w:tc>
          <w:tcPr>
            <w:tcW w:w="1904"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2"/>
                <w:sz w:val="21"/>
                <w:szCs w:val="21"/>
                <w:shd w:val="clear" w:color="auto" w:fill="FFFFFF"/>
                <w:lang w:val="en-US" w:eastAsia="zh-CN" w:bidi="ar-SA"/>
              </w:rPr>
              <w:t>消费满300可用</w:t>
            </w:r>
          </w:p>
        </w:tc>
        <w:tc>
          <w:tcPr>
            <w:tcW w:w="1196"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shd w:val="clear" w:color="auto" w:fill="FFFFFF"/>
                <w:lang w:val="en-US" w:eastAsia="zh-CN" w:bidi="ar-SA"/>
              </w:rPr>
              <w:t>1:10</w:t>
            </w:r>
          </w:p>
        </w:tc>
        <w:tc>
          <w:tcPr>
            <w:tcW w:w="871"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21" w:type="dxa"/>
            <w:vMerge w:val="restart"/>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餐</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饮</w:t>
            </w:r>
          </w:p>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类</w:t>
            </w:r>
          </w:p>
        </w:tc>
        <w:tc>
          <w:tcPr>
            <w:tcW w:w="1128" w:type="dxa"/>
            <w:vMerge w:val="restart"/>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90</w:t>
            </w:r>
          </w:p>
        </w:tc>
        <w:tc>
          <w:tcPr>
            <w:tcW w:w="1019"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30</w:t>
            </w:r>
          </w:p>
        </w:tc>
        <w:tc>
          <w:tcPr>
            <w:tcW w:w="1019"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125</w:t>
            </w:r>
          </w:p>
        </w:tc>
        <w:tc>
          <w:tcPr>
            <w:tcW w:w="1904"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eastAsia"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消费满1000可用</w:t>
            </w:r>
          </w:p>
        </w:tc>
        <w:tc>
          <w:tcPr>
            <w:tcW w:w="1196"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1:8</w:t>
            </w:r>
          </w:p>
        </w:tc>
        <w:tc>
          <w:tcPr>
            <w:tcW w:w="871"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21" w:type="dxa"/>
            <w:vMerge w:val="continue"/>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28" w:type="dxa"/>
            <w:vMerge w:val="continue"/>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default" w:ascii="仿宋_GB2312" w:hAnsi="仿宋_GB2312" w:eastAsia="仿宋_GB2312" w:cs="仿宋_GB2312"/>
                <w:color w:val="auto"/>
                <w:sz w:val="21"/>
                <w:szCs w:val="21"/>
                <w:vertAlign w:val="baseline"/>
                <w:lang w:val="en-US" w:eastAsia="zh-CN"/>
              </w:rPr>
            </w:pPr>
          </w:p>
        </w:tc>
        <w:tc>
          <w:tcPr>
            <w:tcW w:w="1019"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30</w:t>
            </w:r>
          </w:p>
        </w:tc>
        <w:tc>
          <w:tcPr>
            <w:tcW w:w="1019"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400</w:t>
            </w:r>
          </w:p>
        </w:tc>
        <w:tc>
          <w:tcPr>
            <w:tcW w:w="1904"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ascii="仿宋_GB2312" w:hAnsi="仿宋_GB2312" w:eastAsia="仿宋_GB2312" w:cs="仿宋_GB2312"/>
                <w:color w:val="auto"/>
                <w:sz w:val="21"/>
                <w:szCs w:val="21"/>
                <w:vertAlign w:val="baseline"/>
              </w:rPr>
            </w:pPr>
            <w:r>
              <w:rPr>
                <w:rFonts w:hint="eastAsia" w:ascii="仿宋_GB2312" w:hAnsi="仿宋_GB2312" w:eastAsia="仿宋_GB2312" w:cs="仿宋_GB2312"/>
                <w:color w:val="auto"/>
                <w:kern w:val="2"/>
                <w:sz w:val="21"/>
                <w:szCs w:val="21"/>
                <w:shd w:val="clear" w:color="auto" w:fill="FFFFFF"/>
                <w:lang w:val="en-US" w:eastAsia="zh-CN" w:bidi="ar-SA"/>
              </w:rPr>
              <w:t>消费满2600可用</w:t>
            </w:r>
          </w:p>
        </w:tc>
        <w:tc>
          <w:tcPr>
            <w:tcW w:w="1196"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kern w:val="2"/>
                <w:sz w:val="21"/>
                <w:szCs w:val="21"/>
                <w:shd w:val="clear" w:color="auto" w:fill="FFFFFF"/>
                <w:lang w:val="en-US" w:eastAsia="zh-CN" w:bidi="ar-SA"/>
              </w:rPr>
              <w:t>1:6.5</w:t>
            </w:r>
          </w:p>
        </w:tc>
        <w:tc>
          <w:tcPr>
            <w:tcW w:w="871"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21"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p>
        </w:tc>
        <w:tc>
          <w:tcPr>
            <w:tcW w:w="1128" w:type="dxa"/>
            <w:vMerge w:val="continue"/>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204" w:firstLineChars="100"/>
              <w:jc w:val="center"/>
              <w:textAlignment w:val="auto"/>
              <w:rPr>
                <w:rFonts w:hint="default" w:ascii="仿宋_GB2312" w:hAnsi="仿宋_GB2312" w:eastAsia="仿宋_GB2312" w:cs="仿宋_GB2312"/>
                <w:color w:val="auto"/>
                <w:sz w:val="21"/>
                <w:szCs w:val="21"/>
                <w:vertAlign w:val="baseline"/>
                <w:lang w:val="en-US" w:eastAsia="zh-CN"/>
              </w:rPr>
            </w:pPr>
          </w:p>
        </w:tc>
        <w:tc>
          <w:tcPr>
            <w:tcW w:w="1019"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30</w:t>
            </w:r>
          </w:p>
        </w:tc>
        <w:tc>
          <w:tcPr>
            <w:tcW w:w="1019"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1000</w:t>
            </w:r>
          </w:p>
        </w:tc>
        <w:tc>
          <w:tcPr>
            <w:tcW w:w="1904"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消费满5000可用</w:t>
            </w:r>
          </w:p>
        </w:tc>
        <w:tc>
          <w:tcPr>
            <w:tcW w:w="1196"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kern w:val="2"/>
                <w:sz w:val="21"/>
                <w:szCs w:val="21"/>
                <w:shd w:val="clear" w:color="auto" w:fill="FFFFFF"/>
                <w:lang w:val="en-US" w:eastAsia="zh-CN" w:bidi="ar-SA"/>
              </w:rPr>
            </w:pPr>
            <w:r>
              <w:rPr>
                <w:rFonts w:hint="eastAsia" w:ascii="仿宋_GB2312" w:hAnsi="仿宋_GB2312" w:eastAsia="仿宋_GB2312" w:cs="仿宋_GB2312"/>
                <w:color w:val="auto"/>
                <w:kern w:val="2"/>
                <w:sz w:val="21"/>
                <w:szCs w:val="21"/>
                <w:shd w:val="clear" w:color="auto" w:fill="FFFFFF"/>
                <w:lang w:val="en-US" w:eastAsia="zh-CN" w:bidi="ar-SA"/>
              </w:rPr>
              <w:t>1:5</w:t>
            </w:r>
          </w:p>
        </w:tc>
        <w:tc>
          <w:tcPr>
            <w:tcW w:w="871" w:type="dxa"/>
            <w:vAlign w:val="center"/>
          </w:tcPr>
          <w:p>
            <w:pPr>
              <w:pStyle w:val="7"/>
              <w:keepNext w:val="0"/>
              <w:keepLines w:val="0"/>
              <w:pageBreakBefore w:val="0"/>
              <w:kinsoku/>
              <w:wordWrap/>
              <w:overflowPunct/>
              <w:topLinePunct w:val="0"/>
              <w:autoSpaceDE/>
              <w:autoSpaceDN/>
              <w:bidi w:val="0"/>
              <w:adjustRightInd/>
              <w:snapToGrid/>
              <w:spacing w:after="0" w:line="300" w:lineRule="exact"/>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1"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eastAsia" w:ascii="仿宋_GB2312" w:hAnsi="仿宋_GB2312" w:eastAsia="仿宋_GB2312" w:cs="仿宋_GB2312"/>
                <w:color w:val="000000"/>
                <w:sz w:val="21"/>
                <w:szCs w:val="21"/>
                <w:vertAlign w:val="baseline"/>
                <w:lang w:eastAsia="zh-CN"/>
              </w:rPr>
            </w:pPr>
            <w:r>
              <w:rPr>
                <w:rFonts w:hint="eastAsia" w:ascii="仿宋_GB2312" w:hAnsi="仿宋_GB2312" w:eastAsia="仿宋_GB2312" w:cs="仿宋_GB2312"/>
                <w:color w:val="000000"/>
                <w:sz w:val="21"/>
                <w:szCs w:val="21"/>
                <w:vertAlign w:val="baseline"/>
                <w:lang w:eastAsia="zh-CN"/>
              </w:rPr>
              <w:t>合计</w:t>
            </w:r>
          </w:p>
        </w:tc>
        <w:tc>
          <w:tcPr>
            <w:tcW w:w="2147" w:type="dxa"/>
            <w:gridSpan w:val="2"/>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105</w:t>
            </w:r>
          </w:p>
        </w:tc>
        <w:tc>
          <w:tcPr>
            <w:tcW w:w="4119" w:type="dxa"/>
            <w:gridSpan w:val="3"/>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合计</w:t>
            </w:r>
          </w:p>
        </w:tc>
        <w:tc>
          <w:tcPr>
            <w:tcW w:w="871" w:type="dxa"/>
            <w:vAlign w:val="center"/>
          </w:tcPr>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jc w:val="center"/>
              <w:textAlignment w:val="auto"/>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9950</w:t>
            </w:r>
          </w:p>
        </w:tc>
      </w:tr>
    </w:tbl>
    <w:p>
      <w:pPr>
        <w:pStyle w:val="8"/>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588" w:firstLineChars="200"/>
        <w:textAlignment w:val="auto"/>
        <w:rPr>
          <w:rFonts w:hint="default" w:ascii="Times New Roman" w:hAnsi="Times New Roman" w:eastAsia="黑体" w:cs="Times New Roman"/>
          <w:b w:val="0"/>
          <w:bCs w:val="0"/>
          <w:color w:val="auto"/>
          <w:kern w:val="2"/>
          <w:sz w:val="30"/>
          <w:szCs w:val="30"/>
          <w:highlight w:val="none"/>
          <w:lang w:val="en-US" w:eastAsia="zh-CN" w:bidi="ar-SA"/>
        </w:rPr>
      </w:pPr>
      <w:r>
        <w:rPr>
          <w:rFonts w:hint="eastAsia" w:ascii="CESI楷体-GB2312" w:hAnsi="CESI楷体-GB2312" w:eastAsia="CESI楷体-GB2312" w:cs="CESI楷体-GB2312"/>
          <w:b/>
          <w:bCs/>
          <w:color w:val="auto"/>
          <w:sz w:val="30"/>
          <w:szCs w:val="30"/>
          <w:highlight w:val="none"/>
          <w:lang w:val="en-US" w:eastAsia="zh-CN"/>
        </w:rPr>
        <w:t>备注：</w:t>
      </w:r>
      <w:r>
        <w:rPr>
          <w:rFonts w:hint="eastAsia" w:ascii="CESI楷体-GB2312" w:hAnsi="CESI楷体-GB2312" w:eastAsia="CESI楷体-GB2312" w:cs="CESI楷体-GB2312"/>
          <w:b/>
          <w:bCs/>
          <w:color w:val="auto"/>
          <w:sz w:val="30"/>
          <w:szCs w:val="30"/>
          <w:highlight w:val="none"/>
          <w:lang w:eastAsia="zh-CN"/>
        </w:rPr>
        <w:t>具体</w:t>
      </w:r>
      <w:r>
        <w:rPr>
          <w:rFonts w:hint="eastAsia" w:ascii="CESI楷体-GB2312" w:hAnsi="CESI楷体-GB2312" w:eastAsia="CESI楷体-GB2312" w:cs="CESI楷体-GB2312"/>
          <w:b/>
          <w:bCs/>
          <w:color w:val="auto"/>
          <w:sz w:val="30"/>
          <w:szCs w:val="30"/>
          <w:highlight w:val="none"/>
          <w:lang w:val="en-US" w:eastAsia="zh-CN"/>
        </w:rPr>
        <w:t>补贴资金、消费券发放金额、消费券数量、发放时间、发放方式、消费券使用规则根据实际投放情况实时进行调整。</w:t>
      </w:r>
    </w:p>
    <w:p>
      <w:pPr>
        <w:pStyle w:val="8"/>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28" w:firstLineChars="200"/>
        <w:textAlignment w:val="auto"/>
        <w:rPr>
          <w:rFonts w:hint="default"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七</w:t>
      </w:r>
      <w:r>
        <w:rPr>
          <w:rFonts w:hint="default" w:ascii="Times New Roman" w:hAnsi="Times New Roman" w:eastAsia="黑体" w:cs="Times New Roman"/>
          <w:b w:val="0"/>
          <w:bCs w:val="0"/>
          <w:color w:val="auto"/>
          <w:kern w:val="2"/>
          <w:sz w:val="32"/>
          <w:szCs w:val="32"/>
          <w:highlight w:val="none"/>
          <w:lang w:val="en-US" w:eastAsia="zh-CN" w:bidi="ar-SA"/>
        </w:rPr>
        <w:t>、实施细则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(一)伊金霍洛旗工业信息化和投资促进局与市商务局联合开展“暖城乐购·伊旗共享”消费促进补贴活动。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xml:space="preserve">(二)由伊金霍洛旗工业信息化和投资促进局会同市商务局验证第三方服务机构发券能力,确保消费券如期顺利发放。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(三)由伊金霍洛旗工业信息化和投资促进局与第三方服务机构签署合作协议。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rPr>
      </w:pPr>
      <w:r>
        <w:rPr>
          <w:rFonts w:hint="eastAsia" w:ascii="仿宋_GB2312" w:hAnsi="仿宋_GB2312" w:eastAsia="仿宋_GB2312" w:cs="仿宋_GB2312"/>
          <w:b w:val="0"/>
          <w:bCs w:val="0"/>
          <w:snapToGrid/>
          <w:color w:val="auto"/>
          <w:kern w:val="2"/>
          <w:sz w:val="32"/>
          <w:szCs w:val="32"/>
          <w:highlight w:val="none"/>
          <w:lang w:val="en-US" w:eastAsia="zh-CN"/>
        </w:rPr>
        <w:t>(四)由第三方服务机构召集相关企业参与消费补贴活动, 引导商家做好消费补贴活动宣传推广及消费券使用工作。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28" w:firstLineChars="200"/>
        <w:textAlignment w:val="auto"/>
        <w:rPr>
          <w:rFonts w:hint="eastAsia"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八、部门职责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一</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旗工业信息化</w:t>
      </w:r>
      <w:r>
        <w:rPr>
          <w:rFonts w:hint="eastAsia" w:ascii="仿宋_GB2312" w:hAnsi="仿宋_GB2312" w:eastAsia="仿宋_GB2312" w:cs="仿宋_GB2312"/>
          <w:b w:val="0"/>
          <w:bCs w:val="0"/>
          <w:color w:val="auto"/>
          <w:kern w:val="2"/>
          <w:sz w:val="32"/>
          <w:szCs w:val="32"/>
          <w:lang w:val="en-US" w:eastAsia="zh-CN" w:bidi="ar-SA"/>
        </w:rPr>
        <w:t>和投资促进</w:t>
      </w:r>
      <w:r>
        <w:rPr>
          <w:rFonts w:hint="default" w:ascii="仿宋_GB2312" w:hAnsi="仿宋_GB2312" w:eastAsia="仿宋_GB2312" w:cs="仿宋_GB2312"/>
          <w:b w:val="0"/>
          <w:bCs w:val="0"/>
          <w:color w:val="auto"/>
          <w:kern w:val="2"/>
          <w:sz w:val="32"/>
          <w:szCs w:val="32"/>
          <w:lang w:val="en-US" w:eastAsia="zh-CN" w:bidi="ar-SA"/>
        </w:rPr>
        <w:t>局：负责制定活动具体实施细则，组织开展活动并兑付消费补贴。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旗财政局：负责保证活动补贴资金及时到位，并负责消费补贴资金使用监管工作。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三</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旗统计局：负责消费活动数据监控，评估活动成果。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四</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旗审计局：负责活动全过程审计监督，做好补贴资金专项审计工作。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五</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旗市场监督管理局：负责活动市场公平性审查，负责监督参与企业产品质量、价格，杜绝恶意抬高价格等行为。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（六）</w:t>
      </w:r>
      <w:r>
        <w:rPr>
          <w:rFonts w:hint="default" w:ascii="仿宋_GB2312" w:hAnsi="仿宋_GB2312" w:eastAsia="仿宋_GB2312" w:cs="仿宋_GB2312"/>
          <w:b w:val="0"/>
          <w:bCs w:val="0"/>
          <w:color w:val="auto"/>
          <w:kern w:val="2"/>
          <w:sz w:val="32"/>
          <w:szCs w:val="32"/>
          <w:lang w:val="en-US" w:eastAsia="zh-CN" w:bidi="ar-SA"/>
        </w:rPr>
        <w:t>旗融媒体中心：负责做好活动宣传报道工作。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黑体" w:cs="Times New Roman"/>
          <w:b w:val="0"/>
          <w:bCs w:val="0"/>
          <w:color w:val="auto"/>
          <w:kern w:val="2"/>
          <w:sz w:val="32"/>
          <w:szCs w:val="32"/>
          <w:highlight w:val="none"/>
          <w:lang w:val="en-US" w:eastAsia="zh-CN" w:bidi="ar-SA"/>
        </w:rPr>
      </w:pPr>
      <w:r>
        <w:rPr>
          <w:rFonts w:hint="eastAsia" w:ascii="Times New Roman" w:hAnsi="Times New Roman" w:eastAsia="黑体" w:cs="Times New Roman"/>
          <w:b w:val="0"/>
          <w:bCs w:val="0"/>
          <w:color w:val="auto"/>
          <w:kern w:val="2"/>
          <w:sz w:val="32"/>
          <w:szCs w:val="32"/>
          <w:highlight w:val="none"/>
          <w:lang w:val="en-US" w:eastAsia="zh-CN" w:bidi="ar-SA"/>
        </w:rPr>
        <w:t>九、参与企业（商户）基本要求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一）消费券仅限于在申报参与活动的企业及个体工商户实体店面使用。在各商家优惠活动基础上使用，适用范围内的商家不得见机涨价、拒收，严禁非消费直兑现金、倒买倒卖等行为，如有上述情况，采取收回消费券并向商家追偿已使用的消费券金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（二）凡参与活动的商家需签订承诺书，对销售商品的质量和价格进行公开承诺。在消费活动期间必须保持同期商品价格幅度和质量水平，并严格按照规定明码标价，明确产品及服务依法享受国家三包政策。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三）参与活动的商家，积极配合有关部门，加强促销活动安全管理，完善安全预案，落实企业安全主体责任，保障食品流通安全，确保消防安全、疏散通道等设施完备通畅，落实安全防护措施，有效防范促销场所发生踩踏、火灾等安全事故，确保促销活动安全有序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仿宋_GB2312" w:hAnsi="仿宋_GB2312" w:eastAsia="仿宋_GB2312" w:cs="仿宋_GB2312"/>
          <w:b w:val="0"/>
          <w:bCs w:val="0"/>
          <w:snapToGrid/>
          <w:color w:val="auto"/>
          <w:kern w:val="2"/>
          <w:sz w:val="32"/>
          <w:szCs w:val="32"/>
          <w:highlight w:val="none"/>
          <w:lang w:val="en-US" w:eastAsia="zh-CN" w:bidi="ar-SA"/>
        </w:rPr>
      </w:pPr>
      <w:r>
        <w:rPr>
          <w:rFonts w:hint="eastAsia" w:ascii="仿宋_GB2312" w:hAnsi="仿宋_GB2312" w:eastAsia="仿宋_GB2312" w:cs="仿宋_GB2312"/>
          <w:b w:val="0"/>
          <w:bCs w:val="0"/>
          <w:snapToGrid/>
          <w:color w:val="auto"/>
          <w:kern w:val="2"/>
          <w:sz w:val="32"/>
          <w:szCs w:val="32"/>
          <w:highlight w:val="none"/>
          <w:lang w:val="en-US" w:eastAsia="zh-CN" w:bidi="ar-SA"/>
        </w:rPr>
        <w:t>（四）主办方及承办方有权通过后台技术手段监测营销活动实施，如发现存在作弊舞弊、利用不正当手段（包括但不限于刷单、套现、提供虚假证件或发票、虚假交易等）骗取套取补贴资金等违法违规行为，追究相关人员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r>
        <w:rPr>
          <w:rFonts w:hint="eastAsia" w:ascii="Times New Roman" w:hAnsi="Times New Roman" w:eastAsia="仿宋_GB2312" w:cs="Times New Roman"/>
          <w:b w:val="0"/>
          <w:bCs w:val="0"/>
          <w:snapToGrid/>
          <w:color w:val="auto"/>
          <w:kern w:val="2"/>
          <w:sz w:val="32"/>
          <w:szCs w:val="32"/>
          <w:highlight w:val="none"/>
          <w:lang w:val="en-US" w:eastAsia="zh-CN"/>
        </w:rPr>
        <w:t>（五）参与活动的企业及个体工商户，消费者在参与商户进行消费后，商户必须留存用户消费小票或收据。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28" w:firstLineChars="200"/>
        <w:jc w:val="both"/>
        <w:textAlignment w:val="auto"/>
        <w:rPr>
          <w:rFonts w:hint="eastAsia" w:ascii="Times New Roman" w:hAnsi="Times New Roman" w:eastAsia="仿宋_GB2312" w:cs="Times New Roman"/>
          <w:b w:val="0"/>
          <w:bCs w:val="0"/>
          <w:snapToGrid/>
          <w:color w:val="auto"/>
          <w:kern w:val="2"/>
          <w:sz w:val="32"/>
          <w:szCs w:val="32"/>
          <w:highlight w:val="none"/>
          <w:lang w:val="en-US" w:eastAsia="zh-CN"/>
        </w:rPr>
      </w:pPr>
      <w:bookmarkStart w:id="0" w:name="_GoBack"/>
      <w:bookmarkEnd w:id="0"/>
    </w:p>
    <w:sectPr>
      <w:footerReference r:id="rId3" w:type="default"/>
      <w:pgSz w:w="11906" w:h="16838"/>
      <w:pgMar w:top="1984" w:right="1474" w:bottom="1644" w:left="1474" w:header="851" w:footer="992" w:gutter="0"/>
      <w:pgNumType w:fmt="numberInDash"/>
      <w:cols w:space="0" w:num="1"/>
      <w:rtlGutter w:val="0"/>
      <w:docGrid w:type="linesAndChars" w:linePitch="574" w:charSpace="-1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2"/>
  <w:drawingGridVerticalSpacing w:val="287"/>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D501F"/>
    <w:rsid w:val="0F29D289"/>
    <w:rsid w:val="0FEF9F81"/>
    <w:rsid w:val="17FBD5E2"/>
    <w:rsid w:val="17FF11FB"/>
    <w:rsid w:val="1B7FF692"/>
    <w:rsid w:val="1FEFD678"/>
    <w:rsid w:val="1FEFDE21"/>
    <w:rsid w:val="1FF36988"/>
    <w:rsid w:val="255F8A16"/>
    <w:rsid w:val="25BF144E"/>
    <w:rsid w:val="25FEF280"/>
    <w:rsid w:val="2AEE0559"/>
    <w:rsid w:val="2BF7F32E"/>
    <w:rsid w:val="2BFD1E50"/>
    <w:rsid w:val="2DC8C67D"/>
    <w:rsid w:val="2EEFC4C9"/>
    <w:rsid w:val="2FEFE1A1"/>
    <w:rsid w:val="2FFE3BDB"/>
    <w:rsid w:val="31FC411E"/>
    <w:rsid w:val="32BAB39B"/>
    <w:rsid w:val="3777AFD3"/>
    <w:rsid w:val="378FF91D"/>
    <w:rsid w:val="37DD0446"/>
    <w:rsid w:val="37EFA026"/>
    <w:rsid w:val="37FD9EBC"/>
    <w:rsid w:val="3BDFF3F6"/>
    <w:rsid w:val="3BE6FECF"/>
    <w:rsid w:val="3DFFE778"/>
    <w:rsid w:val="3EBE24E6"/>
    <w:rsid w:val="3EBE353E"/>
    <w:rsid w:val="3EF61C98"/>
    <w:rsid w:val="3EF8435D"/>
    <w:rsid w:val="3FBF88C3"/>
    <w:rsid w:val="3FBFAA93"/>
    <w:rsid w:val="3FFC8CEE"/>
    <w:rsid w:val="3FFDBA2E"/>
    <w:rsid w:val="3FFEE96C"/>
    <w:rsid w:val="3FFF71D0"/>
    <w:rsid w:val="47F7FB56"/>
    <w:rsid w:val="4DFFC889"/>
    <w:rsid w:val="4F6F8F8F"/>
    <w:rsid w:val="4F7FE122"/>
    <w:rsid w:val="4F8FF0E5"/>
    <w:rsid w:val="4FBDC3AA"/>
    <w:rsid w:val="51FB6395"/>
    <w:rsid w:val="5737591E"/>
    <w:rsid w:val="577D2133"/>
    <w:rsid w:val="57F3A1E3"/>
    <w:rsid w:val="5B672D48"/>
    <w:rsid w:val="5D3B3618"/>
    <w:rsid w:val="5DFF981B"/>
    <w:rsid w:val="5E7C71FB"/>
    <w:rsid w:val="5EB6CA11"/>
    <w:rsid w:val="5F367F33"/>
    <w:rsid w:val="5F673934"/>
    <w:rsid w:val="5F77E9D7"/>
    <w:rsid w:val="5FD6E8F0"/>
    <w:rsid w:val="5FFECFE8"/>
    <w:rsid w:val="62F9629C"/>
    <w:rsid w:val="65DF11AB"/>
    <w:rsid w:val="663D2640"/>
    <w:rsid w:val="66AA5AEC"/>
    <w:rsid w:val="677FCB59"/>
    <w:rsid w:val="679D8729"/>
    <w:rsid w:val="67FBF53C"/>
    <w:rsid w:val="67FF7594"/>
    <w:rsid w:val="69FF93D3"/>
    <w:rsid w:val="6BF75676"/>
    <w:rsid w:val="6EFBB650"/>
    <w:rsid w:val="6F6E9E6D"/>
    <w:rsid w:val="6FDA05CE"/>
    <w:rsid w:val="6FF9E225"/>
    <w:rsid w:val="6FFF513E"/>
    <w:rsid w:val="6FFF70F2"/>
    <w:rsid w:val="70A529D5"/>
    <w:rsid w:val="71574D54"/>
    <w:rsid w:val="725FBED6"/>
    <w:rsid w:val="7377B534"/>
    <w:rsid w:val="73F78A65"/>
    <w:rsid w:val="73F98815"/>
    <w:rsid w:val="74FD8EE8"/>
    <w:rsid w:val="767F4488"/>
    <w:rsid w:val="76EBC9B8"/>
    <w:rsid w:val="76FAEC87"/>
    <w:rsid w:val="7713D9DC"/>
    <w:rsid w:val="775CB7A0"/>
    <w:rsid w:val="77EB2535"/>
    <w:rsid w:val="77FEC165"/>
    <w:rsid w:val="77FF7907"/>
    <w:rsid w:val="79CF48B3"/>
    <w:rsid w:val="79E7B4E2"/>
    <w:rsid w:val="79FFEF99"/>
    <w:rsid w:val="7A5F86C4"/>
    <w:rsid w:val="7A6FC0FE"/>
    <w:rsid w:val="7BD98504"/>
    <w:rsid w:val="7BDFEE0D"/>
    <w:rsid w:val="7BFD4A3E"/>
    <w:rsid w:val="7BFEA14E"/>
    <w:rsid w:val="7BFF51A4"/>
    <w:rsid w:val="7BFFFD70"/>
    <w:rsid w:val="7C7DB7AC"/>
    <w:rsid w:val="7CBA4ACF"/>
    <w:rsid w:val="7CBF4B17"/>
    <w:rsid w:val="7D76C297"/>
    <w:rsid w:val="7D7997C7"/>
    <w:rsid w:val="7D7F9307"/>
    <w:rsid w:val="7D8F9E32"/>
    <w:rsid w:val="7D9F03A7"/>
    <w:rsid w:val="7DB1B186"/>
    <w:rsid w:val="7DE7257E"/>
    <w:rsid w:val="7E3FF4E4"/>
    <w:rsid w:val="7E8F7DEC"/>
    <w:rsid w:val="7EDB84A0"/>
    <w:rsid w:val="7EDED3D8"/>
    <w:rsid w:val="7F3F0F7A"/>
    <w:rsid w:val="7F5F9CA9"/>
    <w:rsid w:val="7F7B485B"/>
    <w:rsid w:val="7F7FE5AF"/>
    <w:rsid w:val="7F879034"/>
    <w:rsid w:val="7F93E90B"/>
    <w:rsid w:val="7FD9866A"/>
    <w:rsid w:val="7FDE0EA8"/>
    <w:rsid w:val="7FE9ED7B"/>
    <w:rsid w:val="7FEB981A"/>
    <w:rsid w:val="7FEDF73E"/>
    <w:rsid w:val="7FEEF5FA"/>
    <w:rsid w:val="7FEF2C2B"/>
    <w:rsid w:val="7FF7192C"/>
    <w:rsid w:val="7FF776B2"/>
    <w:rsid w:val="7FF9A410"/>
    <w:rsid w:val="7FFAE2EC"/>
    <w:rsid w:val="7FFB99C9"/>
    <w:rsid w:val="7FFDA178"/>
    <w:rsid w:val="7FFF08D5"/>
    <w:rsid w:val="7FFFCAB7"/>
    <w:rsid w:val="87EBF171"/>
    <w:rsid w:val="8BF7D908"/>
    <w:rsid w:val="97FE26BA"/>
    <w:rsid w:val="983FE28C"/>
    <w:rsid w:val="9B7A8362"/>
    <w:rsid w:val="9BDD8321"/>
    <w:rsid w:val="9BFBF23F"/>
    <w:rsid w:val="9BFFBBB8"/>
    <w:rsid w:val="9DE73DBD"/>
    <w:rsid w:val="9DF7CE28"/>
    <w:rsid w:val="9EDF3447"/>
    <w:rsid w:val="A67F25A9"/>
    <w:rsid w:val="A7FFA6D8"/>
    <w:rsid w:val="A9FD11DB"/>
    <w:rsid w:val="ABD35F3E"/>
    <w:rsid w:val="ABFF3913"/>
    <w:rsid w:val="ADFD2FDA"/>
    <w:rsid w:val="AF5F11B9"/>
    <w:rsid w:val="B4D68530"/>
    <w:rsid w:val="B6D76395"/>
    <w:rsid w:val="B77D13AA"/>
    <w:rsid w:val="B7EF35D2"/>
    <w:rsid w:val="BAF78659"/>
    <w:rsid w:val="BBFF0285"/>
    <w:rsid w:val="BDFF6FA2"/>
    <w:rsid w:val="BE0F7CE9"/>
    <w:rsid w:val="BEF5E467"/>
    <w:rsid w:val="BF9AC0E1"/>
    <w:rsid w:val="BF9FD293"/>
    <w:rsid w:val="BFCD931E"/>
    <w:rsid w:val="BFDA9984"/>
    <w:rsid w:val="BFE5D35F"/>
    <w:rsid w:val="BFE76580"/>
    <w:rsid w:val="BFF330CD"/>
    <w:rsid w:val="BFF6B2F8"/>
    <w:rsid w:val="BFFE9D57"/>
    <w:rsid w:val="C79F845E"/>
    <w:rsid w:val="CEF0EC07"/>
    <w:rsid w:val="CFBB8669"/>
    <w:rsid w:val="CFBFB1FB"/>
    <w:rsid w:val="CFCFF783"/>
    <w:rsid w:val="CFFFABF5"/>
    <w:rsid w:val="D6FE6C93"/>
    <w:rsid w:val="D7E35576"/>
    <w:rsid w:val="D7EFF034"/>
    <w:rsid w:val="D7F53A42"/>
    <w:rsid w:val="D9B94F72"/>
    <w:rsid w:val="DAFB9695"/>
    <w:rsid w:val="DBBF7EC5"/>
    <w:rsid w:val="DBEF16C7"/>
    <w:rsid w:val="DBFD58D0"/>
    <w:rsid w:val="DC3EBBF6"/>
    <w:rsid w:val="DDA94E31"/>
    <w:rsid w:val="DECD9D7D"/>
    <w:rsid w:val="DEF70A6B"/>
    <w:rsid w:val="DFDE5487"/>
    <w:rsid w:val="DFEF2F3D"/>
    <w:rsid w:val="DFF689BA"/>
    <w:rsid w:val="DFFF3455"/>
    <w:rsid w:val="E5FF5AAE"/>
    <w:rsid w:val="E76FA14F"/>
    <w:rsid w:val="E7A74AF9"/>
    <w:rsid w:val="E7E705DC"/>
    <w:rsid w:val="E87F4113"/>
    <w:rsid w:val="E8F6AF72"/>
    <w:rsid w:val="E9DF6740"/>
    <w:rsid w:val="EB776A2B"/>
    <w:rsid w:val="ED313D07"/>
    <w:rsid w:val="EEBC8D42"/>
    <w:rsid w:val="EF9EB33A"/>
    <w:rsid w:val="EFCBCB8D"/>
    <w:rsid w:val="EFDF26F1"/>
    <w:rsid w:val="EFDF90E9"/>
    <w:rsid w:val="EFFBC9C2"/>
    <w:rsid w:val="F1D701FD"/>
    <w:rsid w:val="F1FF12B3"/>
    <w:rsid w:val="F23F9D2D"/>
    <w:rsid w:val="F34BD763"/>
    <w:rsid w:val="F3FF05C9"/>
    <w:rsid w:val="F4FF8277"/>
    <w:rsid w:val="F555F45E"/>
    <w:rsid w:val="F57298F0"/>
    <w:rsid w:val="F5BED135"/>
    <w:rsid w:val="F5BEDC74"/>
    <w:rsid w:val="F5FD14EC"/>
    <w:rsid w:val="F6AF24C7"/>
    <w:rsid w:val="F6DD91CF"/>
    <w:rsid w:val="F776B204"/>
    <w:rsid w:val="F7FB5B61"/>
    <w:rsid w:val="F7FD0097"/>
    <w:rsid w:val="F8E703B0"/>
    <w:rsid w:val="F8F8D88E"/>
    <w:rsid w:val="F8FAD6AC"/>
    <w:rsid w:val="F8FFE31E"/>
    <w:rsid w:val="F9E423BF"/>
    <w:rsid w:val="FAC74D05"/>
    <w:rsid w:val="FAF604D1"/>
    <w:rsid w:val="FAFFB7B8"/>
    <w:rsid w:val="FBAFB505"/>
    <w:rsid w:val="FBF57AFE"/>
    <w:rsid w:val="FBF7BB5E"/>
    <w:rsid w:val="FC3733EE"/>
    <w:rsid w:val="FCF7E2C2"/>
    <w:rsid w:val="FCF7E9AB"/>
    <w:rsid w:val="FDEF5B60"/>
    <w:rsid w:val="FDFFE2D9"/>
    <w:rsid w:val="FEAFB9C5"/>
    <w:rsid w:val="FECDDAD8"/>
    <w:rsid w:val="FEE7B481"/>
    <w:rsid w:val="FEF58D6E"/>
    <w:rsid w:val="FEF79499"/>
    <w:rsid w:val="FEFA2380"/>
    <w:rsid w:val="FF5BCB68"/>
    <w:rsid w:val="FF5FF122"/>
    <w:rsid w:val="FF8E8756"/>
    <w:rsid w:val="FF9FFC34"/>
    <w:rsid w:val="FFB39335"/>
    <w:rsid w:val="FFC916C2"/>
    <w:rsid w:val="FFDEB507"/>
    <w:rsid w:val="FFDFC58F"/>
    <w:rsid w:val="FFF97D1E"/>
    <w:rsid w:val="FFFA29DC"/>
    <w:rsid w:val="FFFBE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qFormat/>
    <w:uiPriority w:val="0"/>
    <w:pPr>
      <w:spacing w:after="120" w:afterAutospacing="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line="480" w:lineRule="auto"/>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Body Text First Indent 2"/>
    <w:basedOn w:val="4"/>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普通(网站)1"/>
    <w:basedOn w:val="1"/>
    <w:qFormat/>
    <w:uiPriority w:val="0"/>
    <w:pPr>
      <w:widowControl w:val="0"/>
      <w:kinsoku/>
      <w:autoSpaceDE/>
      <w:autoSpaceDN/>
      <w:adjustRightInd/>
      <w:snapToGrid/>
      <w:textAlignment w:val="auto"/>
    </w:pPr>
    <w:rPr>
      <w:rFonts w:ascii="Times New Roman" w:hAnsi="Times New Roman" w:eastAsia="宋体" w:cs="Times New Roman"/>
      <w:snapToGrid/>
      <w:color w:val="auto"/>
      <w:sz w:val="24"/>
      <w:szCs w:val="24"/>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910</Words>
  <Characters>1012</Characters>
  <Paragraphs>106</Paragraphs>
  <TotalTime>1</TotalTime>
  <ScaleCrop>false</ScaleCrop>
  <LinksUpToDate>false</LinksUpToDate>
  <CharactersWithSpaces>1086</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2023-09-16T15:14:00Z</dcterms:created>
  <dc:creator>丿依赖你的守护</dc:creator>
  <cp:lastModifiedBy>user</cp:lastModifiedBy>
  <cp:lastPrinted>2025-03-20T22:31:00Z</cp:lastPrinted>
  <dcterms:modified xsi:type="dcterms:W3CDTF">2025-03-20T14:54:24Z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6f76ecc1907f450a8a5749a222dd6ecb_23</vt:lpwstr>
  </property>
</Properties>
</file>