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lang w:val="en-US" w:eastAsia="zh-CN"/>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伊政</w:t>
      </w:r>
      <w:r>
        <w:rPr>
          <w:rFonts w:hint="eastAsia" w:ascii="Times New Roman" w:hAnsi="Times New Roman" w:eastAsia="仿宋_GB2312" w:cs="Times New Roman"/>
          <w:sz w:val="32"/>
          <w:lang w:eastAsia="zh-CN"/>
        </w:rPr>
        <w:t>办</w:t>
      </w:r>
      <w:r>
        <w:rPr>
          <w:rFonts w:hint="default" w:ascii="Times New Roman" w:hAnsi="Times New Roman" w:eastAsia="仿宋_GB2312" w:cs="Times New Roman"/>
          <w:sz w:val="32"/>
        </w:rPr>
        <w:t>发〔202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12</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方正小标宋简体" w:cs="Times New Roman"/>
          <w:b/>
          <w:bCs/>
          <w:sz w:val="44"/>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color w:val="000000"/>
          <w:kern w:val="0"/>
          <w:sz w:val="44"/>
          <w:szCs w:val="44"/>
          <w:shd w:val="clear" w:color="auto" w:fill="auto"/>
          <w:lang w:val="en-US" w:eastAsia="zh-CN" w:bidi="ar-SA"/>
        </w:rPr>
      </w:pPr>
      <w:r>
        <w:rPr>
          <w:rFonts w:hint="default" w:ascii="Times New Roman" w:hAnsi="Times New Roman" w:eastAsia="方正小标宋简体" w:cs="Times New Roman"/>
          <w:snapToGrid/>
          <w:color w:val="000000"/>
          <w:kern w:val="0"/>
          <w:sz w:val="44"/>
          <w:szCs w:val="44"/>
          <w:shd w:val="clear" w:color="auto" w:fill="auto"/>
          <w:lang w:val="en-US" w:eastAsia="zh-CN" w:bidi="ar-SA"/>
        </w:rPr>
        <w:t>伊金霍洛旗人民政府</w:t>
      </w:r>
      <w:r>
        <w:rPr>
          <w:rFonts w:hint="eastAsia" w:ascii="Times New Roman" w:hAnsi="Times New Roman" w:eastAsia="方正小标宋简体" w:cs="Times New Roman"/>
          <w:snapToGrid/>
          <w:color w:val="000000"/>
          <w:kern w:val="0"/>
          <w:sz w:val="44"/>
          <w:szCs w:val="44"/>
          <w:shd w:val="clear" w:color="auto" w:fill="auto"/>
          <w:lang w:val="en-US" w:eastAsia="zh-CN" w:bidi="ar-SA"/>
        </w:rPr>
        <w:t>办公室</w:t>
      </w:r>
      <w:r>
        <w:rPr>
          <w:rFonts w:hint="default" w:ascii="Times New Roman" w:hAnsi="Times New Roman" w:eastAsia="方正小标宋简体" w:cs="Times New Roman"/>
          <w:snapToGrid/>
          <w:color w:val="000000"/>
          <w:kern w:val="0"/>
          <w:sz w:val="44"/>
          <w:szCs w:val="44"/>
          <w:shd w:val="clear" w:color="auto" w:fill="auto"/>
          <w:lang w:val="en-US" w:eastAsia="zh-CN" w:bidi="ar-SA"/>
        </w:rPr>
        <w:t>关于</w:t>
      </w:r>
      <w:r>
        <w:rPr>
          <w:rFonts w:hint="eastAsia" w:ascii="Times New Roman" w:hAnsi="Times New Roman" w:eastAsia="方正小标宋简体" w:cs="Times New Roman"/>
          <w:snapToGrid/>
          <w:color w:val="000000"/>
          <w:kern w:val="0"/>
          <w:sz w:val="44"/>
          <w:szCs w:val="44"/>
          <w:shd w:val="clear" w:color="auto" w:fill="auto"/>
          <w:lang w:val="en-US" w:eastAsia="zh-CN" w:bidi="ar-SA"/>
        </w:rPr>
        <w:t>印发</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color w:val="000000"/>
          <w:kern w:val="0"/>
          <w:sz w:val="44"/>
          <w:szCs w:val="44"/>
          <w:shd w:val="clear" w:color="auto" w:fill="auto"/>
          <w:lang w:val="en-US" w:eastAsia="zh-CN" w:bidi="ar-SA"/>
        </w:rPr>
      </w:pPr>
      <w:r>
        <w:rPr>
          <w:rFonts w:hint="eastAsia" w:ascii="Times New Roman" w:hAnsi="Times New Roman" w:eastAsia="方正小标宋简体" w:cs="Times New Roman"/>
          <w:snapToGrid/>
          <w:color w:val="000000"/>
          <w:kern w:val="0"/>
          <w:sz w:val="44"/>
          <w:szCs w:val="44"/>
          <w:shd w:val="clear" w:color="auto" w:fill="auto"/>
          <w:lang w:val="en-US" w:eastAsia="zh-CN" w:bidi="ar-SA"/>
        </w:rPr>
        <w:t>《加强</w:t>
      </w:r>
      <w:r>
        <w:rPr>
          <w:rFonts w:hint="eastAsia" w:ascii="Times New Roman" w:hAnsi="Times New Roman" w:eastAsia="方正小标宋简体" w:cs="Times New Roman"/>
          <w:snapToGrid/>
          <w:color w:val="000000"/>
          <w:spacing w:val="-17"/>
          <w:kern w:val="0"/>
          <w:sz w:val="44"/>
          <w:szCs w:val="44"/>
          <w:shd w:val="clear" w:color="auto" w:fill="auto"/>
          <w:lang w:val="en-US" w:eastAsia="zh-CN" w:bidi="ar-SA"/>
        </w:rPr>
        <w:t>审计监督推动清理拖欠民营企业中小企业</w:t>
      </w:r>
      <w:r>
        <w:rPr>
          <w:rFonts w:hint="eastAsia" w:ascii="Times New Roman" w:hAnsi="Times New Roman" w:eastAsia="方正小标宋简体" w:cs="Times New Roman"/>
          <w:snapToGrid/>
          <w:color w:val="000000"/>
          <w:kern w:val="0"/>
          <w:sz w:val="44"/>
          <w:szCs w:val="44"/>
          <w:shd w:val="clear" w:color="auto" w:fill="auto"/>
          <w:lang w:val="en-US" w:eastAsia="zh-CN" w:bidi="ar-SA"/>
        </w:rPr>
        <w:t>账款的工作方案》的通知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小标宋简体" w:cs="Times New Roman"/>
          <w:snapToGrid/>
          <w:color w:val="auto"/>
          <w:kern w:val="21"/>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000000"/>
          <w:sz w:val="32"/>
          <w:szCs w:val="32"/>
          <w:lang w:eastAsia="zh-CN"/>
        </w:rPr>
        <w:t>各镇人民政府，旗人民政府各部门，各直属单位，各经济开发区（园区）管委会，各大企事业单位：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color w:val="000000"/>
          <w:sz w:val="32"/>
          <w:szCs w:val="32"/>
          <w:lang w:val="en-US" w:eastAsia="zh-CN"/>
        </w:rPr>
        <w:t>经旗人民政府同意，</w:t>
      </w:r>
      <w:r>
        <w:rPr>
          <w:rFonts w:hint="eastAsia" w:ascii="楷体_GB2312" w:hAnsi="楷体_GB2312" w:eastAsia="楷体_GB2312" w:cs="楷体_GB2312"/>
          <w:snapToGrid w:val="0"/>
          <w:color w:val="000000"/>
          <w:kern w:val="0"/>
          <w:sz w:val="32"/>
          <w:szCs w:val="21"/>
          <w:lang w:val="en-US" w:eastAsia="zh-CN"/>
        </w:rPr>
        <w:t>现将</w:t>
      </w:r>
      <w:r>
        <w:rPr>
          <w:rFonts w:hint="eastAsia" w:ascii="楷体_GB2312" w:hAnsi="楷体_GB2312" w:eastAsia="楷体_GB2312" w:cs="楷体_GB2312"/>
          <w:color w:val="000000"/>
          <w:sz w:val="32"/>
          <w:szCs w:val="32"/>
          <w:lang w:val="en-US" w:eastAsia="zh-CN"/>
        </w:rPr>
        <w:t>《进一步加强审计监督推动清理拖欠民营企业中小企业账款的工作方案》</w:t>
      </w:r>
      <w:r>
        <w:rPr>
          <w:rFonts w:hint="eastAsia" w:ascii="楷体_GB2312" w:hAnsi="楷体_GB2312" w:eastAsia="楷体_GB2312" w:cs="楷体_GB2312"/>
          <w:snapToGrid w:val="0"/>
          <w:color w:val="000000"/>
          <w:kern w:val="0"/>
          <w:sz w:val="32"/>
          <w:szCs w:val="21"/>
          <w:lang w:val="en-US" w:eastAsia="zh-CN"/>
        </w:rPr>
        <w:t>印发给你们，请结合实际，认真贯彻执行。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firstLineChars="200"/>
        <w:jc w:val="both"/>
        <w:textAlignment w:val="auto"/>
        <w:rPr>
          <w:rFonts w:hint="eastAsia" w:ascii="楷体_GB2312" w:hAnsi="楷体_GB2312" w:eastAsia="楷体_GB2312" w:cs="楷体_GB2312"/>
          <w:snapToGrid w:val="0"/>
          <w:color w:val="auto"/>
          <w:spacing w:val="0"/>
          <w:kern w:val="21"/>
          <w:sz w:val="32"/>
          <w:szCs w:val="32"/>
          <w:highlight w:val="none"/>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firstLineChars="200"/>
        <w:jc w:val="both"/>
        <w:textAlignment w:val="auto"/>
        <w:rPr>
          <w:rFonts w:hint="eastAsia" w:ascii="楷体_GB2312" w:hAnsi="楷体_GB2312" w:eastAsia="楷体_GB2312" w:cs="楷体_GB2312"/>
          <w:snapToGrid w:val="0"/>
          <w:color w:val="auto"/>
          <w:spacing w:val="0"/>
          <w:kern w:val="21"/>
          <w:sz w:val="32"/>
          <w:szCs w:val="32"/>
          <w:highlight w:val="none"/>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480" w:firstLineChars="1400"/>
        <w:jc w:val="both"/>
        <w:textAlignment w:val="auto"/>
        <w:rPr>
          <w:rFonts w:hint="eastAsia" w:ascii="楷体_GB2312" w:hAnsi="楷体_GB2312" w:eastAsia="楷体_GB2312" w:cs="楷体_GB2312"/>
          <w:snapToGrid w:val="0"/>
          <w:color w:val="auto"/>
          <w:spacing w:val="0"/>
          <w:kern w:val="21"/>
          <w:sz w:val="32"/>
          <w:szCs w:val="32"/>
          <w:highlight w:val="none"/>
          <w:lang w:val="en-US" w:eastAsia="zh-CN" w:bidi="ar-SA"/>
        </w:rPr>
      </w:pPr>
      <w:r>
        <w:rPr>
          <w:rFonts w:hint="eastAsia" w:ascii="楷体_GB2312" w:hAnsi="楷体_GB2312" w:eastAsia="楷体_GB2312" w:cs="楷体_GB2312"/>
          <w:snapToGrid w:val="0"/>
          <w:color w:val="auto"/>
          <w:spacing w:val="0"/>
          <w:kern w:val="21"/>
          <w:sz w:val="32"/>
          <w:szCs w:val="32"/>
          <w:highlight w:val="none"/>
          <w:lang w:val="en-US" w:eastAsia="zh-CN" w:bidi="ar-SA"/>
        </w:rPr>
        <w:t>伊金霍洛旗人民政府办公室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440" w:firstLineChars="1700"/>
        <w:jc w:val="both"/>
        <w:textAlignment w:val="auto"/>
        <w:rPr>
          <w:rFonts w:hint="eastAsia" w:ascii="楷体_GB2312" w:hAnsi="楷体_GB2312" w:eastAsia="楷体_GB2312" w:cs="楷体_GB2312"/>
          <w:snapToGrid/>
          <w:color w:val="auto"/>
          <w:kern w:val="21"/>
          <w:sz w:val="44"/>
          <w:szCs w:val="44"/>
          <w:highlight w:val="none"/>
          <w:lang w:val="en-US" w:eastAsia="zh-CN" w:bidi="ar-SA"/>
        </w:rPr>
      </w:pPr>
      <w:r>
        <w:rPr>
          <w:rFonts w:hint="eastAsia" w:ascii="楷体_GB2312" w:hAnsi="楷体_GB2312" w:eastAsia="楷体_GB2312" w:cs="楷体_GB2312"/>
          <w:snapToGrid w:val="0"/>
          <w:color w:val="000000"/>
          <w:kern w:val="0"/>
          <w:sz w:val="32"/>
          <w:szCs w:val="21"/>
          <w:lang w:val="en-US" w:eastAsia="zh-CN" w:bidi="ar-SA"/>
        </w:rPr>
        <w:t>2025年3</w:t>
      </w:r>
      <w:r>
        <w:rPr>
          <w:rFonts w:hint="eastAsia" w:ascii="楷体_GB2312" w:hAnsi="楷体_GB2312" w:eastAsia="楷体_GB2312" w:cs="楷体_GB2312"/>
          <w:snapToGrid w:val="0"/>
          <w:color w:val="auto"/>
          <w:spacing w:val="0"/>
          <w:kern w:val="21"/>
          <w:sz w:val="32"/>
          <w:szCs w:val="32"/>
          <w:highlight w:val="none"/>
          <w:lang w:val="en-US" w:eastAsia="zh-CN" w:bidi="ar-SA"/>
        </w:rPr>
        <w:t>月18日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color w:val="000000"/>
          <w:kern w:val="0"/>
          <w:sz w:val="44"/>
          <w:szCs w:val="44"/>
          <w:shd w:val="clear" w:color="auto" w:fill="auto"/>
          <w:lang w:val="en-US" w:eastAsia="zh-CN" w:bidi="ar-SA"/>
        </w:rPr>
      </w:pPr>
      <w:r>
        <w:rPr>
          <w:rFonts w:hint="eastAsia" w:ascii="Times New Roman" w:hAnsi="Times New Roman" w:eastAsia="方正小标宋简体" w:cs="Times New Roman"/>
          <w:snapToGrid/>
          <w:color w:val="000000"/>
          <w:kern w:val="0"/>
          <w:sz w:val="44"/>
          <w:szCs w:val="44"/>
          <w:shd w:val="clear" w:color="auto" w:fill="auto"/>
          <w:lang w:val="en-US" w:eastAsia="zh-CN" w:bidi="ar-SA"/>
        </w:rPr>
        <w:t>加强审计监督推动清理拖欠民营企业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404040"/>
          <w:spacing w:val="0"/>
          <w:sz w:val="44"/>
          <w:szCs w:val="44"/>
          <w:lang w:val="en-US" w:eastAsia="zh-CN"/>
        </w:rPr>
      </w:pPr>
      <w:r>
        <w:rPr>
          <w:rFonts w:hint="eastAsia" w:ascii="Times New Roman" w:hAnsi="Times New Roman" w:eastAsia="方正小标宋简体" w:cs="Times New Roman"/>
          <w:snapToGrid/>
          <w:color w:val="000000"/>
          <w:kern w:val="0"/>
          <w:sz w:val="44"/>
          <w:szCs w:val="44"/>
          <w:shd w:val="clear" w:color="auto" w:fill="auto"/>
          <w:lang w:val="en-US" w:eastAsia="zh-CN" w:bidi="ar-SA"/>
        </w:rPr>
        <w:t>中小企业账款的工作方案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4"/>
          <w:rFonts w:hint="eastAsia" w:ascii="黑体" w:hAnsi="黑体" w:eastAsia="黑体" w:cs="黑体"/>
          <w:b w:val="0"/>
          <w:bCs/>
          <w:i w:val="0"/>
          <w:iCs w:val="0"/>
          <w:caps w:val="0"/>
          <w:color w:val="404040"/>
          <w:spacing w:val="0"/>
          <w:sz w:val="32"/>
          <w:szCs w:val="32"/>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i w:val="0"/>
          <w:iCs w:val="0"/>
          <w:caps w:val="0"/>
          <w:color w:val="auto"/>
          <w:spacing w:val="0"/>
          <w:sz w:val="32"/>
          <w:szCs w:val="32"/>
          <w:lang w:val="en-US" w:eastAsia="zh-CN"/>
        </w:rPr>
      </w:pPr>
      <w:r>
        <w:rPr>
          <w:rStyle w:val="14"/>
          <w:rFonts w:hint="eastAsia" w:ascii="黑体" w:hAnsi="黑体" w:eastAsia="黑体" w:cs="黑体"/>
          <w:b w:val="0"/>
          <w:bCs/>
          <w:i w:val="0"/>
          <w:iCs w:val="0"/>
          <w:caps w:val="0"/>
          <w:color w:val="404040"/>
          <w:spacing w:val="0"/>
          <w:sz w:val="32"/>
          <w:szCs w:val="32"/>
          <w:lang w:val="en-US" w:eastAsia="zh-CN"/>
        </w:rPr>
        <w:t>一、</w:t>
      </w:r>
      <w:r>
        <w:rPr>
          <w:rStyle w:val="14"/>
          <w:rFonts w:hint="eastAsia" w:ascii="黑体" w:hAnsi="黑体" w:eastAsia="黑体" w:cs="黑体"/>
          <w:b w:val="0"/>
          <w:bCs/>
          <w:i w:val="0"/>
          <w:iCs w:val="0"/>
          <w:caps w:val="0"/>
          <w:color w:val="auto"/>
          <w:spacing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1"/>
          <w:sz w:val="32"/>
          <w:szCs w:val="32"/>
          <w:highlight w:val="none"/>
        </w:rPr>
      </w:pPr>
      <w:r>
        <w:rPr>
          <w:rFonts w:hint="eastAsia" w:ascii="仿宋_GB2312" w:hAnsi="仿宋_GB2312" w:eastAsia="仿宋_GB2312" w:cs="仿宋_GB2312"/>
          <w:i w:val="0"/>
          <w:iCs w:val="0"/>
          <w:caps w:val="0"/>
          <w:color w:val="auto"/>
          <w:spacing w:val="0"/>
          <w:kern w:val="0"/>
          <w:sz w:val="32"/>
          <w:szCs w:val="32"/>
          <w:lang w:val="en-US" w:eastAsia="zh-CN" w:bidi="ar"/>
        </w:rPr>
        <w:t>为深入贯彻党中央、国务院、自治区和市委、市政府关于清理拖欠民营企业中小企业账款工作的决策部署，进一步加强审计监督推动清理拖欠民营企业中小企业工程账款工作，着力解决政府拖欠民营企业中小企业账款问题和发展难题，稳定市场经济秩序，建立良好的政商关系，树立诚信政府形象，</w:t>
      </w:r>
      <w:r>
        <w:rPr>
          <w:rFonts w:hint="default" w:ascii="Times New Roman" w:hAnsi="Times New Roman" w:eastAsia="仿宋_GB2312" w:cs="Times New Roman"/>
          <w:sz w:val="32"/>
          <w:szCs w:val="32"/>
          <w:u w:val="none"/>
          <w:lang w:bidi="ar-SA"/>
        </w:rPr>
        <w:t>结合工作实际，制定本方案。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4"/>
          <w:rFonts w:hint="eastAsia" w:ascii="黑体" w:hAnsi="黑体" w:eastAsia="黑体" w:cs="黑体"/>
          <w:b w:val="0"/>
          <w:bCs/>
          <w:i w:val="0"/>
          <w:iCs w:val="0"/>
          <w:caps w:val="0"/>
          <w:color w:val="auto"/>
          <w:spacing w:val="0"/>
          <w:sz w:val="32"/>
          <w:szCs w:val="32"/>
          <w:lang w:val="en-US" w:eastAsia="zh-CN"/>
        </w:rPr>
      </w:pPr>
      <w:r>
        <w:rPr>
          <w:rStyle w:val="14"/>
          <w:rFonts w:hint="eastAsia" w:ascii="黑体" w:hAnsi="黑体" w:eastAsia="黑体" w:cs="黑体"/>
          <w:b w:val="0"/>
          <w:bCs/>
          <w:i w:val="0"/>
          <w:iCs w:val="0"/>
          <w:caps w:val="0"/>
          <w:color w:val="auto"/>
          <w:spacing w:val="0"/>
          <w:sz w:val="32"/>
          <w:szCs w:val="32"/>
          <w:lang w:val="en-US" w:eastAsia="zh-CN"/>
        </w:rPr>
        <w:t>二、审计目标</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按照</w:t>
      </w:r>
      <w:r>
        <w:rPr>
          <w:rFonts w:hint="eastAsia" w:ascii="仿宋_GB2312" w:hAnsi="仿宋_GB2312" w:eastAsia="仿宋_GB2312" w:cs="仿宋_GB2312"/>
          <w:i w:val="0"/>
          <w:iCs w:val="0"/>
          <w:caps w:val="0"/>
          <w:color w:val="auto"/>
          <w:spacing w:val="0"/>
          <w:sz w:val="32"/>
          <w:szCs w:val="32"/>
        </w:rPr>
        <w:t>“摸清情况、重点核查、揭示风险、提出建议”的总体思路，全面摸清拖欠</w:t>
      </w:r>
      <w:r>
        <w:rPr>
          <w:rFonts w:hint="eastAsia" w:ascii="仿宋_GB2312" w:hAnsi="仿宋_GB2312" w:eastAsia="仿宋_GB2312" w:cs="仿宋_GB2312"/>
          <w:i w:val="0"/>
          <w:iCs w:val="0"/>
          <w:caps w:val="0"/>
          <w:color w:val="auto"/>
          <w:spacing w:val="0"/>
          <w:sz w:val="32"/>
          <w:szCs w:val="32"/>
          <w:lang w:val="en-US" w:eastAsia="zh-CN"/>
        </w:rPr>
        <w:t>民营企业</w:t>
      </w:r>
      <w:r>
        <w:rPr>
          <w:rFonts w:hint="eastAsia" w:ascii="仿宋_GB2312" w:hAnsi="仿宋_GB2312" w:eastAsia="仿宋_GB2312" w:cs="仿宋_GB2312"/>
          <w:i w:val="0"/>
          <w:iCs w:val="0"/>
          <w:caps w:val="0"/>
          <w:color w:val="auto"/>
          <w:spacing w:val="0"/>
          <w:sz w:val="32"/>
          <w:szCs w:val="32"/>
        </w:rPr>
        <w:t>中小企业工程账款底数</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拖欠金额和项目明细等具体情况，确保横向到边、纵向到底，避免遗漏。对摸排结果进行精准核查，逐一制定化解方案，做到边排查、边化解、边整治。同时，深挖</w:t>
      </w:r>
      <w:r>
        <w:rPr>
          <w:rFonts w:hint="eastAsia" w:ascii="仿宋_GB2312" w:hAnsi="仿宋_GB2312" w:eastAsia="仿宋_GB2312" w:cs="仿宋_GB2312"/>
          <w:i w:val="0"/>
          <w:iCs w:val="0"/>
          <w:caps w:val="0"/>
          <w:color w:val="auto"/>
          <w:spacing w:val="0"/>
          <w:sz w:val="32"/>
          <w:szCs w:val="32"/>
        </w:rPr>
        <w:t>拖欠账款背后的体制机制问题，</w:t>
      </w:r>
      <w:r>
        <w:rPr>
          <w:rFonts w:hint="eastAsia" w:ascii="仿宋_GB2312" w:hAnsi="仿宋_GB2312" w:eastAsia="仿宋_GB2312" w:cs="仿宋_GB2312"/>
          <w:i w:val="0"/>
          <w:iCs w:val="0"/>
          <w:caps w:val="0"/>
          <w:color w:val="auto"/>
          <w:spacing w:val="0"/>
          <w:sz w:val="32"/>
          <w:szCs w:val="32"/>
          <w:lang w:eastAsia="zh-CN"/>
        </w:rPr>
        <w:t>提</w:t>
      </w:r>
      <w:r>
        <w:rPr>
          <w:rFonts w:hint="eastAsia" w:ascii="仿宋_GB2312" w:hAnsi="仿宋_GB2312" w:eastAsia="仿宋_GB2312" w:cs="仿宋_GB2312"/>
          <w:i w:val="0"/>
          <w:iCs w:val="0"/>
          <w:caps w:val="0"/>
          <w:color w:val="auto"/>
          <w:spacing w:val="0"/>
          <w:sz w:val="32"/>
          <w:szCs w:val="32"/>
        </w:rPr>
        <w:t>出针对性、可操作性强的审计建议，</w:t>
      </w:r>
      <w:r>
        <w:rPr>
          <w:rFonts w:hint="eastAsia" w:ascii="仿宋_GB2312" w:hAnsi="仿宋_GB2312" w:eastAsia="仿宋_GB2312" w:cs="仿宋_GB2312"/>
          <w:i w:val="0"/>
          <w:iCs w:val="0"/>
          <w:caps w:val="0"/>
          <w:color w:val="auto"/>
          <w:spacing w:val="0"/>
          <w:sz w:val="32"/>
          <w:szCs w:val="32"/>
          <w:lang w:val="en-US" w:eastAsia="zh-CN"/>
        </w:rPr>
        <w:t>督促责任主体落实“限时清欠、分期偿付、账款确权”等整改措施，切实维护民营企业中小企业合法权益。通过标本兼治、综合施策，着力打造公平诚信的市场环境，促进民营经济高质量发展。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4"/>
          <w:rFonts w:hint="eastAsia" w:ascii="黑体" w:hAnsi="黑体" w:eastAsia="黑体" w:cs="黑体"/>
          <w:b w:val="0"/>
          <w:bCs/>
          <w:i w:val="0"/>
          <w:iCs w:val="0"/>
          <w:caps w:val="0"/>
          <w:color w:val="auto"/>
          <w:spacing w:val="0"/>
          <w:sz w:val="32"/>
          <w:szCs w:val="32"/>
          <w:lang w:val="en-US" w:eastAsia="zh-CN"/>
        </w:rPr>
      </w:pPr>
      <w:r>
        <w:rPr>
          <w:rStyle w:val="14"/>
          <w:rFonts w:hint="eastAsia" w:ascii="黑体" w:hAnsi="黑体" w:eastAsia="黑体" w:cs="黑体"/>
          <w:b w:val="0"/>
          <w:bCs/>
          <w:i w:val="0"/>
          <w:iCs w:val="0"/>
          <w:caps w:val="0"/>
          <w:color w:val="auto"/>
          <w:spacing w:val="0"/>
          <w:sz w:val="32"/>
          <w:szCs w:val="32"/>
          <w:lang w:val="en-US" w:eastAsia="zh-CN"/>
        </w:rPr>
        <w:t>三、审计范围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_GB2312" w:hAnsi="楷体_GB2312" w:eastAsia="楷体_GB2312" w:cs="楷体_GB2312"/>
          <w:b w:val="0"/>
          <w:bCs w:val="0"/>
          <w:i w:val="0"/>
          <w:iCs w:val="0"/>
          <w:caps w:val="0"/>
          <w:color w:val="auto"/>
          <w:spacing w:val="0"/>
          <w:kern w:val="2"/>
          <w:sz w:val="32"/>
          <w:szCs w:val="32"/>
          <w:lang w:val="en-US" w:eastAsia="zh-CN" w:bidi="ar-SA"/>
        </w:rPr>
        <w:t>（一）时间范围。</w:t>
      </w:r>
      <w:r>
        <w:rPr>
          <w:rFonts w:hint="eastAsia" w:ascii="仿宋_GB2312" w:hAnsi="仿宋_GB2312" w:eastAsia="仿宋_GB2312" w:cs="仿宋_GB2312"/>
          <w:i w:val="0"/>
          <w:iCs w:val="0"/>
          <w:caps w:val="0"/>
          <w:color w:val="auto"/>
          <w:spacing w:val="0"/>
          <w:kern w:val="2"/>
          <w:sz w:val="32"/>
          <w:szCs w:val="32"/>
          <w:lang w:val="en-US" w:eastAsia="zh-CN" w:bidi="ar-SA"/>
        </w:rPr>
        <w:t>重点审计截至2024年12月31日之前拖欠民营企业中小企业工程账款情况，重大问题可追溯至以前年度。</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_GB2312" w:hAnsi="楷体_GB2312" w:eastAsia="楷体_GB2312" w:cs="楷体_GB2312"/>
          <w:b w:val="0"/>
          <w:bCs w:val="0"/>
          <w:i w:val="0"/>
          <w:iCs w:val="0"/>
          <w:caps w:val="0"/>
          <w:color w:val="auto"/>
          <w:spacing w:val="0"/>
          <w:kern w:val="2"/>
          <w:sz w:val="32"/>
          <w:szCs w:val="32"/>
          <w:lang w:val="en-US" w:eastAsia="zh-CN" w:bidi="ar-SA"/>
        </w:rPr>
        <w:t>（二）对象范围。</w:t>
      </w:r>
      <w:r>
        <w:rPr>
          <w:rFonts w:hint="eastAsia" w:ascii="仿宋_GB2312" w:hAnsi="仿宋_GB2312" w:eastAsia="仿宋_GB2312" w:cs="仿宋_GB2312"/>
          <w:i w:val="0"/>
          <w:iCs w:val="0"/>
          <w:caps w:val="0"/>
          <w:color w:val="auto"/>
          <w:spacing w:val="0"/>
          <w:kern w:val="2"/>
          <w:sz w:val="32"/>
          <w:szCs w:val="32"/>
          <w:lang w:val="en-US" w:eastAsia="zh-CN" w:bidi="ar-SA"/>
        </w:rPr>
        <w:t>各镇、各部门单位、各园区。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_GB2312" w:hAnsi="楷体_GB2312" w:eastAsia="楷体_GB2312" w:cs="楷体_GB2312"/>
          <w:b w:val="0"/>
          <w:bCs w:val="0"/>
          <w:i w:val="0"/>
          <w:iCs w:val="0"/>
          <w:caps w:val="0"/>
          <w:color w:val="auto"/>
          <w:spacing w:val="0"/>
          <w:kern w:val="2"/>
          <w:sz w:val="32"/>
          <w:szCs w:val="32"/>
          <w:lang w:val="en-US" w:eastAsia="zh-CN" w:bidi="ar-SA"/>
        </w:rPr>
        <w:t>（三）内容范围。</w:t>
      </w:r>
      <w:r>
        <w:rPr>
          <w:rFonts w:hint="eastAsia" w:ascii="仿宋_GB2312" w:hAnsi="仿宋_GB2312" w:eastAsia="仿宋_GB2312" w:cs="仿宋_GB2312"/>
          <w:i w:val="0"/>
          <w:iCs w:val="0"/>
          <w:caps w:val="0"/>
          <w:color w:val="auto"/>
          <w:spacing w:val="0"/>
          <w:kern w:val="2"/>
          <w:sz w:val="32"/>
          <w:szCs w:val="32"/>
          <w:lang w:val="en-US" w:eastAsia="zh-CN" w:bidi="ar-SA"/>
        </w:rPr>
        <w:t>重点审计立项金额400万元以上的政府重点投资建设项目或涉及重大民生的建设项目。包括但不限于拖欠民营企业中小企业的具体金额，拖欠民营企业中小企业工程账款的建设项目明细、建设项目规模；拖欠账款对民营企业中小企业生产经营的影响；拖欠账款背后的体制机制问题，如预算管理、政府采购、工程结算等方面的制度漏洞；相关部门和单位在清理拖欠账款工作中的履职尽责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4"/>
          <w:rFonts w:hint="eastAsia" w:ascii="黑体" w:hAnsi="黑体" w:eastAsia="黑体" w:cs="黑体"/>
          <w:b w:val="0"/>
          <w:bCs/>
          <w:i w:val="0"/>
          <w:iCs w:val="0"/>
          <w:caps w:val="0"/>
          <w:color w:val="auto"/>
          <w:spacing w:val="0"/>
          <w:sz w:val="32"/>
          <w:szCs w:val="32"/>
          <w:lang w:val="en-US" w:eastAsia="zh-CN"/>
        </w:rPr>
      </w:pPr>
      <w:r>
        <w:rPr>
          <w:rStyle w:val="14"/>
          <w:rFonts w:hint="eastAsia" w:ascii="黑体" w:hAnsi="黑体" w:eastAsia="黑体" w:cs="黑体"/>
          <w:b w:val="0"/>
          <w:bCs/>
          <w:i w:val="0"/>
          <w:iCs w:val="0"/>
          <w:caps w:val="0"/>
          <w:color w:val="auto"/>
          <w:spacing w:val="0"/>
          <w:sz w:val="32"/>
          <w:szCs w:val="32"/>
          <w:lang w:val="en-US" w:eastAsia="zh-CN"/>
        </w:rPr>
        <w:t>四、审计重点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val="0"/>
          <w:bCs w:val="0"/>
          <w:i w:val="0"/>
          <w:iCs w:val="0"/>
          <w:caps w:val="0"/>
          <w:color w:val="auto"/>
          <w:spacing w:val="0"/>
          <w:kern w:val="2"/>
          <w:sz w:val="32"/>
          <w:szCs w:val="32"/>
          <w:lang w:val="en-US" w:eastAsia="zh-CN" w:bidi="ar-SA"/>
        </w:rPr>
        <w:t>（一）拖欠账款底数情况。</w:t>
      </w:r>
      <w:r>
        <w:rPr>
          <w:rFonts w:hint="eastAsia" w:ascii="仿宋_GB2312" w:hAnsi="仿宋_GB2312" w:eastAsia="仿宋_GB2312" w:cs="仿宋_GB2312"/>
          <w:sz w:val="32"/>
          <w:szCs w:val="40"/>
        </w:rPr>
        <w:t>全面摸清政府投资重大项目拖欠</w:t>
      </w:r>
      <w:r>
        <w:rPr>
          <w:rFonts w:hint="eastAsia" w:ascii="仿宋_GB2312" w:hAnsi="仿宋_GB2312" w:eastAsia="仿宋_GB2312" w:cs="仿宋_GB2312"/>
          <w:sz w:val="32"/>
          <w:szCs w:val="40"/>
          <w:lang w:val="en-US" w:eastAsia="zh-CN"/>
        </w:rPr>
        <w:t>民营企业</w:t>
      </w:r>
      <w:r>
        <w:rPr>
          <w:rFonts w:hint="eastAsia" w:ascii="仿宋_GB2312" w:hAnsi="仿宋_GB2312" w:eastAsia="仿宋_GB2312" w:cs="仿宋_GB2312"/>
          <w:sz w:val="32"/>
          <w:szCs w:val="40"/>
        </w:rPr>
        <w:t>中小企业工程账款的规模、结构、账龄、成因等，重点关注政府投资项目、国有企业项目拖欠账款时间较长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拖欠账款金额较大的单位。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val="0"/>
          <w:bCs w:val="0"/>
          <w:i w:val="0"/>
          <w:iCs w:val="0"/>
          <w:caps w:val="0"/>
          <w:color w:val="auto"/>
          <w:spacing w:val="0"/>
          <w:kern w:val="2"/>
          <w:sz w:val="32"/>
          <w:szCs w:val="32"/>
          <w:lang w:val="en-US" w:eastAsia="zh-CN" w:bidi="ar-SA"/>
        </w:rPr>
        <w:t>（二）拖欠账款清偿情况。</w:t>
      </w:r>
      <w:r>
        <w:rPr>
          <w:rFonts w:hint="eastAsia" w:ascii="仿宋_GB2312" w:hAnsi="仿宋_GB2312" w:eastAsia="仿宋_GB2312" w:cs="仿宋_GB2312"/>
          <w:sz w:val="32"/>
          <w:szCs w:val="40"/>
        </w:rPr>
        <w:t>审查拖欠主体是否制定清偿计划，是否按计划及时足额清偿账款，是否存在“边清边欠”现象。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val="0"/>
          <w:bCs w:val="0"/>
          <w:i w:val="0"/>
          <w:iCs w:val="0"/>
          <w:caps w:val="0"/>
          <w:color w:val="auto"/>
          <w:spacing w:val="0"/>
          <w:kern w:val="2"/>
          <w:sz w:val="32"/>
          <w:szCs w:val="32"/>
          <w:lang w:val="en-US" w:eastAsia="zh-CN" w:bidi="ar-SA"/>
        </w:rPr>
        <w:t>（三）拖欠账款背后的体制机制问题。</w:t>
      </w:r>
      <w:r>
        <w:rPr>
          <w:rFonts w:hint="eastAsia" w:ascii="仿宋_GB2312" w:hAnsi="仿宋_GB2312" w:eastAsia="仿宋_GB2312" w:cs="仿宋_GB2312"/>
          <w:sz w:val="32"/>
          <w:szCs w:val="40"/>
        </w:rPr>
        <w:t>重点</w:t>
      </w:r>
      <w:r>
        <w:rPr>
          <w:rFonts w:hint="eastAsia" w:ascii="仿宋_GB2312" w:hAnsi="仿宋_GB2312" w:eastAsia="仿宋_GB2312" w:cs="仿宋_GB2312"/>
          <w:sz w:val="32"/>
          <w:szCs w:val="40"/>
          <w:lang w:eastAsia="zh-CN"/>
        </w:rPr>
        <w:t>查找</w:t>
      </w:r>
      <w:r>
        <w:rPr>
          <w:rFonts w:hint="eastAsia" w:ascii="仿宋_GB2312" w:hAnsi="仿宋_GB2312" w:eastAsia="仿宋_GB2312" w:cs="仿宋_GB2312"/>
          <w:sz w:val="32"/>
          <w:szCs w:val="40"/>
        </w:rPr>
        <w:t>预算管理、政府采购、工程结算等方面的制度漏洞，揭示拖欠账款背后的深层次原因。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i w:val="0"/>
          <w:iCs w:val="0"/>
          <w:caps w:val="0"/>
          <w:color w:val="auto"/>
          <w:spacing w:val="0"/>
          <w:kern w:val="2"/>
          <w:sz w:val="32"/>
          <w:szCs w:val="32"/>
          <w:lang w:val="en-US" w:eastAsia="zh-CN" w:bidi="ar-SA"/>
        </w:rPr>
        <w:t>（四）相关部门和单位履职尽责情况。</w:t>
      </w:r>
      <w:r>
        <w:rPr>
          <w:rFonts w:hint="eastAsia" w:ascii="仿宋_GB2312" w:hAnsi="仿宋_GB2312" w:eastAsia="仿宋_GB2312" w:cs="仿宋_GB2312"/>
          <w:sz w:val="32"/>
          <w:szCs w:val="40"/>
        </w:rPr>
        <w:t>审查相关部门和单位是否认真贯彻落实党中央、国务院决策部署，是否建立健全防范和化解拖欠账款长效机制，是否存在不作为、慢作为、乱作为等问题。</w:t>
      </w:r>
      <w:r>
        <w:rPr>
          <w:rFonts w:hint="eastAsia" w:ascii="仿宋_GB2312" w:hAnsi="仿宋_GB2312" w:eastAsia="仿宋_GB2312" w:cs="仿宋_GB2312"/>
          <w:sz w:val="32"/>
          <w:szCs w:val="40"/>
          <w:lang w:eastAsia="zh-CN"/>
        </w:rPr>
        <w:t>审查</w:t>
      </w:r>
      <w:r>
        <w:rPr>
          <w:rFonts w:hint="eastAsia" w:ascii="仿宋_GB2312" w:hAnsi="仿宋_GB2312" w:eastAsia="仿宋_GB2312" w:cs="仿宋_GB2312"/>
          <w:sz w:val="32"/>
          <w:szCs w:val="40"/>
        </w:rPr>
        <w:t>项目审批程序是否完备、预算指标或资金安排是否到位、资金拨付是否及时和足额等，分析拖欠账款形成的原因并提出审计建议。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4"/>
          <w:rFonts w:hint="eastAsia" w:ascii="黑体" w:hAnsi="黑体" w:eastAsia="黑体" w:cs="黑体"/>
          <w:b w:val="0"/>
          <w:bCs/>
          <w:i w:val="0"/>
          <w:iCs w:val="0"/>
          <w:caps w:val="0"/>
          <w:color w:val="auto"/>
          <w:spacing w:val="0"/>
          <w:sz w:val="32"/>
          <w:szCs w:val="32"/>
          <w:lang w:val="en-US" w:eastAsia="zh-CN"/>
        </w:rPr>
      </w:pPr>
      <w:r>
        <w:rPr>
          <w:rStyle w:val="14"/>
          <w:rFonts w:hint="eastAsia" w:ascii="黑体" w:hAnsi="黑体" w:eastAsia="黑体" w:cs="黑体"/>
          <w:b w:val="0"/>
          <w:bCs/>
          <w:i w:val="0"/>
          <w:iCs w:val="0"/>
          <w:caps w:val="0"/>
          <w:color w:val="auto"/>
          <w:spacing w:val="0"/>
          <w:sz w:val="32"/>
          <w:szCs w:val="32"/>
          <w:lang w:val="en-US" w:eastAsia="zh-CN"/>
        </w:rPr>
        <w:t>五、工作要求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楷体_GB2312" w:hAnsi="楷体_GB2312" w:eastAsia="楷体_GB2312" w:cs="楷体_GB2312"/>
          <w:i w:val="0"/>
          <w:iCs w:val="0"/>
          <w:caps w:val="0"/>
          <w:color w:val="auto"/>
          <w:spacing w:val="0"/>
          <w:sz w:val="32"/>
          <w:szCs w:val="32"/>
          <w:lang w:val="en-US" w:eastAsia="zh-CN"/>
        </w:rPr>
        <w:t>（一）提高政治站位，统一思想认识。</w:t>
      </w:r>
      <w:r>
        <w:rPr>
          <w:rFonts w:hint="eastAsia" w:ascii="仿宋_GB2312" w:hAnsi="仿宋_GB2312" w:eastAsia="仿宋_GB2312" w:cs="仿宋_GB2312"/>
          <w:i w:val="0"/>
          <w:iCs w:val="0"/>
          <w:caps w:val="0"/>
          <w:color w:val="auto"/>
          <w:spacing w:val="0"/>
          <w:sz w:val="32"/>
          <w:szCs w:val="32"/>
          <w:lang w:val="en-US" w:eastAsia="zh-CN"/>
        </w:rPr>
        <w:t>清欠工作既是防范化解债务金融风险、维护经济安全的必然要求，更是优化营商环境、保障民生福祉的民生工程。各部门要深刻把握清理拖欠中小企业账款工作的政治意义和实践要求，将其作为贯彻各级决策部署、服务高质量发展大局的核心任务抓实抓细。各部门要统一思想，严格对照时间节点和工作标准，确保清欠任务高效推进、账款清偿精准到位，切实为民营企业减负纾困、护航实体经济健康发展提供坚实保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404040"/>
          <w:spacing w:val="0"/>
          <w:sz w:val="32"/>
          <w:szCs w:val="32"/>
          <w:lang w:val="en-US" w:eastAsia="zh-CN"/>
        </w:rPr>
      </w:pPr>
      <w:r>
        <w:rPr>
          <w:rFonts w:hint="eastAsia" w:ascii="楷体_GB2312" w:hAnsi="楷体_GB2312" w:eastAsia="楷体_GB2312" w:cs="楷体_GB2312"/>
          <w:i w:val="0"/>
          <w:iCs w:val="0"/>
          <w:caps w:val="0"/>
          <w:color w:val="auto"/>
          <w:spacing w:val="0"/>
          <w:sz w:val="32"/>
          <w:szCs w:val="32"/>
          <w:lang w:val="en-US" w:eastAsia="zh-CN"/>
        </w:rPr>
        <w:t>（二）强化责任担当，务求取得实效。</w:t>
      </w:r>
      <w:r>
        <w:rPr>
          <w:rFonts w:hint="eastAsia" w:ascii="仿宋_GB2312" w:hAnsi="仿宋_GB2312" w:eastAsia="仿宋_GB2312" w:cs="仿宋_GB2312"/>
          <w:i w:val="0"/>
          <w:iCs w:val="0"/>
          <w:caps w:val="0"/>
          <w:color w:val="auto"/>
          <w:spacing w:val="0"/>
          <w:sz w:val="32"/>
          <w:szCs w:val="32"/>
          <w:lang w:val="en-US" w:eastAsia="zh-CN"/>
        </w:rPr>
        <w:t>清欠工作涉及面广，社会关注度高。各部门要按照“属地管理、分级负责、谁管理谁负责”的原则，各负其责、各司其职，勇于直面问题，不回避不等待，扎实推进清欠工作，对拖欠民营企业工程账款的问题进行全面梳理排查，对主要任务所涉及的各类欠款，要逐条对照，全面梳理、建立台账，并制定工作方案，细化清欠措施，精心组织，强力推进，做到应付尽付，不留死角。</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404040"/>
          <w:spacing w:val="0"/>
          <w:sz w:val="32"/>
          <w:szCs w:val="32"/>
          <w:lang w:val="en-US" w:eastAsia="zh-CN"/>
        </w:rPr>
      </w:pPr>
      <w:r>
        <w:rPr>
          <w:rFonts w:hint="eastAsia" w:ascii="楷体_GB2312" w:hAnsi="楷体_GB2312" w:eastAsia="楷体_GB2312" w:cs="楷体_GB2312"/>
          <w:i w:val="0"/>
          <w:iCs w:val="0"/>
          <w:caps w:val="0"/>
          <w:color w:val="auto"/>
          <w:spacing w:val="0"/>
          <w:sz w:val="32"/>
          <w:szCs w:val="32"/>
          <w:lang w:val="en-US" w:eastAsia="zh-CN"/>
        </w:rPr>
        <w:t>（三）加强协同配合，凝聚工作合力。</w:t>
      </w:r>
      <w:r>
        <w:rPr>
          <w:rFonts w:hint="eastAsia" w:ascii="仿宋_GB2312" w:hAnsi="仿宋_GB2312" w:eastAsia="仿宋_GB2312" w:cs="仿宋_GB2312"/>
          <w:i w:val="0"/>
          <w:iCs w:val="0"/>
          <w:caps w:val="0"/>
          <w:color w:val="auto"/>
          <w:spacing w:val="0"/>
          <w:sz w:val="32"/>
          <w:szCs w:val="32"/>
          <w:lang w:val="en-US" w:eastAsia="zh-CN"/>
        </w:rPr>
        <w:t>清理拖欠民营企业账款工作是一项系统工程。各部门要加强协调合作，明确工作目标，细化工作任务，完善责任分工，形成分工协作、上下联动的工作格局，合力解决工作中遇到的难点问题，确保工作取得实效。要对弄虚作假、漏报瞒报、工作不落实、清欠不力的单位，依法依纪严肃问责，全力推进工作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楷体_GB2312" w:hAnsi="楷体_GB2312" w:eastAsia="楷体_GB2312" w:cs="楷体_GB2312"/>
          <w:sz w:val="32"/>
          <w:szCs w:val="40"/>
          <w:lang w:val="en-US" w:eastAsia="zh-CN"/>
        </w:rPr>
        <w:t>（四）健全长效机制，提升治理效能。</w:t>
      </w:r>
      <w:r>
        <w:rPr>
          <w:rFonts w:hint="eastAsia" w:ascii="仿宋_GB2312" w:hAnsi="仿宋_GB2312" w:eastAsia="仿宋_GB2312" w:cs="仿宋_GB2312"/>
          <w:i w:val="0"/>
          <w:iCs w:val="0"/>
          <w:caps w:val="0"/>
          <w:color w:val="auto"/>
          <w:spacing w:val="0"/>
          <w:kern w:val="0"/>
          <w:sz w:val="32"/>
          <w:szCs w:val="32"/>
          <w:lang w:val="en-US" w:eastAsia="zh-CN" w:bidi="ar"/>
        </w:rPr>
        <w:t>要构建政府投资类项目全周期评估体系，严格执行投资项目审批制度，进一步完善风险预警防控机制，从严管控新增拖欠行为，有效阻断局部风险向系统性风险传导。建立欠款动态清零机制，实行清单化管理，督促各单位落实主体责任，确保存量欠款及时整改、限时清零。</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附件：拖欠民营企业中小企业账款情况摸排表</w:t>
      </w:r>
    </w:p>
    <w:p>
      <w:pPr>
        <w:pStyle w:val="2"/>
        <w:rPr>
          <w:rFonts w:hint="eastAsia"/>
          <w:lang w:val="en-US" w:eastAsia="zh-CN"/>
        </w:rPr>
      </w:pPr>
    </w:p>
    <w:p>
      <w:pPr>
        <w:pStyle w:val="3"/>
        <w:rPr>
          <w:rFonts w:hint="eastAsia" w:ascii="仿宋_GB2312" w:hAnsi="仿宋_GB2312" w:eastAsia="仿宋_GB2312" w:cs="仿宋_GB2312"/>
          <w:i w:val="0"/>
          <w:iCs w:val="0"/>
          <w:caps w:val="0"/>
          <w:color w:val="auto"/>
          <w:spacing w:val="0"/>
          <w:kern w:val="0"/>
          <w:sz w:val="32"/>
          <w:szCs w:val="32"/>
          <w:lang w:val="en-US" w:eastAsia="zh-CN" w:bidi="ar"/>
        </w:rPr>
        <w:sectPr>
          <w:footerReference r:id="rId3" w:type="default"/>
          <w:pgSz w:w="11906" w:h="16838"/>
          <w:pgMar w:top="2098" w:right="1474" w:bottom="1984" w:left="1587" w:header="851" w:footer="992" w:gutter="0"/>
          <w:pgNumType w:fmt="numberInDash"/>
          <w:cols w:space="0" w:num="1"/>
          <w:rtlGutter w:val="0"/>
          <w:docGrid w:type="lines" w:linePitch="312" w:charSpace="0"/>
        </w:sectPr>
      </w:pPr>
      <w:bookmarkStart w:id="0" w:name="_GoBack"/>
      <w:bookmarkEnd w:id="0"/>
    </w:p>
    <w:p>
      <w:pPr>
        <w:keepNext w:val="0"/>
        <w:keepLines w:val="0"/>
        <w:pageBreakBefore w:val="0"/>
        <w:widowControl w:val="0"/>
        <w:kinsoku/>
        <w:overflowPunct/>
        <w:topLinePunct w:val="0"/>
        <w:autoSpaceDE/>
        <w:autoSpaceDN/>
        <w:bidi w:val="0"/>
        <w:spacing w:line="560" w:lineRule="exact"/>
        <w:jc w:val="left"/>
        <w:textAlignment w:val="auto"/>
        <w:rPr>
          <w:rFonts w:hint="eastAsia"/>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2708"/>
        </w:tabs>
        <w:ind w:left="2708" w:hanging="432"/>
      </w:pPr>
    </w:lvl>
    <w:lvl w:ilvl="1" w:tentative="0">
      <w:start w:val="1"/>
      <w:numFmt w:val="decimal"/>
      <w:lvlText w:val="%1.%2"/>
      <w:lvlJc w:val="left"/>
      <w:pPr>
        <w:tabs>
          <w:tab w:val="left" w:pos="2852"/>
        </w:tabs>
        <w:ind w:left="2852" w:hanging="576"/>
      </w:pPr>
    </w:lvl>
    <w:lvl w:ilvl="2" w:tentative="0">
      <w:start w:val="1"/>
      <w:numFmt w:val="decimal"/>
      <w:lvlText w:val="%1.%2.%3"/>
      <w:lvlJc w:val="left"/>
      <w:pPr>
        <w:tabs>
          <w:tab w:val="left" w:pos="3356"/>
        </w:tabs>
        <w:ind w:left="3356" w:hanging="720"/>
      </w:pPr>
      <w:rPr>
        <w:rFonts w:ascii="Times New Roman" w:hAnsi="Times New Roman" w:eastAsia="Times New Roman" w:cs="Times New Roman"/>
      </w:rPr>
    </w:lvl>
    <w:lvl w:ilvl="3" w:tentative="0">
      <w:start w:val="1"/>
      <w:numFmt w:val="decimal"/>
      <w:pStyle w:val="5"/>
      <w:lvlText w:val="%1.%2.%3.%4"/>
      <w:lvlJc w:val="left"/>
      <w:pPr>
        <w:tabs>
          <w:tab w:val="left" w:pos="3140"/>
        </w:tabs>
        <w:ind w:left="3174" w:hanging="864"/>
      </w:pPr>
    </w:lvl>
    <w:lvl w:ilvl="4" w:tentative="0">
      <w:start w:val="1"/>
      <w:numFmt w:val="decimal"/>
      <w:lvlText w:val="%1.%2.%3.%4.%5"/>
      <w:lvlJc w:val="left"/>
      <w:pPr>
        <w:tabs>
          <w:tab w:val="left" w:pos="3284"/>
        </w:tabs>
        <w:ind w:left="3284" w:hanging="1008"/>
      </w:pPr>
    </w:lvl>
    <w:lvl w:ilvl="5" w:tentative="0">
      <w:start w:val="1"/>
      <w:numFmt w:val="decimal"/>
      <w:lvlText w:val="%1.%2.%3.%4.%5.%6"/>
      <w:lvlJc w:val="left"/>
      <w:pPr>
        <w:tabs>
          <w:tab w:val="left" w:pos="3428"/>
        </w:tabs>
        <w:ind w:left="3428" w:hanging="1152"/>
      </w:pPr>
    </w:lvl>
    <w:lvl w:ilvl="6" w:tentative="0">
      <w:start w:val="1"/>
      <w:numFmt w:val="decimal"/>
      <w:lvlText w:val="%1.%2.%3.%4.%5.%6.%7"/>
      <w:lvlJc w:val="left"/>
      <w:pPr>
        <w:tabs>
          <w:tab w:val="left" w:pos="3572"/>
        </w:tabs>
        <w:ind w:left="3572" w:hanging="1296"/>
      </w:pPr>
    </w:lvl>
    <w:lvl w:ilvl="7" w:tentative="0">
      <w:start w:val="1"/>
      <w:numFmt w:val="decimal"/>
      <w:lvlText w:val="%1.%2.%3.%4.%5.%6.%7.%8"/>
      <w:lvlJc w:val="left"/>
      <w:pPr>
        <w:tabs>
          <w:tab w:val="left" w:pos="3716"/>
        </w:tabs>
        <w:ind w:left="3716" w:hanging="1440"/>
      </w:pPr>
    </w:lvl>
    <w:lvl w:ilvl="8" w:tentative="0">
      <w:start w:val="1"/>
      <w:numFmt w:val="decimal"/>
      <w:lvlText w:val="%1.%2.%3.%4.%5.%6.%7.%8.%9"/>
      <w:lvlJc w:val="left"/>
      <w:pPr>
        <w:tabs>
          <w:tab w:val="left" w:pos="3860"/>
        </w:tabs>
        <w:ind w:left="3860"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2A2BD2"/>
    <w:rsid w:val="068B1C97"/>
    <w:rsid w:val="0B4F3615"/>
    <w:rsid w:val="0F9B7248"/>
    <w:rsid w:val="12990C50"/>
    <w:rsid w:val="14604612"/>
    <w:rsid w:val="185749FF"/>
    <w:rsid w:val="1AD03EF7"/>
    <w:rsid w:val="244B42DE"/>
    <w:rsid w:val="28DC5CDF"/>
    <w:rsid w:val="2F647193"/>
    <w:rsid w:val="30C27FA8"/>
    <w:rsid w:val="310549E3"/>
    <w:rsid w:val="37B00B68"/>
    <w:rsid w:val="3A6C5FB2"/>
    <w:rsid w:val="3B5F1E7C"/>
    <w:rsid w:val="3BC431AC"/>
    <w:rsid w:val="3C776471"/>
    <w:rsid w:val="3F9F7FFE"/>
    <w:rsid w:val="3FCFC589"/>
    <w:rsid w:val="480A0199"/>
    <w:rsid w:val="4A0D3931"/>
    <w:rsid w:val="4FF77255"/>
    <w:rsid w:val="565AE607"/>
    <w:rsid w:val="56EF0BF9"/>
    <w:rsid w:val="5B1F01E4"/>
    <w:rsid w:val="5B6C5DCD"/>
    <w:rsid w:val="611A0212"/>
    <w:rsid w:val="61822F0D"/>
    <w:rsid w:val="67F6335F"/>
    <w:rsid w:val="6E1253D7"/>
    <w:rsid w:val="736203D4"/>
    <w:rsid w:val="77484E07"/>
    <w:rsid w:val="7ABFD475"/>
    <w:rsid w:val="7D32B016"/>
    <w:rsid w:val="7E74B7A4"/>
    <w:rsid w:val="7F5FE859"/>
    <w:rsid w:val="7FF95F98"/>
    <w:rsid w:val="B6B69730"/>
    <w:rsid w:val="BDDDD460"/>
    <w:rsid w:val="BE1B134F"/>
    <w:rsid w:val="DEFC37BB"/>
    <w:rsid w:val="ED6CB544"/>
    <w:rsid w:val="EFD70286"/>
    <w:rsid w:val="FCFE0F3C"/>
    <w:rsid w:val="FD0F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qFormat/>
    <w:uiPriority w:val="0"/>
    <w:pPr>
      <w:keepNext/>
      <w:keepLines/>
      <w:numPr>
        <w:ilvl w:val="3"/>
        <w:numId w:val="1"/>
      </w:numPr>
      <w:tabs>
        <w:tab w:val="left" w:pos="2424"/>
      </w:tabs>
      <w:spacing w:before="280" w:after="290" w:line="372"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eastAsia="宋体"/>
      <w:b/>
      <w:bCs/>
      <w:sz w:val="32"/>
      <w:szCs w:val="32"/>
      <w:lang w:bidi="he-IL"/>
    </w:rPr>
  </w:style>
  <w:style w:type="paragraph" w:styleId="3">
    <w:name w:val="Body Text Indent"/>
    <w:basedOn w:val="1"/>
    <w:next w:val="4"/>
    <w:qFormat/>
    <w:uiPriority w:val="99"/>
    <w:pPr>
      <w:ind w:firstLine="640" w:firstLineChars="200"/>
    </w:pPr>
    <w:rPr>
      <w:rFonts w:eastAsia="仿宋_GB2312"/>
      <w:sz w:val="32"/>
    </w:rPr>
  </w:style>
  <w:style w:type="paragraph" w:styleId="4">
    <w:name w:val="Normal Indent"/>
    <w:basedOn w:val="1"/>
    <w:next w:val="5"/>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Body Text"/>
    <w:basedOn w:val="1"/>
    <w:next w:val="8"/>
    <w:qFormat/>
    <w:uiPriority w:val="0"/>
    <w:rPr>
      <w:rFonts w:ascii="Arial" w:hAnsi="Arial" w:eastAsia="Arial" w:cs="Arial"/>
      <w:sz w:val="21"/>
      <w:szCs w:val="21"/>
      <w:lang w:val="en-US" w:eastAsia="en-US"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index 9"/>
    <w:basedOn w:val="1"/>
    <w:next w:val="1"/>
    <w:qFormat/>
    <w:uiPriority w:val="0"/>
    <w:pPr>
      <w:ind w:left="336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1987</Words>
  <Characters>2009</Characters>
  <Lines>0</Lines>
  <Paragraphs>0</Paragraphs>
  <TotalTime>6</TotalTime>
  <ScaleCrop>false</ScaleCrop>
  <LinksUpToDate>false</LinksUpToDate>
  <CharactersWithSpaces>2034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2025-02-22T00:42:00Z</dcterms:created>
  <dc:creator>wht</dc:creator>
  <cp:lastModifiedBy>aaa</cp:lastModifiedBy>
  <cp:lastPrinted>2025-06-05T22:57:00Z</cp:lastPrinted>
  <dcterms:modified xsi:type="dcterms:W3CDTF">2025-06-09T10:54:43Z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eyJoZGlkIjoiNDE3NGU2NDBjZmFlZjc3ZTlkMWU5NWMxZWRiNWI2M2MiLCJ1c2VySWQiOiIyNjEzOTI2ODkifQ==</vt:lpwstr>
  </property>
  <property fmtid="{D5CDD505-2E9C-101B-9397-08002B2CF9AE}" pid="4" name="ICV">
    <vt:lpwstr>621AF6C14363458BB501889CC9D9A5DA_13</vt:lpwstr>
  </property>
</Properties>
</file>