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w w:val="10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i w:val="0"/>
          <w:caps w:val="0"/>
          <w:color w:val="auto"/>
          <w:spacing w:val="0"/>
          <w:w w:val="100"/>
          <w:sz w:val="44"/>
          <w:szCs w:val="44"/>
          <w:highlight w:val="none"/>
          <w:lang w:val="en-US" w:eastAsia="zh-CN"/>
        </w:rPr>
        <w:t>伊金霍洛旗社会治安综合治理中心</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i w:val="0"/>
          <w:caps w:val="0"/>
          <w:color w:val="auto"/>
          <w:spacing w:val="0"/>
          <w:w w:val="100"/>
          <w:sz w:val="44"/>
          <w:szCs w:val="44"/>
          <w:highlight w:val="none"/>
          <w:lang w:val="en-US" w:eastAsia="zh-CN"/>
        </w:rPr>
        <w:t>2023年度上半年工作总结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val="0"/>
          <w:bCs w:val="0"/>
          <w:color w:val="auto"/>
          <w:kern w:val="2"/>
          <w:sz w:val="32"/>
          <w:szCs w:val="32"/>
          <w:lang w:val="en-US" w:eastAsia="zh-CN" w:bidi="ar-SA"/>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今年以来，旗社会治安综合治理中心坚持以习近平新时代中国特色社会主义思想为指导， 围绕“平安建设”这条主线，以“创新推进‘大调解’机制”为载体，以构建社会治安综合治理体系为抓手，紧扣“五治融合”市域社会治理工作要求，扎实开展矛盾纠纷多元化解，全力推进网格化服务管理、公共法律服务平台建设等工作，切实履行“防风险、促和谐、护稳定、保发展”责任使命，现就2023年上半年工作总结如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黑体" w:hAnsi="黑体" w:eastAsia="黑体" w:cs="黑体"/>
          <w:b w:val="0"/>
          <w:bCs w:val="0"/>
          <w:color w:val="auto"/>
          <w:spacing w:val="30"/>
          <w:kern w:val="0"/>
          <w:sz w:val="32"/>
          <w:szCs w:val="32"/>
          <w:lang w:val="en-US" w:eastAsia="zh-CN" w:bidi="ar"/>
        </w:rPr>
      </w:pPr>
      <w:r>
        <w:rPr>
          <w:rFonts w:hint="eastAsia" w:ascii="黑体" w:hAnsi="黑体" w:eastAsia="黑体" w:cs="黑体"/>
          <w:b w:val="0"/>
          <w:bCs w:val="0"/>
          <w:color w:val="auto"/>
          <w:spacing w:val="30"/>
          <w:kern w:val="0"/>
          <w:sz w:val="32"/>
          <w:szCs w:val="32"/>
          <w:lang w:val="en-US" w:eastAsia="zh-CN" w:bidi="ar"/>
        </w:rPr>
        <w:t>一、压紧压实责任，夯实治理根基</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（一）强化组织领导，凝聚强大合力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上半年中心先后召开干部大会6次，主任会议3次，开展党员固定活动6次，会上讨论研究完善队伍建设、改革矛盾纠纷化解等各项工作，严格落实一月一次分析研判会议制度和集中学习制度，在机关形成主任亲自抓、副主任统筹抓、各股室负责人具体抓的链条机制，构建一级抓一级、层层抓落实的工作格局，确保各项工作顺利推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（二）强化队伍建设，提升服务水平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为落实分级分类培训制度，按照实际工作需求，中心上半年组织全体干部参加线上知识讲座3次，组织调解员参加线上培训3次。同时，各级综治中心通过短期集训、以会代训、集中培训等多种形式，对网格员开展各类培训9次，有效地提高了网格员的责任意识和业务水平，为真正实现“小网格”服务“大民生”提供了坚实的基础。</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（三）强化网格布局，激活治理效能</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为进一步完善和延伸网格触角，打造动态化智慧网格，中心对现有的342个网格进行再调整再优化，每个网格设立唯一编码，配优配强1296名网格员工作力量，实现政策法规宣传、社情民意收集、矛盾纠纷排查、人员信息摸排全覆盖，确保“人在网格走，事在网格办”。同时，依托网格员考核”APP，围绕“实有人口、特殊人群、社会治安、矛盾纠纷”等八大模块全方位采集录入各类基本信息。截至目前，各级网格员共录入175716人，上半年共排查安全隐患1115起，开展政策宣传157次，排查化解矛盾纠纷360起。</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黑体" w:hAnsi="黑体" w:eastAsia="黑体" w:cs="黑体"/>
          <w:b w:val="0"/>
          <w:bCs w:val="0"/>
          <w:color w:val="auto"/>
          <w:spacing w:val="30"/>
          <w:kern w:val="0"/>
          <w:sz w:val="32"/>
          <w:szCs w:val="32"/>
          <w:lang w:val="en-US" w:eastAsia="zh-CN" w:bidi="ar"/>
        </w:rPr>
      </w:pPr>
      <w:r>
        <w:rPr>
          <w:rFonts w:hint="eastAsia" w:ascii="黑体" w:hAnsi="黑体" w:eastAsia="黑体" w:cs="黑体"/>
          <w:b w:val="0"/>
          <w:bCs w:val="0"/>
          <w:color w:val="auto"/>
          <w:spacing w:val="30"/>
          <w:kern w:val="0"/>
          <w:sz w:val="32"/>
          <w:szCs w:val="32"/>
          <w:lang w:val="en-US" w:eastAsia="zh-CN" w:bidi="ar"/>
        </w:rPr>
        <w:t>二、注重源头治理，维护大局稳定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（一）增强“三调联动”，根除风险隐患</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按照“四总三联动，三变促善治”的工作思路，建立矛盾纠纷排查化解机制，落实日排查、周汇总、月研判、季通报、常态化督导五项制度，达到快速、简捷、有效处理各类矛盾纠纷，充分发挥品牌调解室和心理咨询室作用，整合综治、司法、公安等资源力量，推进人民调解、行政调解、司法调解“三调联动”，确保矛盾纠纷化解在基层、解决在源头。上半年，中心共登记各类案件587件，调解成功282件（当即履行215件，公证10件，司法确认57件），导入诉讼程序69件，正在化解236件，化解率80%。</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增强案件评查，提升督办质效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60" w:firstLineChars="200"/>
        <w:jc w:val="both"/>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本着实事求是、注重实效、依法办事的原则，中心上半年共督办评定旗级各类案件497件，其中督办150件，评定合格347件；镇村两级上半年共受理案件929件，成功化解案件838件，化解率达95%；镇村两级上半年共整理上报案卷69件，评定合格案卷69件。确保案件在规定时间内高质量办结，案件管理工作水平及案件的办理时效不断完善提高，群众满意率不断升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sz w:val="32"/>
          <w:szCs w:val="32"/>
          <w:lang w:val="en-US" w:eastAsia="zh-CN"/>
        </w:rPr>
        <w:t>2023年第一季度，督办评定股共评定案件117件，根据“以案补贴”标准核算出补贴总金额31400元；第二季度，共评定案件229件，补贴总金额62800元；均已发放完毕。</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增强源头预防，优化接访服务</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充分发挥中心“一站式”服务平台作用，积极引导群众表达诉求，及时受理群众的信访事项，紧盯群众难心事、烦心事、揪心事，勤沟通、多交流，把脉问诊，找准问题症结，按照“统一受理、统一研判、统一处置、统一办结”的原则，实现信访事件由“被动处置”到“主动介入”的转变。上半年办理群众来信来访事件2件，12345接诉即办工单2件，按时签收率和期限内办结率均为100%。</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黑体" w:hAnsi="黑体" w:eastAsia="黑体" w:cs="黑体"/>
          <w:b w:val="0"/>
          <w:bCs w:val="0"/>
          <w:color w:val="auto"/>
          <w:spacing w:val="30"/>
          <w:kern w:val="0"/>
          <w:sz w:val="32"/>
          <w:szCs w:val="32"/>
          <w:lang w:val="en-US" w:eastAsia="zh-CN" w:bidi="ar"/>
        </w:rPr>
        <w:t>三、盯重点抓难点，推动平安建设  </w:t>
      </w:r>
      <w:r>
        <w:rPr>
          <w:rFonts w:hint="eastAsia" w:ascii="仿宋" w:hAnsi="仿宋" w:eastAsia="仿宋" w:cs="仿宋"/>
          <w:b w:val="0"/>
          <w:bCs w:val="0"/>
          <w:color w:val="auto"/>
          <w:spacing w:val="30"/>
          <w:kern w:val="0"/>
          <w:sz w:val="32"/>
          <w:szCs w:val="32"/>
          <w:lang w:val="en-US" w:eastAsia="zh-CN" w:bidi="ar"/>
        </w:rPr>
        <w:t xml:space="preserve">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（一）加强普法宣传，筑牢法治屏障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围绕扫黑除恶斗争、反电信诈骗、反邪教、“民法典”普法宣传等专项工作，中心开展集中宣传活动3次，在街道、社区等人员密集场所悬挂横幅6条、发放宣传手册及宣传品300余份，在宣传现场采用群众喜闻乐见的方式以案说法，用通俗易懂的语言向群众宣讲生活中常见的矛盾纠纷案例，对关系到群众切身利益的财产纠纷、婚姻家庭、邻里纠纷、民间借贷等问题进行了耐心的解读，教育引导大家树立办事依法、遇事找法、解决问题用法、化解矛盾靠法的法治观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（二）加强交流学习，共同助力发展</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上半年，中心共接待上级领导调研督导、同级单位交流学习、以及媒体、学院等团体考察观摩21次，接待296人次，通过多次相互学习借鉴和交流探讨，拓宽了工作思路，建立了紧密的交流互动关系，形成了互相学习、优势互补、共同发展的良好氛围，对中心今后的工作方向和方法都具有很强的指导意义，对各地区协同推进鄂尔多斯市域社会治理现代化工作再上新台阶打下坚实基础。</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楷体" w:hAnsi="楷体" w:eastAsia="楷体" w:cs="楷体"/>
          <w:b w:val="0"/>
          <w:bCs w:val="0"/>
          <w:color w:val="auto"/>
          <w:spacing w:val="30"/>
          <w:kern w:val="0"/>
          <w:sz w:val="32"/>
          <w:szCs w:val="32"/>
          <w:lang w:val="en-US" w:eastAsia="zh-CN" w:bidi="ar"/>
        </w:rPr>
      </w:pPr>
      <w:r>
        <w:rPr>
          <w:rFonts w:hint="eastAsia" w:ascii="楷体" w:hAnsi="楷体" w:eastAsia="楷体" w:cs="楷体"/>
          <w:b w:val="0"/>
          <w:bCs w:val="0"/>
          <w:color w:val="auto"/>
          <w:spacing w:val="30"/>
          <w:kern w:val="0"/>
          <w:sz w:val="32"/>
          <w:szCs w:val="32"/>
          <w:lang w:val="en-US" w:eastAsia="zh-CN" w:bidi="ar"/>
        </w:rPr>
        <w:t>（三）加强信息支撑，丰富“智治”建设</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今年以来，中心对服务大厅展开整体优化、提档升级，改造了服务台、宣传展板以及窗口的布局，使大厅视野更加开阔明亮，布局更加合理便民，同时引进了“律兜”信息综合一体机，该智能终端设备，集在线服务、信息展示、法律咨询、预约登记于一体，能通过视频连线及时准确解答群众的困惑，让群众免费享受到在线律师的专业服务，真正打通了服务群众的“最后一公里”，有效提升了公共法律服务工作水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60" w:firstLineChars="200"/>
        <w:textAlignment w:val="auto"/>
        <w:outlineLvl w:val="9"/>
        <w:rPr>
          <w:rFonts w:hint="eastAsia" w:ascii="仿宋" w:hAnsi="仿宋" w:eastAsia="仿宋" w:cs="仿宋"/>
          <w:b w:val="0"/>
          <w:bCs w:val="0"/>
          <w:color w:val="auto"/>
          <w:spacing w:val="30"/>
          <w:kern w:val="0"/>
          <w:sz w:val="32"/>
          <w:szCs w:val="32"/>
          <w:lang w:val="en-US" w:eastAsia="zh-CN" w:bidi="ar"/>
        </w:rPr>
      </w:pPr>
      <w:r>
        <w:rPr>
          <w:rFonts w:hint="eastAsia" w:ascii="仿宋" w:hAnsi="仿宋" w:eastAsia="仿宋" w:cs="仿宋"/>
          <w:b w:val="0"/>
          <w:bCs w:val="0"/>
          <w:color w:val="auto"/>
          <w:spacing w:val="30"/>
          <w:kern w:val="0"/>
          <w:sz w:val="32"/>
          <w:szCs w:val="32"/>
          <w:lang w:val="en-US" w:eastAsia="zh-CN" w:bidi="ar"/>
        </w:rPr>
        <w:t>下一步，中心将把数字化和信息化建设作为加强和创新基层治理的重要支撑和助力，进一步丰富为民办实事举措，着力构建集高效多元、便民利民、智慧精准、交融共享于一体的现代化矛盾纠纷多元化解体系，提高智慧司法服务效率，满足当事人对司法工作的新期待、新要求，不断探索打造具有伊金霍洛特色、时代特征的法治化、智能化、专业化、实体化社会治理体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A"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8642B"/>
    <w:multiLevelType w:val="singleLevel"/>
    <w:tmpl w:val="E01864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YjliN2VjODhjNDMwYjJkMDIwMjMzZTNjMzk1YTkifQ=="/>
  </w:docVars>
  <w:rsids>
    <w:rsidRoot w:val="7CFC755C"/>
    <w:rsid w:val="031D5CD5"/>
    <w:rsid w:val="078B0E62"/>
    <w:rsid w:val="0B0958BF"/>
    <w:rsid w:val="0DA80489"/>
    <w:rsid w:val="1D571020"/>
    <w:rsid w:val="27CD3D28"/>
    <w:rsid w:val="28ED3E13"/>
    <w:rsid w:val="339C5118"/>
    <w:rsid w:val="37715C5E"/>
    <w:rsid w:val="3C465E49"/>
    <w:rsid w:val="4237428A"/>
    <w:rsid w:val="47077647"/>
    <w:rsid w:val="4AA673C3"/>
    <w:rsid w:val="554F46A0"/>
    <w:rsid w:val="5BEC5F31"/>
    <w:rsid w:val="5D917F3F"/>
    <w:rsid w:val="5E60434C"/>
    <w:rsid w:val="5EB730F3"/>
    <w:rsid w:val="63E61D7D"/>
    <w:rsid w:val="64470ADE"/>
    <w:rsid w:val="67236294"/>
    <w:rsid w:val="6C712A09"/>
    <w:rsid w:val="705E3248"/>
    <w:rsid w:val="72E00BA3"/>
    <w:rsid w:val="74617A88"/>
    <w:rsid w:val="78D92401"/>
    <w:rsid w:val="79D91FED"/>
    <w:rsid w:val="7B2F2866"/>
    <w:rsid w:val="7BE3079A"/>
    <w:rsid w:val="7C390516"/>
    <w:rsid w:val="7CFC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rPr>
  </w:style>
  <w:style w:type="paragraph" w:styleId="3">
    <w:name w:val="Body Text Indent"/>
    <w:basedOn w:val="1"/>
    <w:qFormat/>
    <w:uiPriority w:val="0"/>
    <w:pPr>
      <w:ind w:firstLine="680"/>
    </w:pPr>
    <w:rPr>
      <w:rFonts w:ascii="仿宋_GB2312" w:hAnsi="创艺简标宋"/>
    </w:rPr>
  </w:style>
  <w:style w:type="paragraph" w:styleId="5">
    <w:name w:val="Normal Indent"/>
    <w:basedOn w:val="1"/>
    <w:qFormat/>
    <w:uiPriority w:val="0"/>
    <w:pPr>
      <w:autoSpaceDE w:val="0"/>
      <w:autoSpaceDN w:val="0"/>
      <w:adjustRightInd w:val="0"/>
      <w:ind w:firstLine="420"/>
      <w:jc w:val="left"/>
    </w:pPr>
    <w:rPr>
      <w:rFonts w:ascii="宋体"/>
      <w:kern w:val="0"/>
      <w:sz w:val="24"/>
    </w:rPr>
  </w:style>
  <w:style w:type="paragraph" w:styleId="6">
    <w:name w:val="Body Text"/>
    <w:basedOn w:val="1"/>
    <w:next w:val="7"/>
    <w:qFormat/>
    <w:uiPriority w:val="0"/>
    <w:pPr>
      <w:ind w:left="106"/>
    </w:pPr>
    <w:rPr>
      <w:rFonts w:ascii="宋体" w:hAnsi="宋体" w:eastAsia="宋体" w:cs="宋体"/>
      <w:sz w:val="32"/>
      <w:szCs w:val="32"/>
      <w:lang w:val="zh-CN" w:eastAsia="zh-CN" w:bidi="zh-CN"/>
    </w:rPr>
  </w:style>
  <w:style w:type="paragraph" w:customStyle="1" w:styleId="7">
    <w:name w:val="index 9"/>
    <w:basedOn w:val="1"/>
    <w:next w:val="1"/>
    <w:qFormat/>
    <w:uiPriority w:val="0"/>
    <w:pPr>
      <w:ind w:left="336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Text"/>
    <w:basedOn w:val="1"/>
    <w:qFormat/>
    <w:uiPriority w:val="0"/>
    <w:pPr>
      <w:spacing w:after="120" w:line="240" w:lineRule="auto"/>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2022-02-10T01:58:00Z</dcterms:created>
  <dc:creator>Administrator</dc:creator>
  <cp:lastModifiedBy>Administrator</cp:lastModifiedBy>
  <dcterms:modified xsi:type="dcterms:W3CDTF">2023-11-27T08:01:20Z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F9DCF8BF45744B8B8FECEEC9D2E95E6B_13</vt:lpwstr>
  </property>
</Properties>
</file>