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3C304E">
      <w:pPr>
        <w:spacing w:line="249" w:lineRule="auto"/>
        <w:rPr>
          <w:rFonts w:ascii="Arial"/>
          <w:sz w:val="21"/>
        </w:rPr>
      </w:pPr>
    </w:p>
    <w:p w14:paraId="3DDE3FB7">
      <w:pPr>
        <w:spacing w:line="249" w:lineRule="auto"/>
        <w:rPr>
          <w:rFonts w:ascii="Arial"/>
          <w:sz w:val="21"/>
        </w:rPr>
      </w:pPr>
    </w:p>
    <w:p w14:paraId="1447C21E">
      <w:pPr>
        <w:pStyle w:val="2"/>
        <w:spacing w:before="101" w:line="224" w:lineRule="auto"/>
        <w:ind w:left="450"/>
        <w:jc w:val="center"/>
        <w:outlineLvl w:val="0"/>
        <w:rPr>
          <w:rFonts w:hint="eastAsia" w:ascii="宋体" w:hAnsi="宋体" w:eastAsia="宋体" w:cs="宋体"/>
          <w:b/>
          <w:bCs/>
          <w:spacing w:val="-5"/>
          <w:sz w:val="32"/>
          <w:szCs w:val="32"/>
        </w:rPr>
      </w:pPr>
      <w:r>
        <w:rPr>
          <w:rFonts w:hint="eastAsia" w:ascii="宋体" w:hAnsi="宋体" w:eastAsia="宋体" w:cs="宋体"/>
          <w:b/>
          <w:bCs/>
          <w:spacing w:val="-5"/>
          <w:sz w:val="32"/>
          <w:szCs w:val="32"/>
        </w:rPr>
        <w:t>伊金霍洛旗2025年</w:t>
      </w:r>
    </w:p>
    <w:p w14:paraId="6FE67822">
      <w:pPr>
        <w:pStyle w:val="2"/>
        <w:spacing w:before="101" w:line="224" w:lineRule="auto"/>
        <w:ind w:left="450"/>
        <w:jc w:val="center"/>
        <w:outlineLvl w:val="0"/>
        <w:rPr>
          <w:rFonts w:hint="eastAsia" w:ascii="宋体" w:hAnsi="宋体" w:eastAsia="宋体" w:cs="宋体"/>
          <w:b/>
          <w:bCs/>
          <w:spacing w:val="-5"/>
          <w:sz w:val="32"/>
          <w:szCs w:val="32"/>
        </w:rPr>
      </w:pPr>
      <w:r>
        <w:rPr>
          <w:rFonts w:hint="eastAsia" w:ascii="宋体" w:hAnsi="宋体" w:eastAsia="宋体" w:cs="宋体"/>
          <w:b/>
          <w:bCs/>
          <w:spacing w:val="-5"/>
          <w:sz w:val="32"/>
          <w:szCs w:val="32"/>
          <w:lang w:val="en-US" w:eastAsia="zh-CN"/>
        </w:rPr>
        <w:t>大量元素</w:t>
      </w:r>
      <w:r>
        <w:rPr>
          <w:rFonts w:hint="eastAsia" w:ascii="宋体" w:hAnsi="宋体" w:eastAsia="宋体" w:cs="宋体"/>
          <w:b/>
          <w:bCs/>
          <w:spacing w:val="-5"/>
          <w:sz w:val="32"/>
          <w:szCs w:val="32"/>
        </w:rPr>
        <w:t>水溶肥料产品质量监督抽查实施细则</w:t>
      </w:r>
    </w:p>
    <w:p w14:paraId="6280C5B5">
      <w:pPr>
        <w:pStyle w:val="2"/>
        <w:spacing w:before="101" w:line="224" w:lineRule="auto"/>
        <w:ind w:left="450"/>
        <w:jc w:val="center"/>
        <w:outlineLvl w:val="0"/>
        <w:rPr>
          <w:rFonts w:hint="eastAsia" w:ascii="宋体" w:hAnsi="宋体" w:eastAsia="宋体" w:cs="宋体"/>
          <w:b/>
          <w:bCs/>
          <w:spacing w:val="-5"/>
          <w:sz w:val="32"/>
          <w:szCs w:val="32"/>
        </w:rPr>
      </w:pPr>
    </w:p>
    <w:p w14:paraId="2066F94E">
      <w:pPr>
        <w:spacing w:line="284" w:lineRule="auto"/>
        <w:rPr>
          <w:rFonts w:ascii="Arial"/>
          <w:sz w:val="21"/>
        </w:rPr>
      </w:pPr>
    </w:p>
    <w:p w14:paraId="4ACF5C6B">
      <w:pPr>
        <w:spacing w:line="284" w:lineRule="auto"/>
        <w:rPr>
          <w:rFonts w:ascii="Arial"/>
          <w:sz w:val="21"/>
        </w:rPr>
      </w:pPr>
    </w:p>
    <w:p w14:paraId="3F211B9B">
      <w:pPr>
        <w:spacing w:before="78" w:line="221" w:lineRule="auto"/>
        <w:ind w:left="26"/>
        <w:outlineLvl w:val="0"/>
        <w:rPr>
          <w:rFonts w:ascii="黑体" w:hAnsi="黑体" w:eastAsia="黑体" w:cs="黑体"/>
          <w:sz w:val="24"/>
          <w:szCs w:val="24"/>
        </w:rPr>
      </w:pPr>
      <w:r>
        <w:rPr>
          <w:rFonts w:ascii="黑体" w:hAnsi="黑体" w:eastAsia="黑体" w:cs="黑体"/>
          <w:spacing w:val="-7"/>
          <w:sz w:val="24"/>
          <w:szCs w:val="24"/>
        </w:rPr>
        <w:t>1</w:t>
      </w:r>
      <w:r>
        <w:rPr>
          <w:rFonts w:ascii="黑体" w:hAnsi="黑体" w:eastAsia="黑体" w:cs="黑体"/>
          <w:spacing w:val="12"/>
          <w:sz w:val="24"/>
          <w:szCs w:val="24"/>
        </w:rPr>
        <w:t xml:space="preserve"> </w:t>
      </w:r>
      <w:r>
        <w:rPr>
          <w:rFonts w:ascii="黑体" w:hAnsi="黑体" w:eastAsia="黑体" w:cs="黑体"/>
          <w:spacing w:val="-7"/>
          <w:sz w:val="24"/>
          <w:szCs w:val="24"/>
        </w:rPr>
        <w:t>抽样方法</w:t>
      </w:r>
    </w:p>
    <w:p w14:paraId="257D3A32">
      <w:pPr>
        <w:pStyle w:val="2"/>
        <w:spacing w:before="97" w:line="227" w:lineRule="auto"/>
        <w:ind w:left="456"/>
      </w:pPr>
      <w:r>
        <w:rPr>
          <w:spacing w:val="8"/>
        </w:rPr>
        <w:t>以随机抽样的方式在被抽样生产者、销售者的待销产品中抽取。</w:t>
      </w:r>
    </w:p>
    <w:p w14:paraId="27BEA9D4">
      <w:pPr>
        <w:pStyle w:val="2"/>
        <w:spacing w:before="162" w:line="227" w:lineRule="auto"/>
        <w:ind w:left="444"/>
      </w:pPr>
      <w:r>
        <w:rPr>
          <w:spacing w:val="8"/>
        </w:rPr>
        <w:t>随机数一般可使用随机数表等方法产生。</w:t>
      </w:r>
    </w:p>
    <w:p w14:paraId="1039E73D">
      <w:pPr>
        <w:pStyle w:val="2"/>
        <w:spacing w:before="165" w:line="377" w:lineRule="auto"/>
        <w:ind w:left="15" w:right="52" w:firstLine="420"/>
      </w:pPr>
      <w:r>
        <w:rPr>
          <w:spacing w:val="6"/>
        </w:rPr>
        <w:t>大量元素水溶肥料:视样品的固体液体状态将样品缩分至约</w:t>
      </w:r>
      <w:r>
        <w:rPr>
          <w:spacing w:val="-12"/>
        </w:rPr>
        <w:t xml:space="preserve"> </w:t>
      </w:r>
      <w:r>
        <w:rPr>
          <w:spacing w:val="6"/>
        </w:rPr>
        <w:t>1000g</w:t>
      </w:r>
      <w:r>
        <w:rPr>
          <w:spacing w:val="-35"/>
        </w:rPr>
        <w:t xml:space="preserve"> </w:t>
      </w:r>
      <w:r>
        <w:rPr>
          <w:spacing w:val="6"/>
        </w:rPr>
        <w:t>或</w:t>
      </w:r>
      <w:r>
        <w:rPr>
          <w:spacing w:val="-24"/>
        </w:rPr>
        <w:t xml:space="preserve"> </w:t>
      </w:r>
      <w:r>
        <w:rPr>
          <w:spacing w:val="6"/>
        </w:rPr>
        <w:t>1000</w:t>
      </w:r>
      <w:r>
        <w:t>mL</w:t>
      </w:r>
      <w:r>
        <w:rPr>
          <w:spacing w:val="6"/>
        </w:rPr>
        <w:t>，再缩分成两份，</w:t>
      </w:r>
      <w:r>
        <w:t xml:space="preserve"> </w:t>
      </w:r>
      <w:r>
        <w:rPr>
          <w:spacing w:val="8"/>
        </w:rPr>
        <w:t>分装于</w:t>
      </w:r>
      <w:r>
        <w:rPr>
          <w:spacing w:val="-43"/>
        </w:rPr>
        <w:t xml:space="preserve"> </w:t>
      </w:r>
      <w:r>
        <w:rPr>
          <w:rFonts w:hint="eastAsia" w:ascii="Times New Roman" w:hAnsi="Times New Roman" w:eastAsia="宋体" w:cs="Times New Roman"/>
          <w:spacing w:val="8"/>
          <w:lang w:val="en-US" w:eastAsia="zh-CN"/>
        </w:rPr>
        <w:t>3</w:t>
      </w:r>
      <w:r>
        <w:rPr>
          <w:spacing w:val="8"/>
        </w:rPr>
        <w:t>个洁净、干燥的塑料瓶中。</w:t>
      </w:r>
      <w:r>
        <w:rPr>
          <w:rFonts w:hint="eastAsia" w:ascii="Times New Roman" w:hAnsi="Times New Roman" w:eastAsia="宋体" w:cs="Times New Roman"/>
          <w:spacing w:val="8"/>
          <w:lang w:val="en-US" w:eastAsia="zh-CN"/>
        </w:rPr>
        <w:t>2</w:t>
      </w:r>
      <w:r>
        <w:rPr>
          <w:rFonts w:ascii="Times New Roman" w:hAnsi="Times New Roman" w:eastAsia="Times New Roman" w:cs="Times New Roman"/>
          <w:spacing w:val="8"/>
        </w:rPr>
        <w:t xml:space="preserve"> </w:t>
      </w:r>
      <w:r>
        <w:rPr>
          <w:spacing w:val="8"/>
        </w:rPr>
        <w:t>瓶作为检验样</w:t>
      </w:r>
      <w:r>
        <w:rPr>
          <w:spacing w:val="7"/>
        </w:rPr>
        <w:t>品，另</w:t>
      </w:r>
      <w:r>
        <w:rPr>
          <w:spacing w:val="-23"/>
        </w:rPr>
        <w:t xml:space="preserve"> </w:t>
      </w:r>
      <w:r>
        <w:rPr>
          <w:rFonts w:ascii="Times New Roman" w:hAnsi="Times New Roman" w:eastAsia="Times New Roman" w:cs="Times New Roman"/>
          <w:spacing w:val="7"/>
        </w:rPr>
        <w:t xml:space="preserve">1 </w:t>
      </w:r>
      <w:r>
        <w:rPr>
          <w:spacing w:val="7"/>
        </w:rPr>
        <w:t>瓶作为备用样品。</w:t>
      </w:r>
    </w:p>
    <w:p w14:paraId="63F6CD29">
      <w:pPr>
        <w:pStyle w:val="2"/>
        <w:spacing w:before="2" w:line="370" w:lineRule="auto"/>
        <w:ind w:left="12" w:firstLine="420"/>
        <w:jc w:val="both"/>
      </w:pPr>
      <w:r>
        <w:rPr>
          <w:spacing w:val="7"/>
        </w:rPr>
        <w:t>含腐植酸水溶肥料、</w:t>
      </w:r>
      <w:r>
        <w:rPr>
          <w:spacing w:val="7"/>
          <w:sz w:val="22"/>
          <w:szCs w:val="22"/>
        </w:rPr>
        <w:t>微量元素水溶肥料、</w:t>
      </w:r>
      <w:r>
        <w:rPr>
          <w:spacing w:val="7"/>
        </w:rPr>
        <w:t>含氨基</w:t>
      </w:r>
      <w:r>
        <w:rPr>
          <w:spacing w:val="6"/>
        </w:rPr>
        <w:t>酸</w:t>
      </w:r>
      <w:r>
        <w:rPr>
          <w:spacing w:val="6"/>
          <w:sz w:val="22"/>
          <w:szCs w:val="22"/>
        </w:rPr>
        <w:t>水溶肥料</w:t>
      </w:r>
      <w:r>
        <w:rPr>
          <w:spacing w:val="6"/>
        </w:rPr>
        <w:t>: 视样品的固体液体状态将样品</w:t>
      </w:r>
      <w:r>
        <w:t xml:space="preserve"> </w:t>
      </w:r>
      <w:r>
        <w:rPr>
          <w:spacing w:val="7"/>
        </w:rPr>
        <w:t>缩分至约</w:t>
      </w:r>
      <w:r>
        <w:rPr>
          <w:rFonts w:hint="eastAsia"/>
          <w:spacing w:val="-35"/>
          <w:lang w:val="en-US" w:eastAsia="zh-CN"/>
        </w:rPr>
        <w:t>10</w:t>
      </w:r>
      <w:r>
        <w:rPr>
          <w:spacing w:val="7"/>
        </w:rPr>
        <w:t>00g</w:t>
      </w:r>
      <w:r>
        <w:rPr>
          <w:spacing w:val="-38"/>
        </w:rPr>
        <w:t xml:space="preserve"> </w:t>
      </w:r>
      <w:r>
        <w:rPr>
          <w:spacing w:val="7"/>
        </w:rPr>
        <w:t>或</w:t>
      </w:r>
      <w:r>
        <w:rPr>
          <w:spacing w:val="-37"/>
        </w:rPr>
        <w:t xml:space="preserve"> </w:t>
      </w:r>
      <w:r>
        <w:rPr>
          <w:rFonts w:hint="eastAsia"/>
          <w:spacing w:val="7"/>
          <w:lang w:val="en-US" w:eastAsia="zh-CN"/>
        </w:rPr>
        <w:t>10</w:t>
      </w:r>
      <w:bookmarkStart w:id="0" w:name="_GoBack"/>
      <w:bookmarkEnd w:id="0"/>
      <w:r>
        <w:rPr>
          <w:spacing w:val="7"/>
        </w:rPr>
        <w:t>00</w:t>
      </w:r>
      <w:r>
        <w:t>mL</w:t>
      </w:r>
      <w:r>
        <w:rPr>
          <w:spacing w:val="7"/>
        </w:rPr>
        <w:t>，再缩分成两份，分装于</w:t>
      </w:r>
      <w:r>
        <w:rPr>
          <w:rFonts w:hint="eastAsia"/>
          <w:spacing w:val="-41"/>
          <w:lang w:val="en-US" w:eastAsia="zh-CN"/>
        </w:rPr>
        <w:t>3</w:t>
      </w:r>
      <w:r>
        <w:rPr>
          <w:rFonts w:ascii="Times New Roman" w:hAnsi="Times New Roman" w:eastAsia="Times New Roman" w:cs="Times New Roman"/>
          <w:spacing w:val="7"/>
        </w:rPr>
        <w:t xml:space="preserve"> </w:t>
      </w:r>
      <w:r>
        <w:rPr>
          <w:spacing w:val="7"/>
        </w:rPr>
        <w:t>个洁净、干燥的塑料瓶中。</w:t>
      </w:r>
      <w:r>
        <w:rPr>
          <w:rFonts w:hint="eastAsia" w:ascii="Times New Roman" w:hAnsi="Times New Roman" w:eastAsia="宋体" w:cs="Times New Roman"/>
          <w:spacing w:val="6"/>
          <w:lang w:val="en-US" w:eastAsia="zh-CN"/>
        </w:rPr>
        <w:t>2</w:t>
      </w:r>
      <w:r>
        <w:rPr>
          <w:spacing w:val="6"/>
        </w:rPr>
        <w:t>瓶作为检验样品，</w:t>
      </w:r>
      <w:r>
        <w:t xml:space="preserve"> </w:t>
      </w:r>
      <w:r>
        <w:rPr>
          <w:spacing w:val="4"/>
        </w:rPr>
        <w:t>另</w:t>
      </w:r>
      <w:r>
        <w:rPr>
          <w:spacing w:val="-15"/>
        </w:rPr>
        <w:t xml:space="preserve"> </w:t>
      </w:r>
      <w:r>
        <w:rPr>
          <w:rFonts w:ascii="Times New Roman" w:hAnsi="Times New Roman" w:eastAsia="Times New Roman" w:cs="Times New Roman"/>
          <w:spacing w:val="4"/>
        </w:rPr>
        <w:t xml:space="preserve">1 </w:t>
      </w:r>
      <w:r>
        <w:rPr>
          <w:spacing w:val="4"/>
        </w:rPr>
        <w:t>瓶作为备用样品。</w:t>
      </w:r>
    </w:p>
    <w:p w14:paraId="550D259C">
      <w:pPr>
        <w:spacing w:before="82" w:line="222" w:lineRule="auto"/>
        <w:ind w:left="11"/>
        <w:outlineLvl w:val="0"/>
        <w:rPr>
          <w:rFonts w:ascii="黑体" w:hAnsi="黑体" w:eastAsia="黑体" w:cs="黑体"/>
          <w:sz w:val="24"/>
          <w:szCs w:val="24"/>
        </w:rPr>
      </w:pPr>
      <w:r>
        <w:rPr>
          <w:rFonts w:ascii="黑体" w:hAnsi="黑体" w:eastAsia="黑体" w:cs="黑体"/>
          <w:spacing w:val="-2"/>
          <w:sz w:val="24"/>
          <w:szCs w:val="24"/>
        </w:rPr>
        <w:t>2 检验依据</w:t>
      </w:r>
    </w:p>
    <w:p w14:paraId="22C644FA">
      <w:pPr>
        <w:pStyle w:val="2"/>
        <w:spacing w:before="130" w:line="227" w:lineRule="auto"/>
        <w:ind w:left="3362"/>
        <w:outlineLvl w:val="0"/>
      </w:pPr>
      <w:r>
        <w:rPr>
          <w:spacing w:val="3"/>
        </w:rPr>
        <w:t>表</w:t>
      </w:r>
      <w:r>
        <w:rPr>
          <w:spacing w:val="-31"/>
        </w:rPr>
        <w:t xml:space="preserve"> </w:t>
      </w:r>
      <w:r>
        <w:rPr>
          <w:spacing w:val="-60"/>
        </w:rPr>
        <w:t xml:space="preserve"> </w:t>
      </w:r>
      <w:r>
        <w:rPr>
          <w:spacing w:val="3"/>
        </w:rPr>
        <w:t>: 大量元素水溶肥料</w:t>
      </w:r>
    </w:p>
    <w:p w14:paraId="781A8463">
      <w:pPr>
        <w:spacing w:line="92" w:lineRule="exact"/>
      </w:pPr>
    </w:p>
    <w:tbl>
      <w:tblPr>
        <w:tblStyle w:val="5"/>
        <w:tblW w:w="87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44"/>
        <w:gridCol w:w="4202"/>
        <w:gridCol w:w="3547"/>
      </w:tblGrid>
      <w:tr w14:paraId="47DABF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044" w:type="dxa"/>
            <w:vAlign w:val="top"/>
          </w:tcPr>
          <w:p w14:paraId="5B406795">
            <w:pPr>
              <w:spacing w:before="36" w:line="229" w:lineRule="auto"/>
              <w:ind w:left="316"/>
              <w:rPr>
                <w:rFonts w:ascii="宋体" w:hAnsi="宋体" w:eastAsia="宋体" w:cs="宋体"/>
                <w:sz w:val="20"/>
                <w:szCs w:val="20"/>
              </w:rPr>
            </w:pPr>
            <w:r>
              <w:rPr>
                <w:rFonts w:ascii="宋体" w:hAnsi="宋体" w:eastAsia="宋体" w:cs="宋体"/>
                <w:spacing w:val="5"/>
                <w:sz w:val="20"/>
                <w:szCs w:val="20"/>
              </w:rPr>
              <w:t>序号</w:t>
            </w:r>
          </w:p>
        </w:tc>
        <w:tc>
          <w:tcPr>
            <w:tcW w:w="4202" w:type="dxa"/>
            <w:vAlign w:val="top"/>
          </w:tcPr>
          <w:p w14:paraId="029D5DB2">
            <w:pPr>
              <w:spacing w:before="35" w:line="228" w:lineRule="auto"/>
              <w:ind w:left="1685"/>
              <w:rPr>
                <w:rFonts w:ascii="宋体" w:hAnsi="宋体" w:eastAsia="宋体" w:cs="宋体"/>
                <w:sz w:val="20"/>
                <w:szCs w:val="20"/>
              </w:rPr>
            </w:pPr>
            <w:r>
              <w:rPr>
                <w:rFonts w:ascii="宋体" w:hAnsi="宋体" w:eastAsia="宋体" w:cs="宋体"/>
                <w:spacing w:val="7"/>
                <w:sz w:val="20"/>
                <w:szCs w:val="20"/>
              </w:rPr>
              <w:t>检测项目</w:t>
            </w:r>
          </w:p>
        </w:tc>
        <w:tc>
          <w:tcPr>
            <w:tcW w:w="3547" w:type="dxa"/>
            <w:vAlign w:val="top"/>
          </w:tcPr>
          <w:p w14:paraId="01EAAE65">
            <w:pPr>
              <w:spacing w:before="35" w:line="228" w:lineRule="auto"/>
              <w:ind w:left="1359"/>
              <w:rPr>
                <w:rFonts w:ascii="宋体" w:hAnsi="宋体" w:eastAsia="宋体" w:cs="宋体"/>
                <w:sz w:val="20"/>
                <w:szCs w:val="20"/>
              </w:rPr>
            </w:pPr>
            <w:r>
              <w:rPr>
                <w:rFonts w:ascii="宋体" w:hAnsi="宋体" w:eastAsia="宋体" w:cs="宋体"/>
                <w:spacing w:val="7"/>
                <w:sz w:val="20"/>
                <w:szCs w:val="20"/>
              </w:rPr>
              <w:t>检验方法</w:t>
            </w:r>
          </w:p>
        </w:tc>
      </w:tr>
      <w:tr w14:paraId="2DB585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044" w:type="dxa"/>
            <w:vAlign w:val="top"/>
          </w:tcPr>
          <w:p w14:paraId="34974C78">
            <w:pPr>
              <w:pStyle w:val="6"/>
              <w:spacing w:before="105" w:line="195" w:lineRule="auto"/>
              <w:ind w:left="491"/>
            </w:pPr>
            <w:r>
              <w:t>1</w:t>
            </w:r>
          </w:p>
        </w:tc>
        <w:tc>
          <w:tcPr>
            <w:tcW w:w="4202" w:type="dxa"/>
            <w:shd w:val="clear" w:color="auto" w:fill="auto"/>
            <w:vAlign w:val="top"/>
          </w:tcPr>
          <w:p w14:paraId="62309735">
            <w:pPr>
              <w:spacing w:before="128" w:line="228" w:lineRule="auto"/>
              <w:ind w:left="1478"/>
              <w:rPr>
                <w:rFonts w:ascii="宋体" w:hAnsi="宋体" w:eastAsia="宋体" w:cs="宋体"/>
                <w:sz w:val="20"/>
                <w:szCs w:val="20"/>
              </w:rPr>
            </w:pPr>
            <w:r>
              <w:rPr>
                <w:rFonts w:ascii="宋体" w:hAnsi="宋体" w:eastAsia="宋体" w:cs="宋体"/>
                <w:spacing w:val="7"/>
                <w:sz w:val="20"/>
                <w:szCs w:val="20"/>
              </w:rPr>
              <w:t>大量元素含量</w:t>
            </w:r>
          </w:p>
        </w:tc>
        <w:tc>
          <w:tcPr>
            <w:tcW w:w="3547" w:type="dxa"/>
            <w:shd w:val="clear" w:color="auto" w:fill="auto"/>
            <w:vAlign w:val="top"/>
          </w:tcPr>
          <w:p w14:paraId="3CD2E824">
            <w:pPr>
              <w:pStyle w:val="6"/>
              <w:spacing w:before="101" w:line="199" w:lineRule="auto"/>
              <w:ind w:left="1046"/>
            </w:pPr>
            <w:r>
              <w:t>NY</w:t>
            </w:r>
            <w:r>
              <w:rPr>
                <w:spacing w:val="3"/>
              </w:rPr>
              <w:t>/T</w:t>
            </w:r>
            <w:r>
              <w:rPr>
                <w:spacing w:val="26"/>
                <w:w w:val="101"/>
              </w:rPr>
              <w:t xml:space="preserve"> </w:t>
            </w:r>
            <w:r>
              <w:rPr>
                <w:spacing w:val="3"/>
              </w:rPr>
              <w:t>1107-2020</w:t>
            </w:r>
          </w:p>
        </w:tc>
      </w:tr>
      <w:tr w14:paraId="211F9C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044" w:type="dxa"/>
            <w:vAlign w:val="top"/>
          </w:tcPr>
          <w:p w14:paraId="2137AF71">
            <w:pPr>
              <w:pStyle w:val="6"/>
              <w:spacing w:before="104" w:line="195" w:lineRule="auto"/>
              <w:ind w:left="471"/>
            </w:pPr>
            <w:r>
              <w:t>2</w:t>
            </w:r>
          </w:p>
        </w:tc>
        <w:tc>
          <w:tcPr>
            <w:tcW w:w="4202" w:type="dxa"/>
            <w:shd w:val="clear" w:color="auto" w:fill="auto"/>
            <w:vAlign w:val="top"/>
          </w:tcPr>
          <w:p w14:paraId="29C7011E">
            <w:pPr>
              <w:spacing w:before="128" w:line="227" w:lineRule="auto"/>
              <w:ind w:left="1789"/>
              <w:rPr>
                <w:rFonts w:ascii="宋体" w:hAnsi="宋体" w:eastAsia="宋体" w:cs="宋体"/>
                <w:sz w:val="20"/>
                <w:szCs w:val="20"/>
              </w:rPr>
            </w:pPr>
            <w:r>
              <w:rPr>
                <w:rFonts w:ascii="宋体" w:hAnsi="宋体" w:eastAsia="宋体" w:cs="宋体"/>
                <w:spacing w:val="7"/>
                <w:sz w:val="20"/>
                <w:szCs w:val="20"/>
              </w:rPr>
              <w:t>氮含量</w:t>
            </w:r>
          </w:p>
        </w:tc>
        <w:tc>
          <w:tcPr>
            <w:tcW w:w="3547" w:type="dxa"/>
            <w:shd w:val="clear" w:color="auto" w:fill="auto"/>
            <w:vAlign w:val="top"/>
          </w:tcPr>
          <w:p w14:paraId="2C61E96F">
            <w:pPr>
              <w:pStyle w:val="6"/>
              <w:spacing w:before="100" w:line="199" w:lineRule="auto"/>
              <w:ind w:left="1043"/>
            </w:pPr>
            <w:r>
              <w:t>NY</w:t>
            </w:r>
            <w:r>
              <w:rPr>
                <w:spacing w:val="3"/>
              </w:rPr>
              <w:t>/T</w:t>
            </w:r>
            <w:r>
              <w:rPr>
                <w:spacing w:val="33"/>
                <w:w w:val="101"/>
              </w:rPr>
              <w:t xml:space="preserve"> </w:t>
            </w:r>
            <w:r>
              <w:rPr>
                <w:spacing w:val="3"/>
              </w:rPr>
              <w:t>1977-2010</w:t>
            </w:r>
          </w:p>
        </w:tc>
      </w:tr>
      <w:tr w14:paraId="1D6591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044" w:type="dxa"/>
            <w:vAlign w:val="top"/>
          </w:tcPr>
          <w:p w14:paraId="154D91DC">
            <w:pPr>
              <w:pStyle w:val="6"/>
              <w:spacing w:before="104" w:line="195" w:lineRule="auto"/>
              <w:ind w:left="475"/>
            </w:pPr>
            <w:r>
              <w:t>3</w:t>
            </w:r>
          </w:p>
        </w:tc>
        <w:tc>
          <w:tcPr>
            <w:tcW w:w="4202" w:type="dxa"/>
            <w:shd w:val="clear" w:color="auto" w:fill="auto"/>
            <w:vAlign w:val="top"/>
          </w:tcPr>
          <w:p w14:paraId="047FD5AE">
            <w:pPr>
              <w:spacing w:before="128" w:line="228" w:lineRule="auto"/>
              <w:ind w:left="1790"/>
              <w:rPr>
                <w:rFonts w:ascii="宋体" w:hAnsi="宋体" w:eastAsia="宋体" w:cs="宋体"/>
                <w:sz w:val="20"/>
                <w:szCs w:val="20"/>
              </w:rPr>
            </w:pPr>
            <w:r>
              <w:rPr>
                <w:rFonts w:ascii="宋体" w:hAnsi="宋体" w:eastAsia="宋体" w:cs="宋体"/>
                <w:spacing w:val="6"/>
                <w:sz w:val="20"/>
                <w:szCs w:val="20"/>
              </w:rPr>
              <w:t>磷含量</w:t>
            </w:r>
          </w:p>
        </w:tc>
        <w:tc>
          <w:tcPr>
            <w:tcW w:w="3547" w:type="dxa"/>
            <w:shd w:val="clear" w:color="auto" w:fill="auto"/>
            <w:vAlign w:val="top"/>
          </w:tcPr>
          <w:p w14:paraId="23777499">
            <w:pPr>
              <w:pStyle w:val="6"/>
              <w:spacing w:before="100" w:line="199" w:lineRule="auto"/>
              <w:ind w:left="1043"/>
            </w:pPr>
            <w:r>
              <w:t>NY</w:t>
            </w:r>
            <w:r>
              <w:rPr>
                <w:spacing w:val="3"/>
              </w:rPr>
              <w:t>/T</w:t>
            </w:r>
            <w:r>
              <w:rPr>
                <w:spacing w:val="33"/>
                <w:w w:val="101"/>
              </w:rPr>
              <w:t xml:space="preserve"> </w:t>
            </w:r>
            <w:r>
              <w:rPr>
                <w:spacing w:val="3"/>
              </w:rPr>
              <w:t>1977-2010</w:t>
            </w:r>
          </w:p>
        </w:tc>
      </w:tr>
      <w:tr w14:paraId="11B8DC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044" w:type="dxa"/>
            <w:vAlign w:val="top"/>
          </w:tcPr>
          <w:p w14:paraId="459BE215">
            <w:pPr>
              <w:pStyle w:val="6"/>
              <w:spacing w:before="105" w:line="195" w:lineRule="auto"/>
              <w:ind w:left="470"/>
            </w:pPr>
            <w:r>
              <w:rPr>
                <w:spacing w:val="1"/>
              </w:rPr>
              <w:t>4</w:t>
            </w:r>
          </w:p>
        </w:tc>
        <w:tc>
          <w:tcPr>
            <w:tcW w:w="4202" w:type="dxa"/>
            <w:shd w:val="clear" w:color="auto" w:fill="auto"/>
            <w:vAlign w:val="top"/>
          </w:tcPr>
          <w:p w14:paraId="7910D5E1">
            <w:pPr>
              <w:spacing w:before="131" w:line="228" w:lineRule="auto"/>
              <w:ind w:left="1790"/>
              <w:rPr>
                <w:rFonts w:ascii="宋体" w:hAnsi="宋体" w:eastAsia="宋体" w:cs="宋体"/>
                <w:sz w:val="20"/>
                <w:szCs w:val="20"/>
              </w:rPr>
            </w:pPr>
            <w:r>
              <w:rPr>
                <w:rFonts w:ascii="宋体" w:hAnsi="宋体" w:eastAsia="宋体" w:cs="宋体"/>
                <w:spacing w:val="6"/>
                <w:sz w:val="20"/>
                <w:szCs w:val="20"/>
              </w:rPr>
              <w:t>钾含量</w:t>
            </w:r>
          </w:p>
        </w:tc>
        <w:tc>
          <w:tcPr>
            <w:tcW w:w="3547" w:type="dxa"/>
            <w:shd w:val="clear" w:color="auto" w:fill="auto"/>
            <w:vAlign w:val="top"/>
          </w:tcPr>
          <w:p w14:paraId="2C8D0572">
            <w:pPr>
              <w:pStyle w:val="6"/>
              <w:spacing w:before="101" w:line="199" w:lineRule="auto"/>
              <w:ind w:left="1043"/>
            </w:pPr>
            <w:r>
              <w:t>NY</w:t>
            </w:r>
            <w:r>
              <w:rPr>
                <w:spacing w:val="3"/>
              </w:rPr>
              <w:t>/T</w:t>
            </w:r>
            <w:r>
              <w:rPr>
                <w:spacing w:val="33"/>
                <w:w w:val="101"/>
              </w:rPr>
              <w:t xml:space="preserve"> </w:t>
            </w:r>
            <w:r>
              <w:rPr>
                <w:spacing w:val="3"/>
              </w:rPr>
              <w:t>1977-2010</w:t>
            </w:r>
          </w:p>
        </w:tc>
      </w:tr>
      <w:tr w14:paraId="62C81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044" w:type="dxa"/>
            <w:vAlign w:val="top"/>
          </w:tcPr>
          <w:p w14:paraId="2C87FAB7">
            <w:pPr>
              <w:pStyle w:val="6"/>
              <w:spacing w:before="107" w:line="192" w:lineRule="auto"/>
              <w:ind w:left="477"/>
            </w:pPr>
            <w:r>
              <w:t>5</w:t>
            </w:r>
          </w:p>
        </w:tc>
        <w:tc>
          <w:tcPr>
            <w:tcW w:w="4202" w:type="dxa"/>
            <w:shd w:val="clear" w:color="auto" w:fill="auto"/>
            <w:vAlign w:val="top"/>
          </w:tcPr>
          <w:p w14:paraId="3B86F283">
            <w:pPr>
              <w:spacing w:before="130" w:line="228" w:lineRule="auto"/>
              <w:ind w:left="1478"/>
              <w:rPr>
                <w:rFonts w:ascii="宋体" w:hAnsi="宋体" w:eastAsia="宋体" w:cs="宋体"/>
                <w:sz w:val="20"/>
                <w:szCs w:val="20"/>
              </w:rPr>
            </w:pPr>
            <w:r>
              <w:rPr>
                <w:rFonts w:ascii="宋体" w:hAnsi="宋体" w:eastAsia="宋体" w:cs="宋体"/>
                <w:spacing w:val="7"/>
                <w:sz w:val="20"/>
                <w:szCs w:val="20"/>
              </w:rPr>
              <w:t>水不溶物含量</w:t>
            </w:r>
          </w:p>
        </w:tc>
        <w:tc>
          <w:tcPr>
            <w:tcW w:w="3547" w:type="dxa"/>
            <w:shd w:val="clear" w:color="auto" w:fill="auto"/>
            <w:vAlign w:val="top"/>
          </w:tcPr>
          <w:p w14:paraId="6D60DFA2">
            <w:pPr>
              <w:pStyle w:val="6"/>
              <w:spacing w:before="100" w:line="199" w:lineRule="auto"/>
              <w:ind w:left="1043"/>
            </w:pPr>
            <w:r>
              <w:t>NY</w:t>
            </w:r>
            <w:r>
              <w:rPr>
                <w:spacing w:val="3"/>
              </w:rPr>
              <w:t>/T</w:t>
            </w:r>
            <w:r>
              <w:rPr>
                <w:spacing w:val="33"/>
                <w:w w:val="101"/>
              </w:rPr>
              <w:t xml:space="preserve"> </w:t>
            </w:r>
            <w:r>
              <w:rPr>
                <w:spacing w:val="3"/>
              </w:rPr>
              <w:t>1973-2021</w:t>
            </w:r>
          </w:p>
        </w:tc>
      </w:tr>
      <w:tr w14:paraId="51EAAD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044" w:type="dxa"/>
            <w:vAlign w:val="top"/>
          </w:tcPr>
          <w:p w14:paraId="106FE525">
            <w:pPr>
              <w:pStyle w:val="6"/>
              <w:spacing w:before="104" w:line="195" w:lineRule="auto"/>
              <w:ind w:left="476"/>
            </w:pPr>
            <w:r>
              <w:t>6</w:t>
            </w:r>
          </w:p>
        </w:tc>
        <w:tc>
          <w:tcPr>
            <w:tcW w:w="4202" w:type="dxa"/>
            <w:shd w:val="clear" w:color="auto" w:fill="auto"/>
            <w:vAlign w:val="top"/>
          </w:tcPr>
          <w:p w14:paraId="561920EB">
            <w:pPr>
              <w:spacing w:before="130" w:line="228" w:lineRule="auto"/>
              <w:ind w:left="1585"/>
              <w:rPr>
                <w:rFonts w:ascii="宋体" w:hAnsi="宋体" w:eastAsia="宋体" w:cs="宋体"/>
                <w:sz w:val="20"/>
                <w:szCs w:val="20"/>
              </w:rPr>
            </w:pPr>
            <w:r>
              <w:rPr>
                <w:rFonts w:ascii="宋体" w:hAnsi="宋体" w:eastAsia="宋体" w:cs="宋体"/>
                <w:spacing w:val="7"/>
                <w:sz w:val="20"/>
                <w:szCs w:val="20"/>
              </w:rPr>
              <w:t>氯离子含量</w:t>
            </w:r>
          </w:p>
        </w:tc>
        <w:tc>
          <w:tcPr>
            <w:tcW w:w="3547" w:type="dxa"/>
            <w:shd w:val="clear" w:color="auto" w:fill="auto"/>
            <w:vAlign w:val="top"/>
          </w:tcPr>
          <w:p w14:paraId="4C570372">
            <w:pPr>
              <w:pStyle w:val="6"/>
              <w:spacing w:before="100" w:line="199" w:lineRule="auto"/>
              <w:ind w:left="1050"/>
            </w:pPr>
            <w:r>
              <w:t>NY</w:t>
            </w:r>
            <w:r>
              <w:rPr>
                <w:spacing w:val="2"/>
              </w:rPr>
              <w:t>/T</w:t>
            </w:r>
            <w:r>
              <w:rPr>
                <w:spacing w:val="27"/>
                <w:w w:val="101"/>
              </w:rPr>
              <w:t xml:space="preserve"> </w:t>
            </w:r>
            <w:r>
              <w:rPr>
                <w:spacing w:val="2"/>
              </w:rPr>
              <w:t>1117-2010</w:t>
            </w:r>
          </w:p>
        </w:tc>
      </w:tr>
      <w:tr w14:paraId="38BB20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044" w:type="dxa"/>
            <w:vAlign w:val="top"/>
          </w:tcPr>
          <w:p w14:paraId="29A26417">
            <w:pPr>
              <w:pStyle w:val="6"/>
              <w:spacing w:before="109" w:line="192" w:lineRule="auto"/>
              <w:ind w:left="475"/>
            </w:pPr>
            <w:r>
              <w:t>7</w:t>
            </w:r>
          </w:p>
        </w:tc>
        <w:tc>
          <w:tcPr>
            <w:tcW w:w="4202" w:type="dxa"/>
            <w:shd w:val="clear" w:color="auto" w:fill="auto"/>
            <w:vAlign w:val="top"/>
          </w:tcPr>
          <w:p w14:paraId="69D4F8FD">
            <w:pPr>
              <w:pStyle w:val="6"/>
              <w:spacing w:before="130" w:line="221" w:lineRule="auto"/>
              <w:ind w:left="1837"/>
              <w:rPr>
                <w:rFonts w:ascii="宋体" w:hAnsi="宋体" w:eastAsia="宋体" w:cs="宋体"/>
              </w:rPr>
            </w:pPr>
            <w:r>
              <w:t>pH</w:t>
            </w:r>
            <w:r>
              <w:rPr>
                <w:spacing w:val="11"/>
              </w:rPr>
              <w:t xml:space="preserve"> </w:t>
            </w:r>
            <w:r>
              <w:rPr>
                <w:rFonts w:ascii="宋体" w:hAnsi="宋体" w:eastAsia="宋体" w:cs="宋体"/>
                <w:spacing w:val="13"/>
              </w:rPr>
              <w:t>值</w:t>
            </w:r>
          </w:p>
        </w:tc>
        <w:tc>
          <w:tcPr>
            <w:tcW w:w="3547" w:type="dxa"/>
            <w:shd w:val="clear" w:color="auto" w:fill="auto"/>
            <w:vAlign w:val="top"/>
          </w:tcPr>
          <w:p w14:paraId="72036548">
            <w:pPr>
              <w:pStyle w:val="6"/>
              <w:spacing w:before="102" w:line="199" w:lineRule="auto"/>
              <w:ind w:left="1043"/>
            </w:pPr>
            <w:r>
              <w:t>NY</w:t>
            </w:r>
            <w:r>
              <w:rPr>
                <w:spacing w:val="3"/>
              </w:rPr>
              <w:t>/T</w:t>
            </w:r>
            <w:r>
              <w:rPr>
                <w:spacing w:val="33"/>
                <w:w w:val="101"/>
              </w:rPr>
              <w:t xml:space="preserve"> </w:t>
            </w:r>
            <w:r>
              <w:rPr>
                <w:spacing w:val="3"/>
              </w:rPr>
              <w:t>1973-2021</w:t>
            </w:r>
          </w:p>
        </w:tc>
      </w:tr>
      <w:tr w14:paraId="7649C2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044" w:type="dxa"/>
            <w:vAlign w:val="top"/>
          </w:tcPr>
          <w:p w14:paraId="4AAE6262">
            <w:pPr>
              <w:pStyle w:val="6"/>
              <w:spacing w:before="106" w:line="195" w:lineRule="auto"/>
              <w:ind w:left="480"/>
            </w:pPr>
            <w:r>
              <w:t>8</w:t>
            </w:r>
          </w:p>
        </w:tc>
        <w:tc>
          <w:tcPr>
            <w:tcW w:w="4202" w:type="dxa"/>
            <w:shd w:val="clear" w:color="auto" w:fill="auto"/>
            <w:vAlign w:val="top"/>
          </w:tcPr>
          <w:p w14:paraId="67D1BEFF">
            <w:pPr>
              <w:spacing w:before="130" w:line="227"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粒度</w:t>
            </w:r>
          </w:p>
        </w:tc>
        <w:tc>
          <w:tcPr>
            <w:tcW w:w="3547" w:type="dxa"/>
            <w:shd w:val="clear" w:color="auto" w:fill="auto"/>
            <w:vAlign w:val="top"/>
          </w:tcPr>
          <w:p w14:paraId="4B06AB24">
            <w:pPr>
              <w:pStyle w:val="6"/>
              <w:spacing w:before="102" w:line="199" w:lineRule="auto"/>
              <w:ind w:left="1043"/>
            </w:pPr>
            <w:r>
              <w:rPr>
                <w:rFonts w:hint="eastAsia"/>
              </w:rPr>
              <w:t>NY/T 3036-2016</w:t>
            </w:r>
          </w:p>
        </w:tc>
      </w:tr>
      <w:tr w14:paraId="726C87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044" w:type="dxa"/>
            <w:vAlign w:val="top"/>
          </w:tcPr>
          <w:p w14:paraId="5B4897FE">
            <w:pPr>
              <w:pStyle w:val="6"/>
              <w:spacing w:before="107" w:line="195" w:lineRule="auto"/>
              <w:ind w:left="475"/>
            </w:pPr>
            <w:r>
              <w:t>9</w:t>
            </w:r>
          </w:p>
        </w:tc>
        <w:tc>
          <w:tcPr>
            <w:tcW w:w="4202" w:type="dxa"/>
            <w:shd w:val="clear" w:color="auto" w:fill="auto"/>
            <w:vAlign w:val="top"/>
          </w:tcPr>
          <w:p w14:paraId="58B4CEA8">
            <w:pPr>
              <w:pStyle w:val="6"/>
              <w:spacing w:before="134" w:line="221" w:lineRule="auto"/>
              <w:ind w:left="883" w:leftChars="0"/>
            </w:pPr>
            <w:r>
              <w:rPr>
                <w:rFonts w:ascii="宋体" w:hAnsi="宋体" w:eastAsia="宋体" w:cs="宋体"/>
                <w:spacing w:val="8"/>
              </w:rPr>
              <w:t>水分</w:t>
            </w:r>
            <w:r>
              <w:rPr>
                <w:spacing w:val="8"/>
              </w:rPr>
              <w:t>(</w:t>
            </w:r>
            <w:r>
              <w:rPr>
                <w:rFonts w:ascii="宋体" w:hAnsi="宋体" w:eastAsia="宋体" w:cs="宋体"/>
                <w:spacing w:val="8"/>
              </w:rPr>
              <w:t>仅固体产品做此项目</w:t>
            </w:r>
            <w:r>
              <w:rPr>
                <w:spacing w:val="8"/>
              </w:rPr>
              <w:t>)</w:t>
            </w:r>
          </w:p>
        </w:tc>
        <w:tc>
          <w:tcPr>
            <w:tcW w:w="3547" w:type="dxa"/>
            <w:shd w:val="clear" w:color="auto" w:fill="auto"/>
            <w:vAlign w:val="top"/>
          </w:tcPr>
          <w:p w14:paraId="569B6E45">
            <w:pPr>
              <w:pStyle w:val="6"/>
              <w:spacing w:before="104" w:line="199" w:lineRule="auto"/>
              <w:ind w:left="1058" w:leftChars="0"/>
            </w:pPr>
            <w:r>
              <w:t>GB</w:t>
            </w:r>
            <w:r>
              <w:rPr>
                <w:spacing w:val="4"/>
              </w:rPr>
              <w:t>/T</w:t>
            </w:r>
            <w:r>
              <w:rPr>
                <w:spacing w:val="15"/>
              </w:rPr>
              <w:t xml:space="preserve"> </w:t>
            </w:r>
            <w:r>
              <w:rPr>
                <w:spacing w:val="4"/>
              </w:rPr>
              <w:t>8576-2010</w:t>
            </w:r>
          </w:p>
        </w:tc>
      </w:tr>
    </w:tbl>
    <w:p w14:paraId="14C503B9">
      <w:pPr>
        <w:pStyle w:val="2"/>
        <w:spacing w:before="128" w:line="228" w:lineRule="auto"/>
        <w:ind w:left="432"/>
      </w:pPr>
      <w:r>
        <w:rPr>
          <w:spacing w:val="9"/>
        </w:rPr>
        <w:t>执行企业标准、团体标准、地方标准的产品，检验项目参照上述内容执行。</w:t>
      </w:r>
    </w:p>
    <w:p w14:paraId="39B9FA9E">
      <w:pPr>
        <w:pStyle w:val="2"/>
        <w:spacing w:before="220" w:line="421" w:lineRule="auto"/>
        <w:ind w:left="15" w:right="2" w:firstLine="420"/>
      </w:pPr>
      <w:r>
        <w:rPr>
          <w:spacing w:val="11"/>
        </w:rPr>
        <w:t>凡是注日期的文件，其随后所有的修改单（不包括勘误的内容</w:t>
      </w:r>
      <w:r>
        <w:rPr>
          <w:rFonts w:ascii="Times New Roman" w:hAnsi="Times New Roman" w:eastAsia="Times New Roman" w:cs="Times New Roman"/>
          <w:spacing w:val="11"/>
        </w:rPr>
        <w:t>)</w:t>
      </w:r>
      <w:r>
        <w:rPr>
          <w:spacing w:val="11"/>
        </w:rPr>
        <w:t>或修订版不适用于本细则。凡</w:t>
      </w:r>
      <w:r>
        <w:rPr>
          <w:spacing w:val="3"/>
        </w:rPr>
        <w:t xml:space="preserve"> </w:t>
      </w:r>
      <w:r>
        <w:rPr>
          <w:spacing w:val="8"/>
        </w:rPr>
        <w:t>是不注日期的文件，其最新版本适用于本细则。</w:t>
      </w:r>
    </w:p>
    <w:p w14:paraId="1D57D23D">
      <w:pPr>
        <w:spacing w:before="9" w:line="222" w:lineRule="auto"/>
        <w:ind w:left="13"/>
        <w:outlineLvl w:val="1"/>
        <w:rPr>
          <w:rFonts w:ascii="黑体" w:hAnsi="黑体" w:eastAsia="黑体" w:cs="黑体"/>
          <w:sz w:val="24"/>
          <w:szCs w:val="24"/>
        </w:rPr>
      </w:pPr>
      <w:r>
        <w:rPr>
          <w:rFonts w:ascii="黑体" w:hAnsi="黑体" w:eastAsia="黑体" w:cs="黑体"/>
          <w:spacing w:val="-2"/>
          <w:sz w:val="24"/>
          <w:szCs w:val="24"/>
        </w:rPr>
        <w:t>3 判定规则</w:t>
      </w:r>
    </w:p>
    <w:p w14:paraId="28B153EC">
      <w:pPr>
        <w:pStyle w:val="2"/>
        <w:spacing w:before="96" w:line="227" w:lineRule="auto"/>
        <w:ind w:left="12"/>
      </w:pPr>
      <w:r>
        <w:rPr>
          <w:rFonts w:ascii="Times New Roman" w:hAnsi="Times New Roman" w:eastAsia="Times New Roman" w:cs="Times New Roman"/>
          <w:spacing w:val="1"/>
        </w:rPr>
        <w:t>3.</w:t>
      </w:r>
      <w:r>
        <w:rPr>
          <w:rFonts w:ascii="Times New Roman" w:hAnsi="Times New Roman" w:eastAsia="Times New Roman" w:cs="Times New Roman"/>
          <w:spacing w:val="-26"/>
        </w:rPr>
        <w:t xml:space="preserve"> </w:t>
      </w:r>
      <w:r>
        <w:rPr>
          <w:rFonts w:ascii="Times New Roman" w:hAnsi="Times New Roman" w:eastAsia="Times New Roman" w:cs="Times New Roman"/>
          <w:spacing w:val="1"/>
        </w:rPr>
        <w:t>1</w:t>
      </w:r>
      <w:r>
        <w:rPr>
          <w:rFonts w:ascii="Times New Roman" w:hAnsi="Times New Roman" w:eastAsia="Times New Roman" w:cs="Times New Roman"/>
          <w:spacing w:val="11"/>
        </w:rPr>
        <w:t xml:space="preserve"> </w:t>
      </w:r>
      <w:r>
        <w:rPr>
          <w:spacing w:val="1"/>
        </w:rPr>
        <w:t>依据标准</w:t>
      </w:r>
    </w:p>
    <w:p w14:paraId="5D1081AB">
      <w:pPr>
        <w:pStyle w:val="2"/>
        <w:spacing w:before="222" w:line="227" w:lineRule="auto"/>
        <w:ind w:left="421"/>
      </w:pPr>
      <w:r>
        <w:rPr>
          <w:rFonts w:ascii="Times New Roman" w:hAnsi="Times New Roman" w:eastAsia="Times New Roman" w:cs="Times New Roman"/>
        </w:rPr>
        <w:t>NY</w:t>
      </w:r>
      <w:r>
        <w:rPr>
          <w:rFonts w:ascii="Times New Roman" w:hAnsi="Times New Roman" w:eastAsia="Times New Roman" w:cs="Times New Roman"/>
          <w:spacing w:val="5"/>
        </w:rPr>
        <w:t>/T</w:t>
      </w:r>
      <w:r>
        <w:rPr>
          <w:rFonts w:ascii="Times New Roman" w:hAnsi="Times New Roman" w:eastAsia="Times New Roman" w:cs="Times New Roman"/>
          <w:spacing w:val="42"/>
        </w:rPr>
        <w:t xml:space="preserve"> </w:t>
      </w:r>
      <w:r>
        <w:rPr>
          <w:rFonts w:ascii="Times New Roman" w:hAnsi="Times New Roman" w:eastAsia="Times New Roman" w:cs="Times New Roman"/>
          <w:spacing w:val="5"/>
        </w:rPr>
        <w:t>1107-2020</w:t>
      </w:r>
      <w:r>
        <w:rPr>
          <w:spacing w:val="5"/>
        </w:rPr>
        <w:t>《大量元素水溶肥料》</w:t>
      </w:r>
    </w:p>
    <w:p w14:paraId="740AD34C">
      <w:pPr>
        <w:pStyle w:val="2"/>
        <w:spacing w:before="123" w:line="228" w:lineRule="auto"/>
        <w:ind w:left="434"/>
      </w:pPr>
      <w:r>
        <w:rPr>
          <w:spacing w:val="9"/>
        </w:rPr>
        <w:t>现行有效的企业标准、团体标准、地方标准及产品明示质量要求。</w:t>
      </w:r>
    </w:p>
    <w:p w14:paraId="343E722D">
      <w:pPr>
        <w:pStyle w:val="2"/>
        <w:spacing w:before="162" w:line="228" w:lineRule="auto"/>
        <w:ind w:left="12"/>
      </w:pPr>
      <w:r>
        <w:rPr>
          <w:rFonts w:ascii="Times New Roman" w:hAnsi="Times New Roman" w:eastAsia="Times New Roman" w:cs="Times New Roman"/>
          <w:spacing w:val="5"/>
        </w:rPr>
        <w:t xml:space="preserve">3.2 </w:t>
      </w:r>
      <w:r>
        <w:rPr>
          <w:spacing w:val="5"/>
        </w:rPr>
        <w:t>判定原则</w:t>
      </w:r>
    </w:p>
    <w:p w14:paraId="4CB9C6E4">
      <w:pPr>
        <w:pStyle w:val="2"/>
        <w:spacing w:before="160" w:line="378" w:lineRule="auto"/>
        <w:ind w:left="15" w:firstLine="418"/>
      </w:pPr>
      <w:r>
        <w:rPr>
          <w:spacing w:val="8"/>
        </w:rPr>
        <w:t>经检验，检验项目全部合格，判定为被抽查产品所检项目未发现不合格；检验项目中任一</w:t>
      </w:r>
      <w:r>
        <w:rPr>
          <w:spacing w:val="7"/>
        </w:rPr>
        <w:t>项或</w:t>
      </w:r>
      <w:r>
        <w:t xml:space="preserve"> </w:t>
      </w:r>
      <w:r>
        <w:rPr>
          <w:spacing w:val="8"/>
        </w:rPr>
        <w:t>一项以上不合格，判定为被抽查产品不合格。</w:t>
      </w:r>
    </w:p>
    <w:p w14:paraId="18747F32">
      <w:pPr>
        <w:pStyle w:val="2"/>
        <w:spacing w:before="1" w:line="378" w:lineRule="auto"/>
        <w:ind w:left="12" w:firstLine="418"/>
      </w:pPr>
      <w:r>
        <w:rPr>
          <w:spacing w:val="8"/>
        </w:rPr>
        <w:t>若被检产品明示的质量要求高于本细则中检验项目依据的标准要求时，应按被检产品明示的质</w:t>
      </w:r>
      <w:r>
        <w:rPr>
          <w:spacing w:val="1"/>
        </w:rPr>
        <w:t xml:space="preserve"> </w:t>
      </w:r>
      <w:r>
        <w:rPr>
          <w:spacing w:val="6"/>
        </w:rPr>
        <w:t>量要求判定。</w:t>
      </w:r>
    </w:p>
    <w:p w14:paraId="02037CF0">
      <w:pPr>
        <w:spacing w:line="378" w:lineRule="auto"/>
        <w:sectPr>
          <w:footerReference r:id="rId5" w:type="default"/>
          <w:pgSz w:w="11906" w:h="16839"/>
          <w:pgMar w:top="1431" w:right="1475" w:bottom="1562" w:left="1469" w:header="0" w:footer="1399" w:gutter="0"/>
          <w:cols w:space="720" w:num="1"/>
        </w:sectPr>
      </w:pPr>
    </w:p>
    <w:p w14:paraId="16078E9D">
      <w:pPr>
        <w:spacing w:line="258" w:lineRule="auto"/>
        <w:rPr>
          <w:rFonts w:ascii="Arial"/>
          <w:sz w:val="21"/>
        </w:rPr>
      </w:pPr>
    </w:p>
    <w:p w14:paraId="72E55BE2">
      <w:pPr>
        <w:spacing w:line="259" w:lineRule="auto"/>
        <w:rPr>
          <w:rFonts w:ascii="Arial"/>
          <w:sz w:val="21"/>
        </w:rPr>
      </w:pPr>
    </w:p>
    <w:p w14:paraId="381E148C">
      <w:pPr>
        <w:pStyle w:val="2"/>
        <w:spacing w:before="65" w:line="377" w:lineRule="auto"/>
        <w:ind w:left="6" w:firstLine="416"/>
      </w:pPr>
      <w:r>
        <w:rPr>
          <w:spacing w:val="8"/>
        </w:rPr>
        <w:t>若被检产品明示的质量要求低于本细则中检验项目依据的强制性标准要求时，应按照强制性标</w:t>
      </w:r>
      <w:r>
        <w:rPr>
          <w:spacing w:val="1"/>
        </w:rPr>
        <w:t xml:space="preserve"> </w:t>
      </w:r>
      <w:r>
        <w:rPr>
          <w:spacing w:val="6"/>
        </w:rPr>
        <w:t>准要求判定。</w:t>
      </w:r>
    </w:p>
    <w:p w14:paraId="4D506768">
      <w:pPr>
        <w:pStyle w:val="2"/>
        <w:spacing w:before="1" w:line="376" w:lineRule="auto"/>
        <w:ind w:left="5" w:firstLine="418"/>
      </w:pPr>
      <w:r>
        <w:rPr>
          <w:spacing w:val="8"/>
        </w:rPr>
        <w:t>若被检产品明示的质量要求低于或包含本细则中检验项目依据的推荐性标准要求时，应以被检</w:t>
      </w:r>
      <w:r>
        <w:rPr>
          <w:spacing w:val="1"/>
        </w:rPr>
        <w:t xml:space="preserve"> </w:t>
      </w:r>
      <w:r>
        <w:rPr>
          <w:spacing w:val="8"/>
        </w:rPr>
        <w:t>产品明示的质量要求判定。</w:t>
      </w:r>
    </w:p>
    <w:p w14:paraId="2439A241">
      <w:pPr>
        <w:pStyle w:val="2"/>
        <w:spacing w:before="1" w:line="377" w:lineRule="auto"/>
        <w:ind w:left="6" w:firstLine="416"/>
      </w:pPr>
      <w:r>
        <w:rPr>
          <w:spacing w:val="8"/>
        </w:rPr>
        <w:t>若被检产品明示的质量要求缺少本细则中检验项目依据的强制性标准要求时，应按照强制性标</w:t>
      </w:r>
      <w:r>
        <w:rPr>
          <w:spacing w:val="1"/>
        </w:rPr>
        <w:t xml:space="preserve"> </w:t>
      </w:r>
      <w:r>
        <w:rPr>
          <w:spacing w:val="6"/>
        </w:rPr>
        <w:t>准要求判定。</w:t>
      </w:r>
    </w:p>
    <w:p w14:paraId="3003AD2A">
      <w:pPr>
        <w:pStyle w:val="2"/>
        <w:spacing w:line="378" w:lineRule="auto"/>
        <w:ind w:left="10" w:firstLine="413"/>
      </w:pPr>
      <w:r>
        <w:rPr>
          <w:spacing w:val="8"/>
        </w:rPr>
        <w:t>若被检产品明示的质量要求缺少本细则中检验项目依据的推荐性标准要求时，该项目不参与判</w:t>
      </w:r>
      <w:r>
        <w:rPr>
          <w:spacing w:val="1"/>
        </w:rPr>
        <w:t xml:space="preserve"> </w:t>
      </w:r>
      <w:r>
        <w:rPr>
          <w:spacing w:val="-3"/>
        </w:rPr>
        <w:t>定。</w:t>
      </w:r>
    </w:p>
    <w:p w14:paraId="1FA53D39">
      <w:pPr>
        <w:spacing w:before="79" w:line="222" w:lineRule="auto"/>
        <w:outlineLvl w:val="1"/>
        <w:rPr>
          <w:rFonts w:ascii="黑体" w:hAnsi="黑体" w:eastAsia="黑体" w:cs="黑体"/>
          <w:sz w:val="24"/>
          <w:szCs w:val="24"/>
        </w:rPr>
      </w:pPr>
      <w:r>
        <w:rPr>
          <w:rFonts w:ascii="黑体" w:hAnsi="黑体" w:eastAsia="黑体" w:cs="黑体"/>
          <w:spacing w:val="-9"/>
          <w:sz w:val="24"/>
          <w:szCs w:val="24"/>
        </w:rPr>
        <w:t>4</w:t>
      </w:r>
      <w:r>
        <w:rPr>
          <w:rFonts w:ascii="黑体" w:hAnsi="黑体" w:eastAsia="黑体" w:cs="黑体"/>
          <w:spacing w:val="23"/>
          <w:sz w:val="24"/>
          <w:szCs w:val="24"/>
        </w:rPr>
        <w:t xml:space="preserve"> </w:t>
      </w:r>
      <w:r>
        <w:rPr>
          <w:rFonts w:ascii="黑体" w:hAnsi="黑体" w:eastAsia="黑体" w:cs="黑体"/>
          <w:spacing w:val="-9"/>
          <w:sz w:val="24"/>
          <w:szCs w:val="24"/>
        </w:rPr>
        <w:t>附则</w:t>
      </w:r>
    </w:p>
    <w:p w14:paraId="482724EB">
      <w:pPr>
        <w:pStyle w:val="2"/>
        <w:spacing w:before="97" w:line="377" w:lineRule="auto"/>
        <w:ind w:left="1" w:firstLine="422"/>
      </w:pPr>
      <w:r>
        <w:rPr>
          <w:spacing w:val="8"/>
        </w:rPr>
        <w:t>本细则代替《吉林省市场监督管理厅关于发布吉林省</w:t>
      </w:r>
      <w:r>
        <w:rPr>
          <w:spacing w:val="7"/>
        </w:rPr>
        <w:t>产品质量监督抽查实施细则（</w:t>
      </w:r>
      <w:r>
        <w:rPr>
          <w:rFonts w:ascii="Times New Roman" w:hAnsi="Times New Roman" w:eastAsia="Times New Roman" w:cs="Times New Roman"/>
          <w:spacing w:val="7"/>
        </w:rPr>
        <w:t>2023</w:t>
      </w:r>
      <w:r>
        <w:rPr>
          <w:spacing w:val="7"/>
        </w:rPr>
        <w:t>版</w:t>
      </w:r>
      <w:r>
        <w:rPr>
          <w:spacing w:val="-43"/>
          <w:w w:val="74"/>
        </w:rPr>
        <w:t>）（</w:t>
      </w:r>
      <w:r>
        <w:rPr>
          <w:spacing w:val="7"/>
        </w:rPr>
        <w:t>第</w:t>
      </w:r>
      <w:r>
        <w:rPr>
          <w:spacing w:val="2"/>
        </w:rPr>
        <w:t xml:space="preserve"> </w:t>
      </w:r>
      <w:r>
        <w:rPr>
          <w:rFonts w:ascii="Times New Roman" w:hAnsi="Times New Roman" w:eastAsia="Times New Roman" w:cs="Times New Roman"/>
          <w:spacing w:val="6"/>
        </w:rPr>
        <w:t xml:space="preserve">2 </w:t>
      </w:r>
      <w:r>
        <w:rPr>
          <w:spacing w:val="6"/>
        </w:rPr>
        <w:t>批）的通告》中的《吉林省水溶肥料产品质量监督</w:t>
      </w:r>
      <w:r>
        <w:rPr>
          <w:spacing w:val="5"/>
        </w:rPr>
        <w:t>抽查实施细则（</w:t>
      </w:r>
      <w:r>
        <w:rPr>
          <w:rFonts w:ascii="Times New Roman" w:hAnsi="Times New Roman" w:eastAsia="Times New Roman" w:cs="Times New Roman"/>
          <w:spacing w:val="5"/>
        </w:rPr>
        <w:t>2023</w:t>
      </w:r>
      <w:r>
        <w:rPr>
          <w:spacing w:val="5"/>
        </w:rPr>
        <w:t>年版）》。</w:t>
      </w:r>
    </w:p>
    <w:sectPr>
      <w:footerReference r:id="rId6" w:type="default"/>
      <w:pgSz w:w="11906" w:h="16839"/>
      <w:pgMar w:top="1431" w:right="1475" w:bottom="1562" w:left="1476" w:header="0" w:footer="139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C1F6F">
    <w:pPr>
      <w:spacing w:line="176" w:lineRule="auto"/>
      <w:ind w:left="4446"/>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B1D922">
    <w:pPr>
      <w:spacing w:line="176" w:lineRule="auto"/>
      <w:ind w:left="4435"/>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63A1E00"/>
    <w:rsid w:val="07A06D22"/>
    <w:rsid w:val="0A426D43"/>
    <w:rsid w:val="1F884DA0"/>
    <w:rsid w:val="24665E61"/>
    <w:rsid w:val="28760433"/>
    <w:rsid w:val="31DF54DB"/>
    <w:rsid w:val="33AF6948"/>
    <w:rsid w:val="362829E1"/>
    <w:rsid w:val="3C036298"/>
    <w:rsid w:val="3D233F03"/>
    <w:rsid w:val="44AC2A30"/>
    <w:rsid w:val="475278BE"/>
    <w:rsid w:val="4C675BBA"/>
    <w:rsid w:val="5A44682E"/>
    <w:rsid w:val="5CCB003B"/>
    <w:rsid w:val="68B27D65"/>
    <w:rsid w:val="69653029"/>
    <w:rsid w:val="6D8B6DD7"/>
    <w:rsid w:val="71EC42E8"/>
    <w:rsid w:val="7E4177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Times New Roman" w:hAnsi="Times New Roman" w:eastAsia="Times New Roman" w:cs="Times New Roman"/>
      <w:sz w:val="20"/>
      <w:szCs w:val="20"/>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865</Words>
  <Characters>1004</Characters>
  <TotalTime>1</TotalTime>
  <ScaleCrop>false</ScaleCrop>
  <LinksUpToDate>false</LinksUpToDate>
  <CharactersWithSpaces>1054</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2024-03-04T16:37:00Z</dcterms:created>
  <dc:creator>Legend User</dc:creator>
  <cp:lastModifiedBy>Wz</cp:lastModifiedBy>
  <dcterms:modified xsi:type="dcterms:W3CDTF">2025-04-11T08:03:03Z</dcterms:modified>
  <dc:title>××产品质量监督抽查实施细则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2025-03-27T13:39:22Z</vt:filetime>
  </property>
  <property fmtid="{D5CDD505-2E9C-101B-9397-08002B2CF9AE}" pid="4" name="KSOTemplateDocerSaveRecord">
    <vt:lpwstr>eyJoZGlkIjoiYzUxNmUyN2M1NDExYWQ2NTIwYWUyZTMzYWRkNjUxZDMiLCJ1c2VySWQiOiI0NDk1Njk2MjIifQ==</vt:lpwstr>
  </property>
  <property fmtid="{D5CDD505-2E9C-101B-9397-08002B2CF9AE}" pid="5" name="KSOProductBuildVer">
    <vt:lpwstr>2052-12.1.0.20784</vt:lpwstr>
  </property>
  <property fmtid="{D5CDD505-2E9C-101B-9397-08002B2CF9AE}" pid="6" name="ICV">
    <vt:lpwstr>B044D9AF341D4DAA9B8A4C4EDE9312E7_12</vt:lpwstr>
  </property>
</Properties>
</file>