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C21E">
      <w:pPr>
        <w:pStyle w:val="2"/>
        <w:spacing w:before="101" w:line="224" w:lineRule="auto"/>
        <w:ind w:left="450"/>
        <w:jc w:val="center"/>
        <w:outlineLvl w:val="0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伊金霍洛旗2025年</w:t>
      </w:r>
    </w:p>
    <w:p w14:paraId="01AE5D06">
      <w:pPr>
        <w:spacing w:before="157" w:line="219" w:lineRule="auto"/>
        <w:ind w:left="2564"/>
        <w:outlineLvl w:val="0"/>
        <w:rPr>
          <w:rFonts w:ascii="宋体" w:hAnsi="宋体" w:eastAsia="宋体" w:cs="宋体"/>
          <w:color w:val="auto"/>
          <w:sz w:val="32"/>
          <w:szCs w:val="32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32"/>
          <w:szCs w:val="32"/>
        </w:rPr>
        <w:t>尿素产品质量监督抽查实施细则</w:t>
      </w:r>
    </w:p>
    <w:p w14:paraId="657BA375">
      <w:pPr>
        <w:pStyle w:val="2"/>
        <w:spacing w:before="277" w:line="221" w:lineRule="auto"/>
        <w:ind w:left="419"/>
        <w:rPr>
          <w:color w:val="auto"/>
        </w:rPr>
      </w:pPr>
      <w:r>
        <w:rPr>
          <w:color w:val="auto"/>
          <w:spacing w:val="16"/>
        </w:rPr>
        <w:t>1抽样方法</w:t>
      </w:r>
    </w:p>
    <w:p w14:paraId="574D3C0B">
      <w:pPr>
        <w:pStyle w:val="2"/>
        <w:spacing w:line="383" w:lineRule="auto"/>
        <w:ind w:firstLine="419"/>
        <w:rPr>
          <w:rFonts w:hint="eastAsia" w:ascii="宋体" w:hAnsi="宋体" w:eastAsia="宋体" w:cs="宋体"/>
          <w:b w:val="0"/>
          <w:bCs w:val="0"/>
          <w:color w:val="auto"/>
          <w:spacing w:val="4"/>
        </w:rPr>
      </w:pPr>
    </w:p>
    <w:p w14:paraId="0E7FF83C">
      <w:pPr>
        <w:pStyle w:val="2"/>
        <w:spacing w:line="383" w:lineRule="auto"/>
        <w:ind w:firstLine="419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</w:rPr>
        <w:t>将样品缩分至约2kg，再缩分成两份，分装于2个洁净、干燥的塑料瓶中。1瓶作为检验样品，另1瓶作为备用样品。</w:t>
      </w:r>
    </w:p>
    <w:p w14:paraId="3B285C08">
      <w:pPr>
        <w:pStyle w:val="2"/>
        <w:spacing w:before="67" w:line="222" w:lineRule="auto"/>
        <w:ind w:left="419"/>
        <w:rPr>
          <w:color w:val="auto"/>
        </w:rPr>
      </w:pPr>
      <w:r>
        <w:rPr>
          <w:color w:val="auto"/>
          <w:spacing w:val="15"/>
        </w:rPr>
        <w:t>2检验依据</w:t>
      </w:r>
    </w:p>
    <w:p w14:paraId="4E7F2ED8">
      <w:pPr>
        <w:pStyle w:val="2"/>
        <w:spacing w:before="159" w:line="222" w:lineRule="auto"/>
        <w:ind w:left="419"/>
        <w:rPr>
          <w:color w:val="auto"/>
        </w:rPr>
      </w:pPr>
      <w:r>
        <w:rPr>
          <w:color w:val="auto"/>
          <w:spacing w:val="2"/>
        </w:rPr>
        <w:t>表</w:t>
      </w:r>
      <w:r>
        <w:rPr>
          <w:rFonts w:ascii="Times New Roman" w:hAnsi="Times New Roman" w:eastAsia="Times New Roman" w:cs="Times New Roman"/>
          <w:color w:val="auto"/>
          <w:spacing w:val="2"/>
        </w:rPr>
        <w:t>1</w:t>
      </w:r>
      <w:r>
        <w:rPr>
          <w:rFonts w:ascii="Times New Roman" w:hAnsi="Times New Roman" w:eastAsia="Times New Roman" w:cs="Times New Roman"/>
          <w:color w:val="auto"/>
          <w:spacing w:val="30"/>
        </w:rPr>
        <w:t xml:space="preserve"> </w:t>
      </w:r>
      <w:r>
        <w:rPr>
          <w:color w:val="auto"/>
          <w:spacing w:val="2"/>
        </w:rPr>
        <w:t>检测项目及检测依据</w:t>
      </w:r>
    </w:p>
    <w:p w14:paraId="51E06667">
      <w:pPr>
        <w:spacing w:line="38" w:lineRule="exact"/>
        <w:rPr>
          <w:color w:val="auto"/>
        </w:rPr>
      </w:pPr>
    </w:p>
    <w:tbl>
      <w:tblPr>
        <w:tblStyle w:val="5"/>
        <w:tblW w:w="77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666"/>
        <w:gridCol w:w="2452"/>
        <w:gridCol w:w="1800"/>
      </w:tblGrid>
      <w:tr w14:paraId="1B6A6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859" w:type="dxa"/>
            <w:vAlign w:val="top"/>
          </w:tcPr>
          <w:p w14:paraId="687C68A2">
            <w:pPr>
              <w:spacing w:line="241" w:lineRule="auto"/>
              <w:jc w:val="center"/>
              <w:rPr>
                <w:rFonts w:hint="eastAsia" w:ascii="Arial"/>
                <w:color w:val="auto"/>
                <w:sz w:val="21"/>
                <w:lang w:val="en-US" w:eastAsia="zh-CN"/>
              </w:rPr>
            </w:pPr>
          </w:p>
          <w:p w14:paraId="4E774E73">
            <w:pPr>
              <w:spacing w:line="241" w:lineRule="auto"/>
              <w:jc w:val="center"/>
              <w:rPr>
                <w:rFonts w:hint="eastAsia" w:ascii="Arial"/>
                <w:color w:val="auto"/>
                <w:sz w:val="21"/>
                <w:lang w:val="en-US" w:eastAsia="zh-CN"/>
              </w:rPr>
            </w:pPr>
            <w:r>
              <w:rPr>
                <w:rFonts w:hint="eastAsia" w:ascii="Arial"/>
                <w:color w:val="auto"/>
                <w:sz w:val="21"/>
                <w:lang w:val="en-US" w:eastAsia="zh-CN"/>
              </w:rPr>
              <w:t>序号</w:t>
            </w:r>
          </w:p>
        </w:tc>
        <w:tc>
          <w:tcPr>
            <w:tcW w:w="2666" w:type="dxa"/>
            <w:vAlign w:val="top"/>
          </w:tcPr>
          <w:p w14:paraId="193F7F19">
            <w:pPr>
              <w:spacing w:line="241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4129F3F3">
            <w:pPr>
              <w:spacing w:line="241" w:lineRule="auto"/>
              <w:jc w:val="center"/>
              <w:rPr>
                <w:rFonts w:ascii="Arial"/>
                <w:color w:val="auto"/>
                <w:sz w:val="21"/>
              </w:rPr>
            </w:pPr>
            <w:r>
              <w:rPr>
                <w:rFonts w:ascii="Arial"/>
                <w:color w:val="auto"/>
                <w:sz w:val="21"/>
              </w:rPr>
              <w:t>检验项目</w:t>
            </w:r>
          </w:p>
        </w:tc>
        <w:tc>
          <w:tcPr>
            <w:tcW w:w="2452" w:type="dxa"/>
            <w:vAlign w:val="top"/>
          </w:tcPr>
          <w:p w14:paraId="7A4411FE">
            <w:pPr>
              <w:pStyle w:val="6"/>
              <w:spacing w:before="312" w:line="219" w:lineRule="auto"/>
              <w:ind w:left="14"/>
              <w:jc w:val="center"/>
              <w:rPr>
                <w:color w:val="auto"/>
              </w:rPr>
            </w:pPr>
            <w:r>
              <w:rPr>
                <w:color w:val="auto"/>
                <w:spacing w:val="3"/>
              </w:rPr>
              <w:t>检验依据</w:t>
            </w:r>
          </w:p>
        </w:tc>
        <w:tc>
          <w:tcPr>
            <w:tcW w:w="1800" w:type="dxa"/>
            <w:vAlign w:val="top"/>
          </w:tcPr>
          <w:p w14:paraId="4AAA264F">
            <w:pPr>
              <w:pStyle w:val="6"/>
              <w:spacing w:before="312" w:line="219" w:lineRule="auto"/>
              <w:ind w:left="14"/>
              <w:jc w:val="center"/>
              <w:rPr>
                <w:rFonts w:hint="default" w:eastAsia="宋体"/>
                <w:color w:val="auto"/>
                <w:spacing w:val="3"/>
                <w:lang w:val="en-US" w:eastAsia="zh-CN"/>
              </w:rPr>
            </w:pPr>
            <w:r>
              <w:rPr>
                <w:rFonts w:hint="eastAsia"/>
                <w:color w:val="auto"/>
                <w:spacing w:val="3"/>
                <w:lang w:val="en-US" w:eastAsia="zh-CN"/>
              </w:rPr>
              <w:t>检测方法</w:t>
            </w:r>
          </w:p>
        </w:tc>
      </w:tr>
      <w:tr w14:paraId="4C95E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859" w:type="dxa"/>
            <w:vAlign w:val="top"/>
          </w:tcPr>
          <w:p w14:paraId="06DAE55A">
            <w:pPr>
              <w:pStyle w:val="6"/>
              <w:spacing w:before="102" w:line="220" w:lineRule="auto"/>
              <w:ind w:left="11"/>
              <w:jc w:val="center"/>
              <w:rPr>
                <w:rFonts w:hint="eastAsia" w:eastAsia="宋体"/>
                <w:color w:val="auto"/>
                <w:spacing w:val="5"/>
                <w:lang w:val="en-US" w:eastAsia="zh-CN"/>
              </w:rPr>
            </w:pPr>
            <w:r>
              <w:rPr>
                <w:rFonts w:hint="eastAsia"/>
                <w:color w:val="auto"/>
                <w:spacing w:val="5"/>
                <w:lang w:val="en-US" w:eastAsia="zh-CN"/>
              </w:rPr>
              <w:t>1</w:t>
            </w:r>
          </w:p>
        </w:tc>
        <w:tc>
          <w:tcPr>
            <w:tcW w:w="2666" w:type="dxa"/>
            <w:vAlign w:val="top"/>
          </w:tcPr>
          <w:p w14:paraId="230E3256">
            <w:pPr>
              <w:pStyle w:val="6"/>
              <w:spacing w:before="102" w:line="220" w:lineRule="auto"/>
              <w:ind w:left="11"/>
              <w:rPr>
                <w:color w:val="auto"/>
              </w:rPr>
            </w:pPr>
            <w:r>
              <w:rPr>
                <w:color w:val="auto"/>
                <w:spacing w:val="5"/>
              </w:rPr>
              <w:t>外观</w:t>
            </w:r>
          </w:p>
        </w:tc>
        <w:tc>
          <w:tcPr>
            <w:tcW w:w="2452" w:type="dxa"/>
            <w:vAlign w:val="top"/>
          </w:tcPr>
          <w:p w14:paraId="4B6407F8">
            <w:pPr>
              <w:pStyle w:val="6"/>
              <w:spacing w:before="108" w:line="224" w:lineRule="auto"/>
              <w:ind w:left="14"/>
              <w:rPr>
                <w:color w:val="auto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vAlign w:val="top"/>
          </w:tcPr>
          <w:p w14:paraId="185F7B07">
            <w:pPr>
              <w:pStyle w:val="6"/>
              <w:spacing w:before="108" w:line="224" w:lineRule="auto"/>
              <w:ind w:left="14"/>
              <w:rPr>
                <w:color w:val="auto"/>
                <w:spacing w:val="-1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</w:tr>
      <w:tr w14:paraId="46789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859" w:type="dxa"/>
            <w:vAlign w:val="top"/>
          </w:tcPr>
          <w:p w14:paraId="3249EC49">
            <w:pPr>
              <w:pStyle w:val="6"/>
              <w:spacing w:before="141" w:line="275" w:lineRule="auto"/>
              <w:ind w:left="11" w:right="325"/>
              <w:jc w:val="center"/>
              <w:rPr>
                <w:rFonts w:hint="eastAsia" w:eastAsia="宋体"/>
                <w:color w:val="auto"/>
                <w:spacing w:val="1"/>
                <w:lang w:val="en-US" w:eastAsia="zh-CN"/>
              </w:rPr>
            </w:pPr>
            <w:r>
              <w:rPr>
                <w:rFonts w:hint="eastAsia"/>
                <w:color w:val="auto"/>
                <w:spacing w:val="1"/>
                <w:lang w:val="en-US" w:eastAsia="zh-CN"/>
              </w:rPr>
              <w:t>2</w:t>
            </w:r>
          </w:p>
        </w:tc>
        <w:tc>
          <w:tcPr>
            <w:tcW w:w="2666" w:type="dxa"/>
            <w:vAlign w:val="top"/>
          </w:tcPr>
          <w:p w14:paraId="27EDA2E6">
            <w:pPr>
              <w:pStyle w:val="6"/>
              <w:spacing w:before="141" w:line="275" w:lineRule="auto"/>
              <w:ind w:left="11" w:right="325"/>
              <w:rPr>
                <w:color w:val="auto"/>
              </w:rPr>
            </w:pPr>
            <w:r>
              <w:rPr>
                <w:color w:val="auto"/>
                <w:spacing w:val="1"/>
              </w:rPr>
              <w:t>总氮(N)的质量分</w:t>
            </w:r>
            <w:r>
              <w:rPr>
                <w:color w:val="auto"/>
              </w:rPr>
              <w:t xml:space="preserve"> 数</w:t>
            </w:r>
          </w:p>
        </w:tc>
        <w:tc>
          <w:tcPr>
            <w:tcW w:w="2452" w:type="dxa"/>
            <w:vAlign w:val="top"/>
          </w:tcPr>
          <w:p w14:paraId="697D8B8E">
            <w:pPr>
              <w:pStyle w:val="6"/>
              <w:spacing w:before="309" w:line="224" w:lineRule="auto"/>
              <w:ind w:left="14"/>
              <w:rPr>
                <w:color w:val="auto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vAlign w:val="top"/>
          </w:tcPr>
          <w:p w14:paraId="5C5EA9C4">
            <w:pPr>
              <w:pStyle w:val="6"/>
              <w:spacing w:before="309" w:line="224" w:lineRule="auto"/>
              <w:ind w:left="14"/>
              <w:rPr>
                <w:color w:val="auto"/>
                <w:spacing w:val="-1"/>
              </w:rPr>
            </w:pPr>
            <w:r>
              <w:rPr>
                <w:rFonts w:hint="eastAsia"/>
                <w:color w:val="auto"/>
                <w:spacing w:val="-1"/>
              </w:rPr>
              <w:t>GB/T 2441.1-2008</w:t>
            </w:r>
          </w:p>
        </w:tc>
      </w:tr>
      <w:tr w14:paraId="1177A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859" w:type="dxa"/>
            <w:vAlign w:val="top"/>
          </w:tcPr>
          <w:p w14:paraId="77B1B017">
            <w:pPr>
              <w:pStyle w:val="6"/>
              <w:spacing w:before="104" w:line="219" w:lineRule="auto"/>
              <w:ind w:left="11"/>
              <w:jc w:val="center"/>
              <w:rPr>
                <w:rFonts w:hint="eastAsia" w:eastAsia="宋体"/>
                <w:color w:val="auto"/>
                <w:spacing w:val="-1"/>
                <w:lang w:val="en-US" w:eastAsia="zh-CN"/>
              </w:rPr>
            </w:pPr>
            <w:r>
              <w:rPr>
                <w:rFonts w:hint="eastAsia"/>
                <w:color w:val="auto"/>
                <w:spacing w:val="-1"/>
                <w:lang w:val="en-US" w:eastAsia="zh-CN"/>
              </w:rPr>
              <w:t>3</w:t>
            </w:r>
          </w:p>
        </w:tc>
        <w:tc>
          <w:tcPr>
            <w:tcW w:w="2666" w:type="dxa"/>
            <w:vAlign w:val="top"/>
          </w:tcPr>
          <w:p w14:paraId="6ACACF0E">
            <w:pPr>
              <w:pStyle w:val="6"/>
              <w:spacing w:before="104" w:line="219" w:lineRule="auto"/>
              <w:ind w:left="11"/>
              <w:rPr>
                <w:color w:val="auto"/>
              </w:rPr>
            </w:pPr>
            <w:r>
              <w:rPr>
                <w:color w:val="auto"/>
                <w:spacing w:val="-1"/>
              </w:rPr>
              <w:t>缩二脲的质量分数</w:t>
            </w:r>
          </w:p>
        </w:tc>
        <w:tc>
          <w:tcPr>
            <w:tcW w:w="2452" w:type="dxa"/>
            <w:vAlign w:val="top"/>
          </w:tcPr>
          <w:p w14:paraId="48E3469A">
            <w:pPr>
              <w:pStyle w:val="6"/>
              <w:spacing w:before="112" w:line="224" w:lineRule="auto"/>
              <w:ind w:left="14"/>
              <w:rPr>
                <w:color w:val="auto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vAlign w:val="top"/>
          </w:tcPr>
          <w:p w14:paraId="4DED6E9C">
            <w:pPr>
              <w:pStyle w:val="6"/>
              <w:spacing w:before="112" w:line="224" w:lineRule="auto"/>
              <w:ind w:left="14"/>
              <w:rPr>
                <w:color w:val="auto"/>
                <w:spacing w:val="-1"/>
              </w:rPr>
            </w:pPr>
            <w:r>
              <w:rPr>
                <w:rFonts w:hint="eastAsia"/>
                <w:color w:val="auto"/>
                <w:spacing w:val="-1"/>
              </w:rPr>
              <w:t>GB/T 2441.2-2008</w:t>
            </w:r>
          </w:p>
        </w:tc>
      </w:tr>
      <w:tr w14:paraId="7B19D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859" w:type="dxa"/>
            <w:vAlign w:val="top"/>
          </w:tcPr>
          <w:p w14:paraId="5BFDF3C3">
            <w:pPr>
              <w:pStyle w:val="6"/>
              <w:spacing w:before="108" w:line="220" w:lineRule="auto"/>
              <w:ind w:left="11"/>
              <w:jc w:val="center"/>
              <w:rPr>
                <w:rFonts w:hint="eastAsia" w:eastAsia="宋体"/>
                <w:color w:val="auto"/>
                <w:spacing w:val="6"/>
                <w:lang w:val="en-US" w:eastAsia="zh-CN"/>
              </w:rPr>
            </w:pPr>
            <w:r>
              <w:rPr>
                <w:rFonts w:hint="eastAsia"/>
                <w:color w:val="auto"/>
                <w:spacing w:val="6"/>
                <w:lang w:val="en-US" w:eastAsia="zh-CN"/>
              </w:rPr>
              <w:t>4</w:t>
            </w:r>
          </w:p>
        </w:tc>
        <w:tc>
          <w:tcPr>
            <w:tcW w:w="2666" w:type="dxa"/>
            <w:vAlign w:val="top"/>
          </w:tcPr>
          <w:p w14:paraId="3E10559B">
            <w:pPr>
              <w:pStyle w:val="6"/>
              <w:spacing w:before="108" w:line="220" w:lineRule="auto"/>
              <w:ind w:left="11"/>
              <w:rPr>
                <w:color w:val="auto"/>
              </w:rPr>
            </w:pPr>
            <w:r>
              <w:rPr>
                <w:color w:val="auto"/>
                <w:spacing w:val="6"/>
              </w:rPr>
              <w:t>粒度</w:t>
            </w:r>
          </w:p>
        </w:tc>
        <w:tc>
          <w:tcPr>
            <w:tcW w:w="2452" w:type="dxa"/>
            <w:vAlign w:val="top"/>
          </w:tcPr>
          <w:p w14:paraId="3C01CFB8">
            <w:pPr>
              <w:pStyle w:val="6"/>
              <w:spacing w:before="114" w:line="224" w:lineRule="auto"/>
              <w:ind w:left="14"/>
              <w:rPr>
                <w:color w:val="auto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7C2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2441.7-2010</w:t>
            </w:r>
          </w:p>
        </w:tc>
      </w:tr>
      <w:tr w14:paraId="0DA4C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859" w:type="dxa"/>
            <w:vAlign w:val="top"/>
          </w:tcPr>
          <w:p w14:paraId="189AE454">
            <w:pPr>
              <w:pStyle w:val="6"/>
              <w:spacing w:before="108" w:line="220" w:lineRule="auto"/>
              <w:ind w:left="11"/>
              <w:jc w:val="center"/>
              <w:rPr>
                <w:rFonts w:hint="default"/>
                <w:color w:val="auto"/>
                <w:spacing w:val="6"/>
                <w:lang w:val="en-US" w:eastAsia="zh-CN"/>
              </w:rPr>
            </w:pPr>
            <w:r>
              <w:rPr>
                <w:rFonts w:hint="eastAsia"/>
                <w:color w:val="auto"/>
                <w:spacing w:val="6"/>
                <w:lang w:val="en-US" w:eastAsia="zh-CN"/>
              </w:rPr>
              <w:t>5</w:t>
            </w:r>
          </w:p>
        </w:tc>
        <w:tc>
          <w:tcPr>
            <w:tcW w:w="2666" w:type="dxa"/>
            <w:vAlign w:val="top"/>
          </w:tcPr>
          <w:p w14:paraId="508075DD">
            <w:pPr>
              <w:pStyle w:val="6"/>
              <w:spacing w:before="108" w:line="220" w:lineRule="auto"/>
              <w:rPr>
                <w:color w:val="auto"/>
                <w:spacing w:val="6"/>
              </w:rPr>
            </w:pPr>
            <w:r>
              <w:rPr>
                <w:rFonts w:hint="eastAsia"/>
                <w:color w:val="auto"/>
                <w:spacing w:val="6"/>
              </w:rPr>
              <w:t>水分</w:t>
            </w:r>
          </w:p>
        </w:tc>
        <w:tc>
          <w:tcPr>
            <w:tcW w:w="2452" w:type="dxa"/>
            <w:vAlign w:val="top"/>
          </w:tcPr>
          <w:p w14:paraId="68C7243A">
            <w:pPr>
              <w:spacing w:before="114" w:line="224" w:lineRule="auto"/>
              <w:ind w:left="14"/>
              <w:rPr>
                <w:color w:val="auto"/>
                <w:spacing w:val="-1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B25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GBT 2441.3-2010</w:t>
            </w:r>
          </w:p>
        </w:tc>
      </w:tr>
      <w:tr w14:paraId="4AAAC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859" w:type="dxa"/>
            <w:vAlign w:val="top"/>
          </w:tcPr>
          <w:p w14:paraId="43588229">
            <w:pPr>
              <w:pStyle w:val="6"/>
              <w:spacing w:before="108" w:line="220" w:lineRule="auto"/>
              <w:ind w:left="11"/>
              <w:jc w:val="center"/>
              <w:rPr>
                <w:rFonts w:hint="default"/>
                <w:color w:val="auto"/>
                <w:spacing w:val="6"/>
                <w:lang w:val="en-US" w:eastAsia="zh-CN"/>
              </w:rPr>
            </w:pPr>
            <w:r>
              <w:rPr>
                <w:rFonts w:hint="eastAsia"/>
                <w:color w:val="auto"/>
                <w:spacing w:val="6"/>
                <w:lang w:val="en-US" w:eastAsia="zh-CN"/>
              </w:rPr>
              <w:t>6</w:t>
            </w:r>
          </w:p>
        </w:tc>
        <w:tc>
          <w:tcPr>
            <w:tcW w:w="2666" w:type="dxa"/>
            <w:vAlign w:val="top"/>
          </w:tcPr>
          <w:p w14:paraId="2D823334">
            <w:pPr>
              <w:pStyle w:val="6"/>
              <w:spacing w:before="108" w:line="220" w:lineRule="auto"/>
              <w:ind w:left="11"/>
              <w:rPr>
                <w:rFonts w:hint="eastAsia"/>
                <w:color w:val="auto"/>
                <w:spacing w:val="6"/>
              </w:rPr>
            </w:pPr>
            <w:r>
              <w:rPr>
                <w:rFonts w:hint="eastAsia"/>
                <w:color w:val="auto"/>
                <w:spacing w:val="6"/>
              </w:rPr>
              <w:t>亚甲基二脲的质量分数</w:t>
            </w:r>
          </w:p>
        </w:tc>
        <w:tc>
          <w:tcPr>
            <w:tcW w:w="2452" w:type="dxa"/>
            <w:vAlign w:val="top"/>
          </w:tcPr>
          <w:p w14:paraId="213C2D28">
            <w:pPr>
              <w:spacing w:before="114" w:line="224" w:lineRule="auto"/>
              <w:ind w:left="14"/>
              <w:rPr>
                <w:color w:val="auto"/>
                <w:spacing w:val="-1"/>
              </w:rPr>
            </w:pPr>
            <w:r>
              <w:rPr>
                <w:color w:val="auto"/>
                <w:spacing w:val="-1"/>
              </w:rPr>
              <w:t>GB/T 2440-2017</w:t>
            </w:r>
          </w:p>
        </w:tc>
        <w:tc>
          <w:tcPr>
            <w:tcW w:w="1800" w:type="dxa"/>
            <w:vAlign w:val="top"/>
          </w:tcPr>
          <w:p w14:paraId="27B80741">
            <w:pPr>
              <w:pStyle w:val="6"/>
              <w:spacing w:before="114" w:line="224" w:lineRule="auto"/>
              <w:ind w:left="14"/>
              <w:rPr>
                <w:color w:val="auto"/>
                <w:spacing w:val="-1"/>
              </w:rPr>
            </w:pPr>
            <w:r>
              <w:rPr>
                <w:rFonts w:hint="eastAsia"/>
                <w:color w:val="auto"/>
                <w:spacing w:val="-1"/>
              </w:rPr>
              <w:t>GB/T 2441.9-2010</w:t>
            </w:r>
          </w:p>
        </w:tc>
      </w:tr>
    </w:tbl>
    <w:p w14:paraId="5D4C0BC4">
      <w:pPr>
        <w:pStyle w:val="2"/>
        <w:spacing w:before="113" w:line="213" w:lineRule="auto"/>
        <w:ind w:left="419"/>
        <w:rPr>
          <w:rFonts w:hint="eastAsia" w:ascii="宋体" w:hAnsi="宋体" w:eastAsia="宋体" w:cs="宋体"/>
          <w:color w:val="auto"/>
          <w:spacing w:val="1"/>
          <w:lang w:eastAsia="zh-CN"/>
        </w:rPr>
      </w:pPr>
    </w:p>
    <w:p w14:paraId="29F1849C">
      <w:pPr>
        <w:pStyle w:val="2"/>
        <w:spacing w:before="113" w:line="213" w:lineRule="auto"/>
        <w:ind w:left="419" w:firstLine="404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1"/>
        </w:rPr>
        <w:t>执行其他标准的产品，检验项目参照上述内容执行。</w:t>
      </w:r>
    </w:p>
    <w:p w14:paraId="67F5DD48">
      <w:pPr>
        <w:pStyle w:val="2"/>
        <w:spacing w:before="180" w:line="366" w:lineRule="auto"/>
        <w:ind w:right="59" w:firstLine="861" w:firstLineChars="39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8"/>
        </w:rPr>
        <w:t>凡是注日期的文件，其随后所有的修改单(不包括勘误的内容)或修订</w:t>
      </w:r>
      <w:r>
        <w:rPr>
          <w:rFonts w:hint="eastAsia" w:ascii="宋体" w:hAnsi="宋体" w:eastAsia="宋体" w:cs="宋体"/>
          <w:color w:val="auto"/>
          <w:spacing w:val="7"/>
        </w:rPr>
        <w:t>版不适用于本细则。凡是不注</w:t>
      </w:r>
      <w:r>
        <w:rPr>
          <w:rFonts w:hint="eastAsia" w:ascii="宋体" w:hAnsi="宋体" w:eastAsia="宋体" w:cs="宋体"/>
          <w:color w:val="auto"/>
        </w:rPr>
        <w:t xml:space="preserve"> 日期的文件，其最新版本适用于本细则。</w:t>
      </w:r>
    </w:p>
    <w:p w14:paraId="260ABB79">
      <w:pPr>
        <w:pStyle w:val="2"/>
        <w:spacing w:before="15" w:line="222" w:lineRule="auto"/>
        <w:ind w:left="419" w:firstLine="40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复检时所检测的样品为备用样品。</w:t>
      </w:r>
    </w:p>
    <w:p w14:paraId="3CE1B729">
      <w:pPr>
        <w:pStyle w:val="2"/>
        <w:spacing w:before="180" w:line="222" w:lineRule="auto"/>
        <w:ind w:left="41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17"/>
        </w:rPr>
        <w:t>3判定规则</w:t>
      </w:r>
    </w:p>
    <w:p w14:paraId="3653023E">
      <w:pPr>
        <w:pStyle w:val="2"/>
        <w:spacing w:before="159" w:line="222" w:lineRule="auto"/>
        <w:ind w:firstLine="396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-1"/>
        </w:rPr>
        <w:t>3.1依据标准</w:t>
      </w:r>
    </w:p>
    <w:p w14:paraId="1100FECC">
      <w:pPr>
        <w:pStyle w:val="2"/>
        <w:spacing w:before="171" w:line="223" w:lineRule="auto"/>
        <w:ind w:left="419" w:firstLine="40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GB</w:t>
      </w:r>
      <w:r>
        <w:rPr>
          <w:rFonts w:hint="eastAsia" w:ascii="宋体" w:hAnsi="宋体" w:eastAsia="宋体" w:cs="宋体"/>
          <w:color w:val="auto"/>
          <w:spacing w:val="1"/>
        </w:rPr>
        <w:t>/T</w:t>
      </w:r>
      <w:r>
        <w:rPr>
          <w:rFonts w:hint="eastAsia" w:ascii="宋体" w:hAnsi="宋体" w:eastAsia="宋体" w:cs="宋体"/>
          <w:color w:val="auto"/>
          <w:spacing w:val="99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</w:rPr>
        <w:t>2440-2017</w:t>
      </w:r>
      <w:r>
        <w:rPr>
          <w:rFonts w:hint="eastAsia" w:ascii="宋体" w:hAnsi="宋体" w:eastAsia="宋体" w:cs="宋体"/>
          <w:color w:val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1"/>
        </w:rPr>
        <w:t>尿素</w:t>
      </w:r>
    </w:p>
    <w:p w14:paraId="46BBF64C">
      <w:pPr>
        <w:pStyle w:val="2"/>
        <w:spacing w:before="176" w:line="221" w:lineRule="auto"/>
        <w:ind w:left="419" w:firstLine="412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3"/>
        </w:rPr>
        <w:t>产品明示质量指标及国家法律、法规、规章的有关规定</w:t>
      </w:r>
    </w:p>
    <w:p w14:paraId="17E0C207">
      <w:pPr>
        <w:spacing w:line="221" w:lineRule="auto"/>
        <w:rPr>
          <w:rFonts w:hint="eastAsia" w:ascii="宋体" w:hAnsi="宋体" w:eastAsia="宋体" w:cs="宋体"/>
          <w:color w:val="auto"/>
        </w:rPr>
        <w:sectPr>
          <w:pgSz w:w="11910" w:h="16840"/>
          <w:pgMar w:top="1431" w:right="1350" w:bottom="0" w:left="1140" w:header="0" w:footer="0" w:gutter="0"/>
          <w:cols w:space="720" w:num="1"/>
        </w:sectPr>
      </w:pPr>
    </w:p>
    <w:p w14:paraId="3AED5195">
      <w:pPr>
        <w:pStyle w:val="2"/>
        <w:spacing w:before="75" w:line="222" w:lineRule="auto"/>
        <w:ind w:left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-2"/>
          <w:sz w:val="19"/>
          <w:szCs w:val="19"/>
        </w:rPr>
        <w:t>3.2判定原则</w:t>
      </w:r>
    </w:p>
    <w:p w14:paraId="1DDB3842">
      <w:pPr>
        <w:pStyle w:val="2"/>
        <w:spacing w:before="151" w:line="222" w:lineRule="auto"/>
        <w:ind w:left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4"/>
          <w:sz w:val="19"/>
          <w:szCs w:val="19"/>
        </w:rPr>
        <w:t>判定原则</w:t>
      </w:r>
    </w:p>
    <w:p w14:paraId="5FD03275">
      <w:pPr>
        <w:pStyle w:val="2"/>
        <w:spacing w:before="161" w:line="222" w:lineRule="auto"/>
        <w:ind w:left="50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12"/>
          <w:sz w:val="19"/>
          <w:szCs w:val="19"/>
        </w:rPr>
        <w:t>(一)判定总则</w:t>
      </w:r>
    </w:p>
    <w:p w14:paraId="257DB01F">
      <w:pPr>
        <w:pStyle w:val="2"/>
        <w:spacing w:before="169" w:line="283" w:lineRule="auto"/>
        <w:ind w:right="54" w:firstLine="389"/>
        <w:rPr>
          <w:rFonts w:hint="eastAsia" w:ascii="宋体" w:hAnsi="宋体" w:eastAsia="宋体" w:cs="宋体"/>
          <w:color w:val="auto"/>
          <w:sz w:val="19"/>
          <w:szCs w:val="19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3"/>
          <w:sz w:val="19"/>
          <w:szCs w:val="19"/>
        </w:rPr>
        <w:t>1.当产品的国家、行业、地方强制性标准</w:t>
      </w:r>
      <w:r>
        <w:rPr>
          <w:rFonts w:hint="eastAsia" w:ascii="宋体" w:hAnsi="宋体" w:eastAsia="宋体" w:cs="宋体"/>
          <w:color w:val="auto"/>
          <w:spacing w:val="-15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color w:val="auto"/>
          <w:spacing w:val="3"/>
          <w:sz w:val="19"/>
          <w:szCs w:val="19"/>
        </w:rPr>
        <w:t>(含国家、行业、地方推荐性标准中的强制性条款)和执行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19"/>
          <w:szCs w:val="19"/>
        </w:rPr>
        <w:t>的企业标准(含明示质量指标)各技术要求</w:t>
      </w:r>
      <w:r>
        <w:rPr>
          <w:rFonts w:hint="eastAsia" w:ascii="宋体" w:hAnsi="宋体" w:eastAsia="宋体" w:cs="宋体"/>
          <w:color w:val="auto"/>
          <w:spacing w:val="5"/>
          <w:sz w:val="19"/>
          <w:szCs w:val="19"/>
        </w:rPr>
        <w:t>不一致时，应按其中最严要求进行质量判定。</w:t>
      </w:r>
    </w:p>
    <w:p w14:paraId="51644769">
      <w:pPr>
        <w:pStyle w:val="2"/>
        <w:spacing w:before="150" w:line="213" w:lineRule="auto"/>
        <w:ind w:left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-4"/>
          <w:sz w:val="19"/>
          <w:szCs w:val="19"/>
        </w:rPr>
        <w:t>2.当产品执行国家、行业、地方标准时，按国家、行业、地方标准要求进行质量判定。</w:t>
      </w:r>
    </w:p>
    <w:p w14:paraId="68E23A40">
      <w:pPr>
        <w:pStyle w:val="2"/>
        <w:spacing w:before="162" w:line="322" w:lineRule="auto"/>
        <w:ind w:right="2" w:firstLine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5"/>
          <w:sz w:val="19"/>
          <w:szCs w:val="19"/>
        </w:rPr>
        <w:t>3.当产品执行企业标准(含明示质量指标)时，按其企业标准要求进行质量判定，</w:t>
      </w:r>
      <w:r>
        <w:rPr>
          <w:rFonts w:hint="eastAsia" w:ascii="宋体" w:hAnsi="宋体" w:eastAsia="宋体" w:cs="宋体"/>
          <w:color w:val="auto"/>
          <w:spacing w:val="4"/>
          <w:sz w:val="19"/>
          <w:szCs w:val="19"/>
        </w:rPr>
        <w:t>但如主要项目技术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19"/>
          <w:szCs w:val="19"/>
        </w:rPr>
        <w:t>要求低于国家、行业、推荐性标准要求(含国家、行业、地方强制性标准中的推荐性条款)时，应在检验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19"/>
          <w:szCs w:val="19"/>
        </w:rPr>
        <w:t>报告中注明主要项目的实测值和标准值。</w:t>
      </w:r>
    </w:p>
    <w:p w14:paraId="3C11CBB6">
      <w:pPr>
        <w:pStyle w:val="2"/>
        <w:spacing w:before="183" w:line="222" w:lineRule="auto"/>
        <w:ind w:left="50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10"/>
          <w:sz w:val="19"/>
          <w:szCs w:val="19"/>
        </w:rPr>
        <w:t>(二)单项质量判定</w:t>
      </w:r>
    </w:p>
    <w:p w14:paraId="3C53C07F">
      <w:pPr>
        <w:pStyle w:val="2"/>
        <w:spacing w:before="134" w:line="376" w:lineRule="auto"/>
        <w:ind w:firstLine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2"/>
          <w:sz w:val="19"/>
          <w:szCs w:val="19"/>
        </w:rPr>
        <w:t>当所检项目的检验结果符合执行标准中该项目要求时，判该项目为符合执行标准</w:t>
      </w:r>
      <w:r>
        <w:rPr>
          <w:rFonts w:hint="eastAsia" w:ascii="宋体" w:hAnsi="宋体" w:eastAsia="宋体" w:cs="宋体"/>
          <w:color w:val="auto"/>
          <w:spacing w:val="1"/>
          <w:sz w:val="19"/>
          <w:szCs w:val="19"/>
        </w:rPr>
        <w:t>要求；否则判该项目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19"/>
          <w:szCs w:val="19"/>
        </w:rPr>
        <w:t>为不符合执行标准要求。</w:t>
      </w:r>
    </w:p>
    <w:p w14:paraId="3A3D95F1">
      <w:pPr>
        <w:pStyle w:val="2"/>
        <w:spacing w:before="4" w:line="222" w:lineRule="auto"/>
        <w:ind w:left="50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10"/>
          <w:sz w:val="19"/>
          <w:szCs w:val="19"/>
        </w:rPr>
        <w:t>(三)综合质量判定</w:t>
      </w:r>
    </w:p>
    <w:p w14:paraId="254A7879">
      <w:pPr>
        <w:pStyle w:val="2"/>
        <w:spacing w:before="153" w:line="213" w:lineRule="auto"/>
        <w:ind w:left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z w:val="19"/>
          <w:szCs w:val="19"/>
        </w:rPr>
        <w:t>1.检验样本中一个或一个以上项目出现不符合执行要</w:t>
      </w:r>
      <w:r>
        <w:rPr>
          <w:rFonts w:hint="eastAsia" w:ascii="宋体" w:hAnsi="宋体" w:eastAsia="宋体" w:cs="宋体"/>
          <w:color w:val="auto"/>
          <w:spacing w:val="-1"/>
          <w:sz w:val="19"/>
          <w:szCs w:val="19"/>
        </w:rPr>
        <w:t>求判定的，则检验结论为“不合格”。</w:t>
      </w:r>
    </w:p>
    <w:p w14:paraId="2FA3F503">
      <w:pPr>
        <w:pStyle w:val="2"/>
        <w:spacing w:before="182" w:line="276" w:lineRule="auto"/>
        <w:ind w:right="50" w:firstLine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1"/>
          <w:sz w:val="19"/>
          <w:szCs w:val="19"/>
        </w:rPr>
        <w:t>2.产品符合执行标准要求，且所检主要项目的检验结果符合国家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、行业、地方标准中推荐性条款要求 </w:t>
      </w:r>
      <w:r>
        <w:rPr>
          <w:rFonts w:hint="eastAsia" w:ascii="宋体" w:hAnsi="宋体" w:eastAsia="宋体" w:cs="宋体"/>
          <w:color w:val="auto"/>
          <w:spacing w:val="1"/>
          <w:sz w:val="19"/>
          <w:szCs w:val="19"/>
        </w:rPr>
        <w:t>的，检验结论为“所检项目符合本次监督抽查要求”。</w:t>
      </w:r>
    </w:p>
    <w:p w14:paraId="51A12098">
      <w:pPr>
        <w:pStyle w:val="2"/>
        <w:spacing w:before="191" w:line="286" w:lineRule="auto"/>
        <w:ind w:right="54" w:firstLine="389"/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pacing w:val="1"/>
          <w:sz w:val="19"/>
          <w:szCs w:val="19"/>
        </w:rPr>
        <w:t>3.产品符合执行标准要求，但所检主要项目的检验结</w:t>
      </w:r>
      <w:r>
        <w:rPr>
          <w:rFonts w:hint="eastAsia" w:ascii="宋体" w:hAnsi="宋体" w:eastAsia="宋体" w:cs="宋体"/>
          <w:color w:val="auto"/>
          <w:sz w:val="19"/>
          <w:szCs w:val="19"/>
        </w:rPr>
        <w:t xml:space="preserve">果出现一个或一个以上低于国家、行业、地方标 </w:t>
      </w:r>
      <w:r>
        <w:rPr>
          <w:rFonts w:hint="eastAsia" w:ascii="宋体" w:hAnsi="宋体" w:eastAsia="宋体" w:cs="宋体"/>
          <w:color w:val="auto"/>
          <w:spacing w:val="1"/>
          <w:sz w:val="19"/>
          <w:szCs w:val="19"/>
        </w:rPr>
        <w:t>准中推荐性条款要求的，检验结论为“所检项目符合企业标准，未达到国家、行业、地方标准规定”。</w:t>
      </w:r>
    </w:p>
    <w:sectPr>
      <w:pgSz w:w="11910" w:h="16840"/>
      <w:pgMar w:top="1431" w:right="1689" w:bottom="0" w:left="13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5926AFC"/>
    <w:rsid w:val="05F2473E"/>
    <w:rsid w:val="0A653A66"/>
    <w:rsid w:val="2ABA427C"/>
    <w:rsid w:val="2C245E51"/>
    <w:rsid w:val="35E36BA2"/>
    <w:rsid w:val="36AA33F6"/>
    <w:rsid w:val="47B42327"/>
    <w:rsid w:val="524424F9"/>
    <w:rsid w:val="56066443"/>
    <w:rsid w:val="577769DD"/>
    <w:rsid w:val="5BFE121F"/>
    <w:rsid w:val="5E8C70C5"/>
    <w:rsid w:val="64572560"/>
    <w:rsid w:val="6BB40EC2"/>
    <w:rsid w:val="6F2F065A"/>
    <w:rsid w:val="78462443"/>
    <w:rsid w:val="7CC320E9"/>
    <w:rsid w:val="7E132BFC"/>
    <w:rsid w:val="7EC328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1046</Words>
  <Characters>1234</Characters>
  <TotalTime>0</TotalTime>
  <ScaleCrop>false</ScaleCrop>
  <LinksUpToDate>false</LinksUpToDate>
  <CharactersWithSpaces>1271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2025-04-10T13:50:00Z</dcterms:created>
  <dc:creator>wz</dc:creator>
  <cp:lastModifiedBy>Wz</cp:lastModifiedBy>
  <dcterms:modified xsi:type="dcterms:W3CDTF">2025-04-11T03:43:15Z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2025-04-10T13:50:29Z</vt:filetime>
  </property>
  <property fmtid="{D5CDD505-2E9C-101B-9397-08002B2CF9AE}" pid="4" name="UsrData">
    <vt:lpwstr>67f75c24bfc444001fad2281wl</vt:lpwstr>
  </property>
  <property fmtid="{D5CDD505-2E9C-101B-9397-08002B2CF9AE}" pid="5" name="KSOProductBuildVer">
    <vt:lpwstr>2052-12.1.0.20305</vt:lpwstr>
  </property>
  <property fmtid="{D5CDD505-2E9C-101B-9397-08002B2CF9AE}" pid="6" name="ICV">
    <vt:lpwstr>D345CBACCC924DB5B363A025FCEF8A0E_13</vt:lpwstr>
  </property>
  <property fmtid="{D5CDD505-2E9C-101B-9397-08002B2CF9AE}" pid="7" name="KSOTemplateDocerSaveRecord">
    <vt:lpwstr>eyJoZGlkIjoiYzUxNmUyN2M1NDExYWQ2NTIwYWUyZTMzYWRkNjUxZDMiLCJ1c2VySWQiOiI0NDk1Njk2MjIifQ==</vt:lpwstr>
  </property>
</Properties>
</file>