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7C21E">
      <w:pPr>
        <w:pStyle w:val="2"/>
        <w:spacing w:before="101" w:line="224" w:lineRule="auto"/>
        <w:ind w:left="450"/>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74BC48F4">
      <w:pPr>
        <w:adjustRightInd w:val="0"/>
        <w:snapToGrid w:val="0"/>
        <w:spacing w:line="440" w:lineRule="exact"/>
        <w:jc w:val="center"/>
        <w:rPr>
          <w:rFonts w:eastAsia="方正小标宋简体"/>
          <w:color w:val="000000"/>
          <w:sz w:val="32"/>
          <w:szCs w:val="32"/>
        </w:rPr>
      </w:pPr>
      <w:r>
        <w:rPr>
          <w:rFonts w:hint="eastAsia" w:ascii="宋体" w:hAnsi="宋体" w:eastAsia="宋体" w:cs="宋体"/>
          <w:b/>
          <w:bCs/>
          <w:spacing w:val="-5"/>
          <w:kern w:val="2"/>
          <w:sz w:val="32"/>
          <w:szCs w:val="32"/>
          <w:lang w:val="en-US" w:eastAsia="zh-CN" w:bidi="ar-SA"/>
        </w:rPr>
        <w:t>生物有机肥</w:t>
      </w:r>
      <w:r>
        <w:rPr>
          <w:rFonts w:hint="eastAsia" w:ascii="宋体" w:hAnsi="宋体" w:eastAsia="宋体" w:cs="宋体"/>
          <w:b/>
          <w:bCs/>
          <w:spacing w:val="-5"/>
          <w:kern w:val="2"/>
          <w:sz w:val="32"/>
          <w:szCs w:val="32"/>
          <w:lang w:val="en-US" w:eastAsia="en-US" w:bidi="ar-SA"/>
        </w:rPr>
        <w:t>产品质量监督抽查实施细则</w:t>
      </w:r>
    </w:p>
    <w:p w14:paraId="34AAFF48">
      <w:pPr>
        <w:spacing w:line="440" w:lineRule="exact"/>
        <w:jc w:val="center"/>
        <w:rPr>
          <w:rFonts w:hint="eastAsia" w:eastAsia="方正小标宋简体"/>
          <w:color w:val="000000"/>
          <w:sz w:val="32"/>
          <w:szCs w:val="32"/>
          <w:lang w:eastAsia="zh-CN"/>
        </w:rPr>
      </w:pPr>
    </w:p>
    <w:p w14:paraId="6EC93B73">
      <w:pPr>
        <w:snapToGrid w:val="0"/>
        <w:spacing w:line="440" w:lineRule="exact"/>
        <w:rPr>
          <w:rFonts w:eastAsia="黑体"/>
          <w:color w:val="000000"/>
          <w:szCs w:val="21"/>
        </w:rPr>
      </w:pPr>
      <w:r>
        <w:rPr>
          <w:rFonts w:eastAsia="黑体"/>
          <w:color w:val="000000"/>
          <w:szCs w:val="21"/>
        </w:rPr>
        <w:t>1 抽样方法</w:t>
      </w:r>
    </w:p>
    <w:p w14:paraId="6513598E">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68F329ED">
      <w:pPr>
        <w:snapToGrid w:val="0"/>
        <w:spacing w:line="440" w:lineRule="exact"/>
        <w:ind w:firstLine="420" w:firstLineChars="200"/>
        <w:rPr>
          <w:color w:val="000000"/>
          <w:szCs w:val="21"/>
        </w:rPr>
      </w:pPr>
      <w:r>
        <w:rPr>
          <w:color w:val="000000"/>
          <w:szCs w:val="21"/>
        </w:rPr>
        <w:t>随机数一般可使用随机数表等方法产生。</w:t>
      </w:r>
    </w:p>
    <w:p w14:paraId="741233CB">
      <w:pPr>
        <w:snapToGrid w:val="0"/>
        <w:spacing w:line="440" w:lineRule="exact"/>
        <w:ind w:firstLine="420" w:firstLineChars="200"/>
        <w:rPr>
          <w:color w:val="FF0000"/>
          <w:szCs w:val="21"/>
        </w:rPr>
      </w:pPr>
      <w:bookmarkStart w:id="0" w:name="_Hlk103259270"/>
      <w:r>
        <w:rPr>
          <w:szCs w:val="21"/>
        </w:rPr>
        <w:t>将样品缩分至约</w:t>
      </w:r>
      <w:r>
        <w:rPr>
          <w:rFonts w:hint="eastAsia"/>
          <w:szCs w:val="21"/>
          <w:lang w:val="en-US" w:eastAsia="zh-CN"/>
        </w:rPr>
        <w:t>2</w:t>
      </w:r>
      <w:r>
        <w:rPr>
          <w:szCs w:val="21"/>
        </w:rPr>
        <w:t>kg，分装于</w:t>
      </w:r>
      <w:r>
        <w:rPr>
          <w:rFonts w:hint="eastAsia"/>
          <w:szCs w:val="21"/>
          <w:lang w:val="en-US" w:eastAsia="zh-CN"/>
        </w:rPr>
        <w:t>4</w:t>
      </w:r>
      <w:r>
        <w:rPr>
          <w:szCs w:val="21"/>
        </w:rPr>
        <w:t>个洁净、干燥的塑料瓶中，每份样品重量不少于600g。</w:t>
      </w:r>
      <w:r>
        <w:rPr>
          <w:rFonts w:hint="eastAsia"/>
          <w:szCs w:val="21"/>
          <w:lang w:val="en-US" w:eastAsia="zh-CN"/>
        </w:rPr>
        <w:t>3</w:t>
      </w:r>
      <w:r>
        <w:rPr>
          <w:szCs w:val="21"/>
        </w:rPr>
        <w:t>份作为检验样品，另1份作为备用样品。</w:t>
      </w:r>
    </w:p>
    <w:bookmarkEnd w:id="0"/>
    <w:p w14:paraId="70C29C9A">
      <w:pPr>
        <w:snapToGrid w:val="0"/>
        <w:spacing w:line="440" w:lineRule="exact"/>
        <w:ind w:firstLine="420" w:firstLineChars="200"/>
        <w:rPr>
          <w:color w:val="000000"/>
          <w:szCs w:val="21"/>
        </w:rPr>
      </w:pPr>
    </w:p>
    <w:p w14:paraId="31DF3A77">
      <w:pPr>
        <w:snapToGrid w:val="0"/>
        <w:spacing w:line="440" w:lineRule="exact"/>
        <w:rPr>
          <w:rFonts w:eastAsia="黑体"/>
          <w:bCs/>
          <w:color w:val="000000"/>
          <w:szCs w:val="21"/>
        </w:rPr>
      </w:pPr>
      <w:r>
        <w:rPr>
          <w:rFonts w:eastAsia="黑体"/>
          <w:color w:val="000000"/>
          <w:szCs w:val="21"/>
        </w:rPr>
        <w:t>2 检验依据</w:t>
      </w:r>
    </w:p>
    <w:p w14:paraId="574BF5E8">
      <w:pPr>
        <w:snapToGrid w:val="0"/>
        <w:spacing w:line="440" w:lineRule="exact"/>
        <w:jc w:val="center"/>
        <w:rPr>
          <w:bCs/>
          <w:color w:val="000000"/>
          <w:szCs w:val="21"/>
        </w:rPr>
      </w:pPr>
    </w:p>
    <w:tbl>
      <w:tblPr>
        <w:tblStyle w:val="5"/>
        <w:tblW w:w="4988"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5094"/>
        <w:gridCol w:w="3053"/>
      </w:tblGrid>
      <w:tr w14:paraId="3BEC8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blHeader/>
        </w:trPr>
        <w:tc>
          <w:tcPr>
            <w:tcW w:w="549" w:type="pct"/>
            <w:noWrap w:val="0"/>
            <w:vAlign w:val="center"/>
          </w:tcPr>
          <w:p w14:paraId="0BD018EA">
            <w:pPr>
              <w:widowControl/>
              <w:jc w:val="center"/>
              <w:rPr>
                <w:color w:val="000000"/>
                <w:kern w:val="0"/>
                <w:szCs w:val="21"/>
              </w:rPr>
            </w:pPr>
            <w:r>
              <w:rPr>
                <w:color w:val="000000"/>
                <w:kern w:val="0"/>
                <w:szCs w:val="21"/>
              </w:rPr>
              <w:t>序号</w:t>
            </w:r>
          </w:p>
        </w:tc>
        <w:tc>
          <w:tcPr>
            <w:tcW w:w="2782" w:type="pct"/>
            <w:noWrap w:val="0"/>
            <w:vAlign w:val="center"/>
          </w:tcPr>
          <w:p w14:paraId="7FDC9718">
            <w:pPr>
              <w:widowControl/>
              <w:jc w:val="center"/>
              <w:rPr>
                <w:color w:val="000000"/>
                <w:kern w:val="0"/>
                <w:szCs w:val="21"/>
              </w:rPr>
            </w:pPr>
            <w:r>
              <w:rPr>
                <w:color w:val="000000"/>
                <w:kern w:val="0"/>
                <w:szCs w:val="21"/>
              </w:rPr>
              <w:t>检验项目</w:t>
            </w:r>
          </w:p>
        </w:tc>
        <w:tc>
          <w:tcPr>
            <w:tcW w:w="1667" w:type="pct"/>
            <w:noWrap w:val="0"/>
            <w:vAlign w:val="center"/>
          </w:tcPr>
          <w:p w14:paraId="648F2832">
            <w:pPr>
              <w:widowControl/>
              <w:jc w:val="center"/>
              <w:rPr>
                <w:color w:val="000000"/>
                <w:kern w:val="0"/>
                <w:szCs w:val="21"/>
              </w:rPr>
            </w:pPr>
            <w:r>
              <w:rPr>
                <w:color w:val="000000"/>
                <w:kern w:val="0"/>
                <w:szCs w:val="21"/>
              </w:rPr>
              <w:t>检验方法</w:t>
            </w:r>
          </w:p>
        </w:tc>
      </w:tr>
      <w:tr w14:paraId="072C7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1C6A0442">
            <w:pPr>
              <w:pStyle w:val="7"/>
              <w:widowControl/>
              <w:numPr>
                <w:ilvl w:val="0"/>
                <w:numId w:val="1"/>
              </w:numPr>
              <w:ind w:firstLineChars="0"/>
              <w:jc w:val="center"/>
              <w:rPr>
                <w:rFonts w:ascii="Times New Roman" w:hAnsi="Times New Roman" w:eastAsia="宋体"/>
                <w:color w:val="000000"/>
                <w:kern w:val="0"/>
                <w:szCs w:val="21"/>
              </w:rPr>
            </w:pPr>
          </w:p>
        </w:tc>
        <w:tc>
          <w:tcPr>
            <w:tcW w:w="2782" w:type="pct"/>
            <w:noWrap w:val="0"/>
            <w:vAlign w:val="center"/>
          </w:tcPr>
          <w:p w14:paraId="79993E38">
            <w:pPr>
              <w:widowControl/>
              <w:jc w:val="center"/>
              <w:rPr>
                <w:color w:val="000000"/>
                <w:kern w:val="0"/>
                <w:szCs w:val="21"/>
              </w:rPr>
            </w:pPr>
            <w:bookmarkStart w:id="1" w:name="_GoBack"/>
            <w:bookmarkEnd w:id="1"/>
            <w:r>
              <w:rPr>
                <w:rFonts w:hint="eastAsia"/>
                <w:color w:val="000000"/>
                <w:kern w:val="0"/>
                <w:szCs w:val="21"/>
              </w:rPr>
              <w:t>外观（感官）</w:t>
            </w:r>
          </w:p>
        </w:tc>
        <w:tc>
          <w:tcPr>
            <w:tcW w:w="1667" w:type="pct"/>
            <w:noWrap w:val="0"/>
            <w:vAlign w:val="center"/>
          </w:tcPr>
          <w:p w14:paraId="03A016FD">
            <w:pPr>
              <w:jc w:val="center"/>
              <w:rPr>
                <w:color w:val="000000"/>
                <w:kern w:val="0"/>
                <w:szCs w:val="21"/>
              </w:rPr>
            </w:pPr>
            <w:r>
              <w:rPr>
                <w:bCs/>
                <w:color w:val="000000"/>
                <w:szCs w:val="21"/>
              </w:rPr>
              <w:t>NY</w:t>
            </w:r>
            <w:r>
              <w:rPr>
                <w:rFonts w:hint="eastAsia"/>
                <w:bCs/>
                <w:color w:val="000000"/>
                <w:szCs w:val="21"/>
                <w:lang w:val="en-US" w:eastAsia="zh-CN"/>
              </w:rPr>
              <w:t xml:space="preserve"> 884</w:t>
            </w:r>
            <w:r>
              <w:rPr>
                <w:color w:val="000000"/>
                <w:szCs w:val="21"/>
              </w:rPr>
              <w:t>—</w:t>
            </w:r>
            <w:r>
              <w:rPr>
                <w:bCs/>
                <w:color w:val="000000"/>
                <w:szCs w:val="21"/>
              </w:rPr>
              <w:t>20</w:t>
            </w:r>
            <w:r>
              <w:rPr>
                <w:rFonts w:hint="eastAsia"/>
                <w:bCs/>
                <w:color w:val="000000"/>
                <w:szCs w:val="21"/>
                <w:lang w:val="en-US" w:eastAsia="zh-CN"/>
              </w:rPr>
              <w:t>12</w:t>
            </w:r>
          </w:p>
        </w:tc>
      </w:tr>
      <w:tr w14:paraId="3A7D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7C21E217">
            <w:pPr>
              <w:pStyle w:val="7"/>
              <w:widowControl/>
              <w:numPr>
                <w:ilvl w:val="0"/>
                <w:numId w:val="1"/>
              </w:numPr>
              <w:ind w:firstLineChars="0"/>
              <w:jc w:val="center"/>
              <w:rPr>
                <w:rFonts w:ascii="Times New Roman" w:hAnsi="Times New Roman" w:eastAsia="宋体"/>
                <w:color w:val="000000"/>
                <w:kern w:val="0"/>
                <w:szCs w:val="21"/>
              </w:rPr>
            </w:pPr>
          </w:p>
        </w:tc>
        <w:tc>
          <w:tcPr>
            <w:tcW w:w="2782" w:type="pct"/>
            <w:noWrap w:val="0"/>
            <w:vAlign w:val="center"/>
          </w:tcPr>
          <w:p w14:paraId="020FFF3E">
            <w:pPr>
              <w:widowControl/>
              <w:jc w:val="center"/>
              <w:rPr>
                <w:color w:val="000000"/>
                <w:kern w:val="0"/>
                <w:szCs w:val="21"/>
              </w:rPr>
            </w:pPr>
            <w:r>
              <w:rPr>
                <w:rFonts w:hint="eastAsia"/>
                <w:color w:val="000000"/>
                <w:kern w:val="0"/>
                <w:szCs w:val="21"/>
              </w:rPr>
              <w:t>有效活菌数</w:t>
            </w:r>
          </w:p>
        </w:tc>
        <w:tc>
          <w:tcPr>
            <w:tcW w:w="1667" w:type="pct"/>
            <w:noWrap w:val="0"/>
            <w:vAlign w:val="center"/>
          </w:tcPr>
          <w:p w14:paraId="0EC86D45">
            <w:pPr>
              <w:jc w:val="center"/>
              <w:rPr>
                <w:color w:val="000000"/>
                <w:kern w:val="0"/>
                <w:szCs w:val="21"/>
              </w:rPr>
            </w:pPr>
            <w:r>
              <w:rPr>
                <w:rFonts w:hint="eastAsia"/>
                <w:color w:val="000000"/>
                <w:kern w:val="0"/>
                <w:szCs w:val="21"/>
              </w:rPr>
              <w:t>NY/T 798-2004</w:t>
            </w:r>
          </w:p>
        </w:tc>
      </w:tr>
      <w:tr w14:paraId="1CC03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2537CDB9">
            <w:pPr>
              <w:pStyle w:val="7"/>
              <w:widowControl/>
              <w:numPr>
                <w:ilvl w:val="0"/>
                <w:numId w:val="1"/>
              </w:numPr>
              <w:ind w:firstLineChars="0"/>
              <w:jc w:val="center"/>
              <w:rPr>
                <w:rFonts w:ascii="Times New Roman" w:hAnsi="Times New Roman" w:eastAsia="宋体"/>
                <w:kern w:val="0"/>
                <w:szCs w:val="21"/>
              </w:rPr>
            </w:pPr>
          </w:p>
        </w:tc>
        <w:tc>
          <w:tcPr>
            <w:tcW w:w="2782" w:type="pct"/>
            <w:noWrap w:val="0"/>
            <w:vAlign w:val="center"/>
          </w:tcPr>
          <w:p w14:paraId="2A71681F">
            <w:pPr>
              <w:widowControl/>
              <w:jc w:val="center"/>
              <w:rPr>
                <w:kern w:val="0"/>
                <w:szCs w:val="21"/>
              </w:rPr>
            </w:pPr>
            <w:r>
              <w:rPr>
                <w:rFonts w:hint="eastAsia"/>
                <w:color w:val="000000"/>
                <w:kern w:val="0"/>
                <w:szCs w:val="21"/>
              </w:rPr>
              <w:t>有机质（已干基计）</w:t>
            </w:r>
          </w:p>
        </w:tc>
        <w:tc>
          <w:tcPr>
            <w:tcW w:w="1667" w:type="pct"/>
            <w:noWrap w:val="0"/>
            <w:vAlign w:val="center"/>
          </w:tcPr>
          <w:p w14:paraId="1DA6A9B5">
            <w:pPr>
              <w:jc w:val="center"/>
              <w:rPr>
                <w:kern w:val="0"/>
                <w:szCs w:val="21"/>
              </w:rPr>
            </w:pPr>
            <w:r>
              <w:rPr>
                <w:kern w:val="0"/>
                <w:szCs w:val="21"/>
              </w:rPr>
              <w:t>NY/T 525</w:t>
            </w:r>
            <w:r>
              <w:rPr>
                <w:szCs w:val="21"/>
              </w:rPr>
              <w:t>—</w:t>
            </w:r>
            <w:r>
              <w:rPr>
                <w:kern w:val="0"/>
                <w:szCs w:val="21"/>
              </w:rPr>
              <w:t>2021</w:t>
            </w:r>
          </w:p>
        </w:tc>
      </w:tr>
      <w:tr w14:paraId="38680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38B54639">
            <w:pPr>
              <w:pStyle w:val="7"/>
              <w:widowControl/>
              <w:numPr>
                <w:ilvl w:val="0"/>
                <w:numId w:val="1"/>
              </w:numPr>
              <w:ind w:firstLineChars="0"/>
              <w:jc w:val="center"/>
              <w:rPr>
                <w:rFonts w:ascii="Times New Roman" w:hAnsi="Times New Roman" w:eastAsia="宋体"/>
                <w:kern w:val="0"/>
                <w:szCs w:val="21"/>
              </w:rPr>
            </w:pPr>
          </w:p>
        </w:tc>
        <w:tc>
          <w:tcPr>
            <w:tcW w:w="2782" w:type="pct"/>
            <w:noWrap w:val="0"/>
            <w:vAlign w:val="center"/>
          </w:tcPr>
          <w:p w14:paraId="51CB6EFB">
            <w:pPr>
              <w:widowControl/>
              <w:jc w:val="center"/>
              <w:rPr>
                <w:kern w:val="0"/>
                <w:szCs w:val="21"/>
              </w:rPr>
            </w:pPr>
            <w:r>
              <w:rPr>
                <w:rFonts w:hint="eastAsia"/>
                <w:color w:val="000000"/>
                <w:kern w:val="0"/>
                <w:szCs w:val="21"/>
              </w:rPr>
              <w:t>水分</w:t>
            </w:r>
          </w:p>
        </w:tc>
        <w:tc>
          <w:tcPr>
            <w:tcW w:w="1667" w:type="pct"/>
            <w:noWrap w:val="0"/>
            <w:vAlign w:val="center"/>
          </w:tcPr>
          <w:p w14:paraId="7C330EB4">
            <w:pPr>
              <w:jc w:val="center"/>
              <w:rPr>
                <w:kern w:val="0"/>
                <w:szCs w:val="21"/>
              </w:rPr>
            </w:pPr>
            <w:r>
              <w:rPr>
                <w:rFonts w:hint="eastAsia"/>
                <w:color w:val="000000"/>
                <w:kern w:val="0"/>
                <w:szCs w:val="21"/>
              </w:rPr>
              <w:t>NY/T 798-2004</w:t>
            </w:r>
          </w:p>
        </w:tc>
      </w:tr>
      <w:tr w14:paraId="3A21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39CFE75C">
            <w:pPr>
              <w:pStyle w:val="7"/>
              <w:widowControl/>
              <w:numPr>
                <w:ilvl w:val="0"/>
                <w:numId w:val="1"/>
              </w:numPr>
              <w:ind w:firstLineChars="0"/>
              <w:jc w:val="center"/>
              <w:rPr>
                <w:rFonts w:ascii="Times New Roman" w:hAnsi="Times New Roman" w:eastAsia="宋体"/>
                <w:kern w:val="0"/>
                <w:szCs w:val="21"/>
              </w:rPr>
            </w:pPr>
          </w:p>
        </w:tc>
        <w:tc>
          <w:tcPr>
            <w:tcW w:w="2782" w:type="pct"/>
            <w:noWrap w:val="0"/>
            <w:vAlign w:val="center"/>
          </w:tcPr>
          <w:p w14:paraId="7A359B61">
            <w:pPr>
              <w:widowControl/>
              <w:jc w:val="center"/>
              <w:rPr>
                <w:kern w:val="0"/>
                <w:szCs w:val="21"/>
              </w:rPr>
            </w:pPr>
            <w:r>
              <w:rPr>
                <w:rFonts w:hint="eastAsia"/>
                <w:color w:val="000000"/>
                <w:kern w:val="0"/>
                <w:szCs w:val="21"/>
              </w:rPr>
              <w:t>pH</w:t>
            </w:r>
          </w:p>
        </w:tc>
        <w:tc>
          <w:tcPr>
            <w:tcW w:w="1667" w:type="pct"/>
            <w:noWrap w:val="0"/>
            <w:vAlign w:val="center"/>
          </w:tcPr>
          <w:p w14:paraId="42224CD4">
            <w:pPr>
              <w:jc w:val="center"/>
              <w:rPr>
                <w:kern w:val="0"/>
                <w:szCs w:val="21"/>
              </w:rPr>
            </w:pPr>
            <w:r>
              <w:rPr>
                <w:rFonts w:hint="eastAsia"/>
                <w:color w:val="000000"/>
                <w:kern w:val="0"/>
                <w:szCs w:val="21"/>
              </w:rPr>
              <w:t>NY/T 798-2004</w:t>
            </w:r>
          </w:p>
        </w:tc>
      </w:tr>
      <w:tr w14:paraId="2D46A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0E75F386">
            <w:pPr>
              <w:pStyle w:val="7"/>
              <w:widowControl/>
              <w:numPr>
                <w:ilvl w:val="0"/>
                <w:numId w:val="1"/>
              </w:numPr>
              <w:ind w:firstLineChars="0"/>
              <w:jc w:val="center"/>
              <w:rPr>
                <w:rFonts w:ascii="Times New Roman" w:hAnsi="Times New Roman" w:eastAsia="宋体"/>
                <w:kern w:val="0"/>
                <w:szCs w:val="21"/>
              </w:rPr>
            </w:pPr>
          </w:p>
        </w:tc>
        <w:tc>
          <w:tcPr>
            <w:tcW w:w="2782" w:type="pct"/>
            <w:noWrap w:val="0"/>
            <w:vAlign w:val="center"/>
          </w:tcPr>
          <w:p w14:paraId="1929B085">
            <w:pPr>
              <w:widowControl/>
              <w:jc w:val="center"/>
              <w:rPr>
                <w:kern w:val="0"/>
                <w:szCs w:val="21"/>
              </w:rPr>
            </w:pPr>
            <w:r>
              <w:rPr>
                <w:rFonts w:hint="eastAsia"/>
                <w:color w:val="000000"/>
                <w:kern w:val="0"/>
                <w:szCs w:val="21"/>
              </w:rPr>
              <w:t>粪大肠菌群数</w:t>
            </w:r>
          </w:p>
        </w:tc>
        <w:tc>
          <w:tcPr>
            <w:tcW w:w="1667" w:type="pct"/>
            <w:noWrap w:val="0"/>
            <w:vAlign w:val="center"/>
          </w:tcPr>
          <w:p w14:paraId="14958CA5">
            <w:pPr>
              <w:jc w:val="center"/>
              <w:rPr>
                <w:kern w:val="0"/>
                <w:szCs w:val="21"/>
              </w:rPr>
            </w:pPr>
            <w:r>
              <w:rPr>
                <w:color w:val="000000"/>
                <w:kern w:val="0"/>
                <w:szCs w:val="21"/>
              </w:rPr>
              <w:t>GB/T 19524.1</w:t>
            </w:r>
            <w:r>
              <w:rPr>
                <w:color w:val="000000"/>
                <w:szCs w:val="21"/>
              </w:rPr>
              <w:t>—</w:t>
            </w:r>
            <w:r>
              <w:rPr>
                <w:color w:val="000000"/>
                <w:kern w:val="0"/>
                <w:szCs w:val="21"/>
              </w:rPr>
              <w:t>2004</w:t>
            </w:r>
          </w:p>
        </w:tc>
      </w:tr>
      <w:tr w14:paraId="4A86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549" w:type="pct"/>
            <w:noWrap w:val="0"/>
            <w:vAlign w:val="center"/>
          </w:tcPr>
          <w:p w14:paraId="081D7E81">
            <w:pPr>
              <w:pStyle w:val="7"/>
              <w:widowControl/>
              <w:numPr>
                <w:ilvl w:val="0"/>
                <w:numId w:val="1"/>
              </w:numPr>
              <w:ind w:firstLineChars="0"/>
              <w:jc w:val="center"/>
              <w:rPr>
                <w:rFonts w:ascii="Times New Roman" w:hAnsi="Times New Roman" w:eastAsia="宋体"/>
                <w:kern w:val="0"/>
                <w:szCs w:val="21"/>
              </w:rPr>
            </w:pPr>
          </w:p>
        </w:tc>
        <w:tc>
          <w:tcPr>
            <w:tcW w:w="2782" w:type="pct"/>
            <w:noWrap w:val="0"/>
            <w:vAlign w:val="center"/>
          </w:tcPr>
          <w:p w14:paraId="5293D6B0">
            <w:pPr>
              <w:widowControl/>
              <w:jc w:val="center"/>
              <w:rPr>
                <w:kern w:val="0"/>
                <w:szCs w:val="21"/>
              </w:rPr>
            </w:pPr>
            <w:r>
              <w:rPr>
                <w:rFonts w:hint="eastAsia"/>
                <w:color w:val="000000"/>
                <w:kern w:val="0"/>
                <w:szCs w:val="21"/>
              </w:rPr>
              <w:t>蛔虫卵死亡率</w:t>
            </w:r>
          </w:p>
        </w:tc>
        <w:tc>
          <w:tcPr>
            <w:tcW w:w="1667" w:type="pct"/>
            <w:noWrap w:val="0"/>
            <w:vAlign w:val="center"/>
          </w:tcPr>
          <w:p w14:paraId="0021975E">
            <w:pPr>
              <w:jc w:val="center"/>
              <w:rPr>
                <w:kern w:val="0"/>
                <w:szCs w:val="21"/>
              </w:rPr>
            </w:pPr>
            <w:r>
              <w:rPr>
                <w:color w:val="000000"/>
                <w:kern w:val="0"/>
                <w:szCs w:val="21"/>
              </w:rPr>
              <w:t>GB/T 19524.1</w:t>
            </w:r>
            <w:r>
              <w:rPr>
                <w:color w:val="000000"/>
                <w:szCs w:val="21"/>
              </w:rPr>
              <w:t>—</w:t>
            </w:r>
            <w:r>
              <w:rPr>
                <w:color w:val="000000"/>
                <w:kern w:val="0"/>
                <w:szCs w:val="21"/>
              </w:rPr>
              <w:t>2004</w:t>
            </w:r>
          </w:p>
        </w:tc>
      </w:tr>
    </w:tbl>
    <w:p w14:paraId="527BDF8A">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19486002">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3E2264A3">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color w:val="000000"/>
          <w:szCs w:val="21"/>
        </w:rPr>
      </w:pPr>
    </w:p>
    <w:p w14:paraId="32C75AEF">
      <w:pPr>
        <w:keepNext w:val="0"/>
        <w:keepLines w:val="0"/>
        <w:pageBreakBefore w:val="0"/>
        <w:widowControl w:val="0"/>
        <w:kinsoku/>
        <w:wordWrap/>
        <w:overflowPunct/>
        <w:topLinePunct w:val="0"/>
        <w:autoSpaceDE/>
        <w:autoSpaceDN/>
        <w:bidi w:val="0"/>
        <w:adjustRightInd/>
        <w:spacing w:line="420" w:lineRule="exact"/>
        <w:textAlignment w:val="auto"/>
        <w:rPr>
          <w:rFonts w:eastAsia="黑体"/>
          <w:color w:val="000000"/>
          <w:szCs w:val="21"/>
        </w:rPr>
      </w:pPr>
      <w:r>
        <w:rPr>
          <w:rFonts w:eastAsia="黑体"/>
          <w:color w:val="000000"/>
          <w:szCs w:val="21"/>
        </w:rPr>
        <w:t>3 判定规则</w:t>
      </w:r>
    </w:p>
    <w:p w14:paraId="1B5161E0">
      <w:pPr>
        <w:keepNext w:val="0"/>
        <w:keepLines w:val="0"/>
        <w:pageBreakBefore w:val="0"/>
        <w:widowControl w:val="0"/>
        <w:kinsoku/>
        <w:wordWrap/>
        <w:overflowPunct/>
        <w:topLinePunct w:val="0"/>
        <w:autoSpaceDE/>
        <w:autoSpaceDN/>
        <w:bidi w:val="0"/>
        <w:adjustRightInd/>
        <w:snapToGrid w:val="0"/>
        <w:spacing w:line="420" w:lineRule="exact"/>
        <w:textAlignment w:val="auto"/>
        <w:rPr>
          <w:bCs/>
          <w:color w:val="000000"/>
          <w:szCs w:val="21"/>
        </w:rPr>
      </w:pPr>
      <w:r>
        <w:rPr>
          <w:color w:val="000000"/>
          <w:szCs w:val="21"/>
        </w:rPr>
        <w:t>3.1依据标准</w:t>
      </w:r>
    </w:p>
    <w:p w14:paraId="06DA8349">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bCs/>
          <w:color w:val="000000"/>
          <w:szCs w:val="21"/>
        </w:rPr>
      </w:pPr>
      <w:r>
        <w:rPr>
          <w:bCs/>
          <w:color w:val="000000"/>
          <w:szCs w:val="21"/>
        </w:rPr>
        <w:t>GB 18382</w:t>
      </w:r>
      <w:r>
        <w:rPr>
          <w:color w:val="000000"/>
          <w:szCs w:val="21"/>
        </w:rPr>
        <w:t>—</w:t>
      </w:r>
      <w:r>
        <w:rPr>
          <w:bCs/>
          <w:color w:val="000000"/>
          <w:szCs w:val="21"/>
        </w:rPr>
        <w:t>2021 肥料标识 内容和要求</w:t>
      </w:r>
    </w:p>
    <w:p w14:paraId="69E8858A">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bCs/>
          <w:color w:val="000000"/>
          <w:szCs w:val="21"/>
        </w:rPr>
      </w:pPr>
      <w:r>
        <w:rPr>
          <w:bCs/>
          <w:color w:val="000000"/>
          <w:szCs w:val="21"/>
        </w:rPr>
        <w:t>GB 38400</w:t>
      </w:r>
      <w:r>
        <w:rPr>
          <w:color w:val="000000"/>
          <w:szCs w:val="21"/>
        </w:rPr>
        <w:t>—</w:t>
      </w:r>
      <w:r>
        <w:rPr>
          <w:bCs/>
          <w:color w:val="000000"/>
          <w:szCs w:val="21"/>
        </w:rPr>
        <w:t>2019 肥料中有毒有害物质的限量要求</w:t>
      </w:r>
    </w:p>
    <w:p w14:paraId="17ADE747">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bCs/>
          <w:color w:val="000000"/>
          <w:szCs w:val="21"/>
        </w:rPr>
      </w:pPr>
      <w:r>
        <w:rPr>
          <w:bCs/>
          <w:color w:val="000000"/>
          <w:szCs w:val="21"/>
        </w:rPr>
        <w:t>NY</w:t>
      </w:r>
      <w:r>
        <w:rPr>
          <w:rFonts w:hint="eastAsia"/>
          <w:bCs/>
          <w:color w:val="000000"/>
          <w:szCs w:val="21"/>
          <w:lang w:val="en-US" w:eastAsia="zh-CN"/>
        </w:rPr>
        <w:t xml:space="preserve"> 884</w:t>
      </w:r>
      <w:r>
        <w:rPr>
          <w:color w:val="000000"/>
          <w:szCs w:val="21"/>
        </w:rPr>
        <w:t>—</w:t>
      </w:r>
      <w:r>
        <w:rPr>
          <w:bCs/>
          <w:color w:val="000000"/>
          <w:szCs w:val="21"/>
        </w:rPr>
        <w:t>20</w:t>
      </w:r>
      <w:r>
        <w:rPr>
          <w:rFonts w:hint="eastAsia"/>
          <w:bCs/>
          <w:color w:val="000000"/>
          <w:szCs w:val="21"/>
          <w:lang w:val="en-US" w:eastAsia="zh-CN"/>
        </w:rPr>
        <w:t>12</w:t>
      </w:r>
      <w:r>
        <w:rPr>
          <w:bCs/>
          <w:color w:val="000000"/>
          <w:szCs w:val="21"/>
        </w:rPr>
        <w:t xml:space="preserve"> </w:t>
      </w:r>
      <w:r>
        <w:rPr>
          <w:rFonts w:hint="eastAsia"/>
          <w:bCs/>
          <w:color w:val="000000"/>
          <w:szCs w:val="21"/>
        </w:rPr>
        <w:t>生物有机肥</w:t>
      </w:r>
    </w:p>
    <w:p w14:paraId="04913C00">
      <w:pPr>
        <w:keepNext w:val="0"/>
        <w:keepLines w:val="0"/>
        <w:pageBreakBefore w:val="0"/>
        <w:widowControl w:val="0"/>
        <w:kinsoku/>
        <w:wordWrap/>
        <w:overflowPunct/>
        <w:topLinePunct w:val="0"/>
        <w:autoSpaceDE/>
        <w:autoSpaceDN/>
        <w:bidi w:val="0"/>
        <w:adjustRightInd/>
        <w:spacing w:line="420" w:lineRule="exact"/>
        <w:ind w:firstLine="420" w:firstLineChars="200"/>
        <w:textAlignment w:val="auto"/>
        <w:rPr>
          <w:bCs/>
          <w:strike/>
          <w:color w:val="000000"/>
          <w:szCs w:val="21"/>
        </w:rPr>
      </w:pPr>
      <w:r>
        <w:rPr>
          <w:color w:val="000000"/>
          <w:szCs w:val="21"/>
        </w:rPr>
        <w:t>现行有效的企业标准、团体标准、地方标准及产品明示质量要求</w:t>
      </w:r>
    </w:p>
    <w:p w14:paraId="4FFB624F">
      <w:pPr>
        <w:keepNext w:val="0"/>
        <w:keepLines w:val="0"/>
        <w:pageBreakBefore w:val="0"/>
        <w:widowControl w:val="0"/>
        <w:kinsoku/>
        <w:wordWrap/>
        <w:overflowPunct/>
        <w:topLinePunct w:val="0"/>
        <w:autoSpaceDE/>
        <w:autoSpaceDN/>
        <w:bidi w:val="0"/>
        <w:adjustRightInd/>
        <w:snapToGrid w:val="0"/>
        <w:spacing w:line="420" w:lineRule="exact"/>
        <w:textAlignment w:val="auto"/>
        <w:rPr>
          <w:color w:val="000000"/>
          <w:szCs w:val="21"/>
        </w:rPr>
      </w:pPr>
      <w:r>
        <w:rPr>
          <w:color w:val="000000"/>
          <w:szCs w:val="21"/>
        </w:rPr>
        <w:t>3.2判定原则</w:t>
      </w:r>
    </w:p>
    <w:p w14:paraId="4858B4D7">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7D5D0DDB">
      <w:pPr>
        <w:keepNext w:val="0"/>
        <w:keepLines w:val="0"/>
        <w:pageBreakBefore w:val="0"/>
        <w:widowControl w:val="0"/>
        <w:kinsoku/>
        <w:wordWrap/>
        <w:overflowPunct/>
        <w:topLinePunct w:val="0"/>
        <w:autoSpaceDE/>
        <w:autoSpaceDN/>
        <w:bidi w:val="0"/>
        <w:adjustRightInd/>
        <w:snapToGrid w:val="0"/>
        <w:spacing w:line="42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14:paraId="3F4F6E3F">
      <w:pPr>
        <w:keepNext w:val="0"/>
        <w:keepLines w:val="0"/>
        <w:pageBreakBefore w:val="0"/>
        <w:widowControl w:val="0"/>
        <w:kinsoku/>
        <w:wordWrap/>
        <w:overflowPunct/>
        <w:topLinePunct w:val="0"/>
        <w:autoSpaceDE/>
        <w:autoSpaceDN/>
        <w:bidi w:val="0"/>
        <w:adjustRightInd/>
        <w:snapToGrid w:val="0"/>
        <w:spacing w:line="42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14:paraId="27DD2C9F">
      <w:pPr>
        <w:keepNext w:val="0"/>
        <w:keepLines w:val="0"/>
        <w:pageBreakBefore w:val="0"/>
        <w:widowControl w:val="0"/>
        <w:kinsoku/>
        <w:wordWrap/>
        <w:overflowPunct/>
        <w:topLinePunct w:val="0"/>
        <w:autoSpaceDE/>
        <w:autoSpaceDN/>
        <w:bidi w:val="0"/>
        <w:adjustRightInd/>
        <w:snapToGrid w:val="0"/>
        <w:spacing w:line="42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14:paraId="58EF3E6E">
      <w:pPr>
        <w:keepNext w:val="0"/>
        <w:keepLines w:val="0"/>
        <w:pageBreakBefore w:val="0"/>
        <w:widowControl w:val="0"/>
        <w:kinsoku/>
        <w:wordWrap/>
        <w:overflowPunct/>
        <w:topLinePunct w:val="0"/>
        <w:autoSpaceDE/>
        <w:autoSpaceDN/>
        <w:bidi w:val="0"/>
        <w:adjustRightInd/>
        <w:snapToGrid w:val="0"/>
        <w:spacing w:line="42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14:paraId="408729DA">
      <w:pPr>
        <w:keepNext w:val="0"/>
        <w:keepLines w:val="0"/>
        <w:pageBreakBefore w:val="0"/>
        <w:widowControl w:val="0"/>
        <w:kinsoku/>
        <w:wordWrap/>
        <w:overflowPunct/>
        <w:topLinePunct w:val="0"/>
        <w:autoSpaceDE/>
        <w:autoSpaceDN/>
        <w:bidi w:val="0"/>
        <w:adjustRightInd/>
        <w:snapToGrid w:val="0"/>
        <w:spacing w:line="42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14:paraId="1949249E"/>
    <w:sectPr>
      <w:headerReference r:id="rId3" w:type="default"/>
      <w:footerReference r:id="rId4" w:type="default"/>
      <w:footerReference r:id="rId5" w:type="even"/>
      <w:pgSz w:w="11906" w:h="16838"/>
      <w:pgMar w:top="1984" w:right="1474" w:bottom="1644" w:left="1474" w:header="851" w:footer="1191" w:gutter="0"/>
      <w:pgNumType w:start="183"/>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B8531">
    <w:pPr>
      <w:pStyle w:val="3"/>
      <w:keepNext w:val="0"/>
      <w:keepLines w:val="0"/>
      <w:pageBreakBefore w:val="0"/>
      <w:widowControl w:val="0"/>
      <w:kinsoku/>
      <w:wordWrap/>
      <w:overflowPunct/>
      <w:topLinePunct w:val="0"/>
      <w:autoSpaceDE/>
      <w:autoSpaceDN/>
      <w:bidi w:val="0"/>
      <w:adjustRightInd/>
      <w:snapToGrid w:val="0"/>
      <w:spacing w:after="0" w:line="240" w:lineRule="auto"/>
      <w:ind w:left="315" w:leftChars="150" w:right="315" w:rightChars="150"/>
      <w:jc w:val="right"/>
      <w:textAlignment w:val="auto"/>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F6B8D">
    <w:pPr>
      <w:pStyle w:val="3"/>
      <w:keepNext w:val="0"/>
      <w:keepLines w:val="0"/>
      <w:pageBreakBefore w:val="0"/>
      <w:widowControl w:val="0"/>
      <w:kinsoku/>
      <w:wordWrap/>
      <w:overflowPunct/>
      <w:topLinePunct w:val="0"/>
      <w:autoSpaceDE/>
      <w:autoSpaceDN/>
      <w:bidi w:val="0"/>
      <w:adjustRightInd/>
      <w:snapToGrid w:val="0"/>
      <w:spacing w:after="0" w:line="240" w:lineRule="auto"/>
      <w:ind w:left="315" w:leftChars="150" w:right="315" w:rightChars="150"/>
      <w:jc w:val="both"/>
      <w:textAlignment w:val="auto"/>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038F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82D92"/>
    <w:rsid w:val="0CFF6B53"/>
    <w:rsid w:val="115F47B6"/>
    <w:rsid w:val="1C5E0A08"/>
    <w:rsid w:val="1DBA17F8"/>
    <w:rsid w:val="31656532"/>
    <w:rsid w:val="364F7E41"/>
    <w:rsid w:val="36767B12"/>
    <w:rsid w:val="4AA03036"/>
    <w:rsid w:val="554C1DF1"/>
    <w:rsid w:val="5BDC19F5"/>
    <w:rsid w:val="5CC71F9C"/>
    <w:rsid w:val="5D8352BC"/>
    <w:rsid w:val="629923ED"/>
    <w:rsid w:val="65222B6E"/>
    <w:rsid w:val="664F7993"/>
    <w:rsid w:val="70CB230C"/>
    <w:rsid w:val="71616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lang w:val="zh-CN"/>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7">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664</Words>
  <Characters>781</Characters>
  <Lines>0</Lines>
  <Paragraphs>0</Paragraphs>
  <TotalTime>1</TotalTime>
  <ScaleCrop>false</ScaleCrop>
  <LinksUpToDate>false</LinksUpToDate>
  <CharactersWithSpaces>798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2025-04-10T06:02:00Z</dcterms:created>
  <dc:creator>wz</dc:creator>
  <cp:lastModifiedBy>Wz</cp:lastModifiedBy>
  <dcterms:modified xsi:type="dcterms:W3CDTF">2025-04-11T08:06:41Z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eyJoZGlkIjoiYzUxNmUyN2M1NDExYWQ2NTIwYWUyZTMzYWRkNjUxZDMiLCJ1c2VySWQiOiI0NDk1Njk2MjIifQ==</vt:lpwstr>
  </property>
  <property fmtid="{D5CDD505-2E9C-101B-9397-08002B2CF9AE}" pid="4" name="ICV">
    <vt:lpwstr>25F9E40DC44F47C7B2980BFB9C83D41D_12</vt:lpwstr>
  </property>
</Properties>
</file>