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2F2409">
      <w:pPr>
        <w:pStyle w:val="2"/>
        <w:spacing w:line="316" w:lineRule="auto"/>
        <w:jc w:val="center"/>
        <w:rPr>
          <w:rFonts w:hint="eastAsia" w:ascii="宋体" w:hAnsi="宋体" w:eastAsia="宋体" w:cs="宋体"/>
          <w:b/>
          <w:bCs/>
          <w:spacing w:val="-5"/>
          <w:sz w:val="32"/>
          <w:szCs w:val="32"/>
        </w:rPr>
      </w:pPr>
      <w:r>
        <w:rPr>
          <w:rFonts w:hint="eastAsia" w:ascii="宋体" w:hAnsi="宋体" w:eastAsia="宋体" w:cs="宋体"/>
          <w:b/>
          <w:bCs/>
          <w:spacing w:val="-5"/>
          <w:sz w:val="32"/>
          <w:szCs w:val="32"/>
        </w:rPr>
        <w:t>伊金霍洛旗2025年</w:t>
      </w:r>
    </w:p>
    <w:p w14:paraId="2A9C0272">
      <w:pPr>
        <w:jc w:val="center"/>
        <w:rPr>
          <w:rFonts w:hint="eastAsia" w:ascii="宋体" w:hAnsi="宋体" w:eastAsia="宋体" w:cs="宋体"/>
          <w:b/>
          <w:bCs/>
          <w:spacing w:val="-5"/>
          <w:kern w:val="2"/>
          <w:sz w:val="32"/>
          <w:szCs w:val="32"/>
          <w:lang w:val="en-US" w:eastAsia="en-US" w:bidi="ar-SA"/>
        </w:rPr>
      </w:pPr>
      <w:r>
        <w:rPr>
          <w:rFonts w:hint="eastAsia" w:ascii="宋体" w:hAnsi="宋体" w:eastAsia="宋体" w:cs="宋体"/>
          <w:b/>
          <w:bCs/>
          <w:spacing w:val="-5"/>
          <w:kern w:val="2"/>
          <w:sz w:val="32"/>
          <w:szCs w:val="32"/>
          <w:lang w:val="en-US" w:eastAsia="en-US" w:bidi="ar-SA"/>
        </w:rPr>
        <w:t>全生物降解农用地面覆盖薄膜产品质量监督抽查实施细则</w:t>
      </w:r>
    </w:p>
    <w:p w14:paraId="2A37AC39">
      <w:pPr>
        <w:spacing w:line="360" w:lineRule="auto"/>
        <w:jc w:val="left"/>
        <w:rPr>
          <w:rFonts w:eastAsia="黑体"/>
          <w:color w:val="000000"/>
          <w:szCs w:val="21"/>
        </w:rPr>
      </w:pPr>
      <w:r>
        <w:rPr>
          <w:rFonts w:eastAsia="黑体"/>
          <w:color w:val="000000"/>
          <w:szCs w:val="21"/>
        </w:rPr>
        <w:t>1 抽样方法</w:t>
      </w:r>
    </w:p>
    <w:p w14:paraId="29B16E32">
      <w:pPr>
        <w:snapToGrid w:val="0"/>
        <w:spacing w:line="440" w:lineRule="exact"/>
        <w:ind w:firstLine="420" w:firstLineChars="200"/>
        <w:rPr>
          <w:color w:val="000000"/>
          <w:szCs w:val="21"/>
        </w:rPr>
      </w:pPr>
      <w:r>
        <w:rPr>
          <w:color w:val="000000"/>
          <w:szCs w:val="21"/>
        </w:rPr>
        <w:t>以随机抽样的方式在被抽样生产者、销售者的待销产品中抽取。</w:t>
      </w:r>
    </w:p>
    <w:p w14:paraId="3F1C66D3">
      <w:pPr>
        <w:snapToGrid w:val="0"/>
        <w:spacing w:line="440" w:lineRule="exact"/>
        <w:ind w:firstLine="420" w:firstLineChars="200"/>
        <w:rPr>
          <w:color w:val="000000"/>
        </w:rPr>
      </w:pPr>
      <w:r>
        <w:rPr>
          <w:color w:val="000000"/>
        </w:rPr>
        <w:t>随机数一般可使用随机数表等方法产生。</w:t>
      </w:r>
    </w:p>
    <w:p w14:paraId="67B84AE7">
      <w:pPr>
        <w:snapToGrid w:val="0"/>
        <w:spacing w:line="440" w:lineRule="exact"/>
        <w:ind w:firstLine="417" w:firstLineChars="199"/>
        <w:rPr>
          <w:color w:val="000000"/>
          <w:szCs w:val="21"/>
        </w:rPr>
      </w:pPr>
      <w:r>
        <w:rPr>
          <w:rFonts w:hint="eastAsia"/>
          <w:color w:val="000000"/>
          <w:szCs w:val="21"/>
        </w:rPr>
        <w:t>每批次地膜产品</w:t>
      </w:r>
      <w:r>
        <w:rPr>
          <w:color w:val="000000"/>
          <w:szCs w:val="21"/>
        </w:rPr>
        <w:t>随机抽取</w:t>
      </w:r>
      <w:r>
        <w:rPr>
          <w:rFonts w:hint="eastAsia"/>
          <w:color w:val="000000"/>
          <w:szCs w:val="21"/>
        </w:rPr>
        <w:t>2</w:t>
      </w:r>
      <w:r>
        <w:rPr>
          <w:color w:val="000000"/>
          <w:szCs w:val="21"/>
        </w:rPr>
        <w:t>卷薄膜，</w:t>
      </w:r>
      <w:r>
        <w:rPr>
          <w:rFonts w:hint="eastAsia"/>
          <w:color w:val="000000"/>
        </w:rPr>
        <w:t>其中1卷</w:t>
      </w:r>
      <w:r>
        <w:rPr>
          <w:color w:val="000000"/>
          <w:szCs w:val="21"/>
        </w:rPr>
        <w:t>为检验样品，1</w:t>
      </w:r>
      <w:r>
        <w:rPr>
          <w:rFonts w:hint="eastAsia"/>
          <w:color w:val="000000"/>
          <w:szCs w:val="21"/>
        </w:rPr>
        <w:t>卷</w:t>
      </w:r>
      <w:r>
        <w:rPr>
          <w:color w:val="000000"/>
          <w:szCs w:val="21"/>
        </w:rPr>
        <w:t>为备用样品。</w:t>
      </w:r>
    </w:p>
    <w:p w14:paraId="6C59712A">
      <w:pPr>
        <w:snapToGrid w:val="0"/>
        <w:spacing w:line="440" w:lineRule="exact"/>
        <w:rPr>
          <w:color w:val="000000"/>
          <w:szCs w:val="21"/>
        </w:rPr>
      </w:pPr>
    </w:p>
    <w:p w14:paraId="53607B7C">
      <w:pPr>
        <w:snapToGrid w:val="0"/>
        <w:spacing w:line="360" w:lineRule="auto"/>
        <w:rPr>
          <w:rFonts w:eastAsia="黑体"/>
          <w:color w:val="000000"/>
          <w:szCs w:val="21"/>
        </w:rPr>
      </w:pPr>
      <w:r>
        <w:rPr>
          <w:rFonts w:eastAsia="黑体"/>
          <w:color w:val="000000"/>
          <w:szCs w:val="21"/>
        </w:rPr>
        <w:t>2 检验依据</w:t>
      </w:r>
    </w:p>
    <w:p w14:paraId="2FC17E64">
      <w:pPr>
        <w:snapToGrid w:val="0"/>
        <w:spacing w:line="360" w:lineRule="auto"/>
        <w:rPr>
          <w:rFonts w:eastAsia="黑体"/>
          <w:color w:val="000000"/>
          <w:szCs w:val="21"/>
        </w:rPr>
      </w:pPr>
      <w:r>
        <w:rPr>
          <w:rFonts w:hint="eastAsia" w:eastAsia="黑体"/>
          <w:color w:val="000000"/>
          <w:szCs w:val="21"/>
        </w:rPr>
        <w:t xml:space="preserve">                         </w:t>
      </w:r>
      <w:r>
        <w:rPr>
          <w:rFonts w:hint="eastAsia" w:ascii="宋体" w:hAnsi="宋体"/>
          <w:b/>
          <w:bCs/>
          <w:color w:val="000000"/>
          <w:szCs w:val="21"/>
        </w:rPr>
        <w:t>表1 聚乙烯吹塑农用地面覆盖薄膜</w:t>
      </w:r>
    </w:p>
    <w:tbl>
      <w:tblPr>
        <w:tblStyle w:val="3"/>
        <w:tblW w:w="87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4111"/>
        <w:gridCol w:w="3685"/>
      </w:tblGrid>
      <w:tr w14:paraId="05F30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959" w:type="dxa"/>
            <w:noWrap w:val="0"/>
            <w:vAlign w:val="center"/>
          </w:tcPr>
          <w:p w14:paraId="4710F7C4">
            <w:pPr>
              <w:snapToGrid w:val="0"/>
              <w:spacing w:line="440" w:lineRule="exact"/>
              <w:jc w:val="center"/>
              <w:rPr>
                <w:color w:val="000000"/>
                <w:szCs w:val="21"/>
              </w:rPr>
            </w:pPr>
            <w:r>
              <w:rPr>
                <w:color w:val="000000"/>
                <w:szCs w:val="21"/>
              </w:rPr>
              <w:t>序号</w:t>
            </w:r>
          </w:p>
        </w:tc>
        <w:tc>
          <w:tcPr>
            <w:tcW w:w="4111" w:type="dxa"/>
            <w:noWrap w:val="0"/>
            <w:vAlign w:val="center"/>
          </w:tcPr>
          <w:p w14:paraId="32D1D0FE">
            <w:pPr>
              <w:snapToGrid w:val="0"/>
              <w:spacing w:line="440" w:lineRule="exact"/>
              <w:jc w:val="center"/>
              <w:rPr>
                <w:color w:val="000000"/>
                <w:szCs w:val="21"/>
              </w:rPr>
            </w:pPr>
            <w:r>
              <w:rPr>
                <w:color w:val="000000"/>
                <w:szCs w:val="21"/>
              </w:rPr>
              <w:t>检验项目</w:t>
            </w:r>
          </w:p>
        </w:tc>
        <w:tc>
          <w:tcPr>
            <w:tcW w:w="3685" w:type="dxa"/>
            <w:noWrap w:val="0"/>
            <w:vAlign w:val="center"/>
          </w:tcPr>
          <w:p w14:paraId="49A1D51E">
            <w:pPr>
              <w:snapToGrid w:val="0"/>
              <w:spacing w:line="440" w:lineRule="exact"/>
              <w:jc w:val="center"/>
              <w:rPr>
                <w:color w:val="000000"/>
                <w:szCs w:val="21"/>
              </w:rPr>
            </w:pPr>
            <w:r>
              <w:rPr>
                <w:color w:val="000000"/>
                <w:szCs w:val="21"/>
              </w:rPr>
              <w:t>检验方法</w:t>
            </w:r>
          </w:p>
        </w:tc>
      </w:tr>
      <w:tr w14:paraId="41481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959" w:type="dxa"/>
            <w:noWrap w:val="0"/>
            <w:vAlign w:val="center"/>
          </w:tcPr>
          <w:p w14:paraId="42F84BE2">
            <w:pPr>
              <w:snapToGrid w:val="0"/>
              <w:jc w:val="center"/>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1</w:t>
            </w:r>
          </w:p>
        </w:tc>
        <w:tc>
          <w:tcPr>
            <w:tcW w:w="4111" w:type="dxa"/>
            <w:noWrap w:val="0"/>
            <w:vAlign w:val="center"/>
          </w:tcPr>
          <w:p w14:paraId="5F3A8020">
            <w:pPr>
              <w:snapToGrid w:val="0"/>
              <w:jc w:val="center"/>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宽度极限偏差</w:t>
            </w:r>
          </w:p>
        </w:tc>
        <w:tc>
          <w:tcPr>
            <w:tcW w:w="3685" w:type="dxa"/>
            <w:noWrap w:val="0"/>
            <w:vAlign w:val="center"/>
          </w:tcPr>
          <w:p w14:paraId="748BB769">
            <w:pPr>
              <w:snapToGrid w:val="0"/>
              <w:jc w:val="center"/>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GB/T 6673—2001</w:t>
            </w:r>
          </w:p>
        </w:tc>
      </w:tr>
      <w:tr w14:paraId="39236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959" w:type="dxa"/>
            <w:noWrap w:val="0"/>
            <w:vAlign w:val="center"/>
          </w:tcPr>
          <w:p w14:paraId="2F72AED5">
            <w:pPr>
              <w:snapToGrid w:val="0"/>
              <w:jc w:val="center"/>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2</w:t>
            </w:r>
          </w:p>
        </w:tc>
        <w:tc>
          <w:tcPr>
            <w:tcW w:w="4111" w:type="dxa"/>
            <w:noWrap w:val="0"/>
            <w:vAlign w:val="center"/>
          </w:tcPr>
          <w:p w14:paraId="5257236E">
            <w:pPr>
              <w:snapToGrid w:val="0"/>
              <w:jc w:val="center"/>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厚度偏差</w:t>
            </w:r>
          </w:p>
        </w:tc>
        <w:tc>
          <w:tcPr>
            <w:tcW w:w="3685" w:type="dxa"/>
            <w:noWrap w:val="0"/>
            <w:vAlign w:val="center"/>
          </w:tcPr>
          <w:p w14:paraId="7E993EC3">
            <w:pPr>
              <w:snapToGrid w:val="0"/>
              <w:jc w:val="center"/>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GB/T 6672—2001</w:t>
            </w:r>
          </w:p>
        </w:tc>
      </w:tr>
      <w:tr w14:paraId="5F378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959" w:type="dxa"/>
            <w:noWrap w:val="0"/>
            <w:vAlign w:val="center"/>
          </w:tcPr>
          <w:p w14:paraId="7769E702">
            <w:pPr>
              <w:snapToGrid w:val="0"/>
              <w:jc w:val="center"/>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3</w:t>
            </w:r>
          </w:p>
        </w:tc>
        <w:tc>
          <w:tcPr>
            <w:tcW w:w="4111" w:type="dxa"/>
            <w:noWrap w:val="0"/>
            <w:vAlign w:val="center"/>
          </w:tcPr>
          <w:p w14:paraId="1703C32A">
            <w:pPr>
              <w:snapToGrid w:val="0"/>
              <w:jc w:val="center"/>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拉伸负荷（纵、横向）</w:t>
            </w:r>
          </w:p>
        </w:tc>
        <w:tc>
          <w:tcPr>
            <w:tcW w:w="3685" w:type="dxa"/>
            <w:noWrap w:val="0"/>
            <w:vAlign w:val="center"/>
          </w:tcPr>
          <w:p w14:paraId="4AADD901">
            <w:pPr>
              <w:snapToGrid w:val="0"/>
              <w:jc w:val="center"/>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GB/T 1040.3—2006</w:t>
            </w:r>
          </w:p>
        </w:tc>
      </w:tr>
      <w:tr w14:paraId="47639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959" w:type="dxa"/>
            <w:noWrap w:val="0"/>
            <w:vAlign w:val="center"/>
          </w:tcPr>
          <w:p w14:paraId="6AD7AD30">
            <w:pPr>
              <w:snapToGrid w:val="0"/>
              <w:jc w:val="center"/>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4</w:t>
            </w:r>
          </w:p>
        </w:tc>
        <w:tc>
          <w:tcPr>
            <w:tcW w:w="4111" w:type="dxa"/>
            <w:noWrap w:val="0"/>
            <w:vAlign w:val="center"/>
          </w:tcPr>
          <w:p w14:paraId="49D3794C">
            <w:pPr>
              <w:snapToGrid w:val="0"/>
              <w:jc w:val="center"/>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断裂标称应变（纵、横向）</w:t>
            </w:r>
          </w:p>
        </w:tc>
        <w:tc>
          <w:tcPr>
            <w:tcW w:w="3685" w:type="dxa"/>
            <w:noWrap w:val="0"/>
            <w:vAlign w:val="center"/>
          </w:tcPr>
          <w:p w14:paraId="1E7465F1">
            <w:pPr>
              <w:snapToGrid w:val="0"/>
              <w:jc w:val="center"/>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GB/T 1040.3—2006</w:t>
            </w:r>
          </w:p>
        </w:tc>
      </w:tr>
      <w:tr w14:paraId="23D0A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959" w:type="dxa"/>
            <w:noWrap w:val="0"/>
            <w:vAlign w:val="center"/>
          </w:tcPr>
          <w:p w14:paraId="0DB3709C">
            <w:pPr>
              <w:snapToGrid w:val="0"/>
              <w:jc w:val="center"/>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5</w:t>
            </w:r>
          </w:p>
        </w:tc>
        <w:tc>
          <w:tcPr>
            <w:tcW w:w="4111" w:type="dxa"/>
            <w:noWrap w:val="0"/>
            <w:vAlign w:val="center"/>
          </w:tcPr>
          <w:p w14:paraId="45537E35">
            <w:pPr>
              <w:snapToGrid w:val="0"/>
              <w:jc w:val="center"/>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直角撕裂负荷（纵、横向）</w:t>
            </w:r>
          </w:p>
        </w:tc>
        <w:tc>
          <w:tcPr>
            <w:tcW w:w="3685" w:type="dxa"/>
            <w:noWrap w:val="0"/>
            <w:vAlign w:val="center"/>
          </w:tcPr>
          <w:p w14:paraId="76446197">
            <w:pPr>
              <w:snapToGrid w:val="0"/>
              <w:jc w:val="center"/>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QB/T 1130—1991</w:t>
            </w:r>
          </w:p>
        </w:tc>
      </w:tr>
      <w:tr w14:paraId="1A764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959" w:type="dxa"/>
            <w:noWrap w:val="0"/>
            <w:vAlign w:val="center"/>
          </w:tcPr>
          <w:p w14:paraId="33725740">
            <w:pPr>
              <w:snapToGrid w:val="0"/>
              <w:jc w:val="center"/>
              <w:rPr>
                <w:rFonts w:hint="eastAsia" w:eastAsia="宋体"/>
                <w:color w:val="000000"/>
                <w:szCs w:val="21"/>
                <w:lang w:val="en-US" w:eastAsia="zh-CN"/>
              </w:rPr>
            </w:pPr>
            <w:r>
              <w:rPr>
                <w:rFonts w:hint="eastAsia"/>
                <w:color w:val="000000"/>
                <w:szCs w:val="21"/>
                <w:lang w:val="en-US" w:eastAsia="zh-CN"/>
              </w:rPr>
              <w:t>6</w:t>
            </w:r>
          </w:p>
        </w:tc>
        <w:tc>
          <w:tcPr>
            <w:tcW w:w="4111" w:type="dxa"/>
            <w:noWrap w:val="0"/>
            <w:vAlign w:val="center"/>
          </w:tcPr>
          <w:p w14:paraId="1279C30C">
            <w:pPr>
              <w:snapToGrid w:val="0"/>
              <w:jc w:val="center"/>
              <w:rPr>
                <w:rFonts w:hint="eastAsia" w:eastAsia="宋体"/>
                <w:color w:val="000000"/>
                <w:szCs w:val="21"/>
                <w:lang w:val="en-US" w:eastAsia="zh-CN"/>
              </w:rPr>
            </w:pPr>
            <w:r>
              <w:rPr>
                <w:rFonts w:hint="eastAsia"/>
                <w:color w:val="000000"/>
                <w:szCs w:val="21"/>
                <w:lang w:val="en-US" w:eastAsia="zh-CN"/>
              </w:rPr>
              <w:t>外观</w:t>
            </w:r>
          </w:p>
        </w:tc>
        <w:tc>
          <w:tcPr>
            <w:tcW w:w="3685" w:type="dxa"/>
            <w:noWrap w:val="0"/>
            <w:vAlign w:val="center"/>
          </w:tcPr>
          <w:p w14:paraId="0E86E6A2">
            <w:pPr>
              <w:snapToGrid w:val="0"/>
              <w:jc w:val="center"/>
              <w:rPr>
                <w:rFonts w:hint="eastAsia"/>
                <w:color w:val="000000"/>
                <w:szCs w:val="21"/>
              </w:rPr>
            </w:pPr>
            <w:r>
              <w:rPr>
                <w:rFonts w:hint="eastAsia"/>
                <w:color w:val="000000"/>
                <w:szCs w:val="21"/>
              </w:rPr>
              <w:t>GB/T</w:t>
            </w:r>
            <w:bookmarkStart w:id="0" w:name="_GoBack"/>
            <w:bookmarkEnd w:id="0"/>
            <w:r>
              <w:rPr>
                <w:rFonts w:hint="eastAsia"/>
                <w:color w:val="000000"/>
                <w:szCs w:val="21"/>
                <w:lang w:val="en-US" w:eastAsia="zh-CN"/>
              </w:rPr>
              <w:t xml:space="preserve"> </w:t>
            </w:r>
            <w:r>
              <w:rPr>
                <w:rFonts w:hint="eastAsia"/>
                <w:color w:val="000000"/>
                <w:szCs w:val="21"/>
              </w:rPr>
              <w:t>35795-2017</w:t>
            </w:r>
          </w:p>
        </w:tc>
      </w:tr>
    </w:tbl>
    <w:p w14:paraId="03957A9A">
      <w:pPr>
        <w:adjustRightInd w:val="0"/>
        <w:snapToGrid w:val="0"/>
        <w:spacing w:line="360" w:lineRule="auto"/>
        <w:jc w:val="center"/>
        <w:rPr>
          <w:color w:val="000000"/>
          <w:szCs w:val="21"/>
        </w:rPr>
      </w:pPr>
    </w:p>
    <w:p w14:paraId="702EE35D">
      <w:pPr>
        <w:snapToGrid w:val="0"/>
        <w:spacing w:line="360" w:lineRule="auto"/>
        <w:ind w:firstLine="2319" w:firstLineChars="1100"/>
        <w:rPr>
          <w:rFonts w:ascii="宋体" w:hAnsi="宋体"/>
          <w:b/>
          <w:bCs/>
          <w:color w:val="000000"/>
          <w:szCs w:val="21"/>
        </w:rPr>
      </w:pPr>
    </w:p>
    <w:p w14:paraId="69BC62E2">
      <w:pPr>
        <w:adjustRightInd w:val="0"/>
        <w:snapToGrid w:val="0"/>
        <w:spacing w:line="440" w:lineRule="exact"/>
        <w:ind w:firstLine="420" w:firstLineChars="200"/>
        <w:rPr>
          <w:rFonts w:ascii="宋体" w:hAnsi="宋体"/>
          <w:color w:val="000000"/>
          <w:szCs w:val="21"/>
        </w:rPr>
      </w:pPr>
      <w:r>
        <w:rPr>
          <w:rFonts w:hint="eastAsia"/>
          <w:color w:val="000000"/>
          <w:szCs w:val="21"/>
        </w:rPr>
        <w:t>执行企业标准、团体标准、地方标准的产品，检验项目参照上述内容执行。</w:t>
      </w:r>
    </w:p>
    <w:p w14:paraId="21BC1C16">
      <w:pPr>
        <w:spacing w:line="440" w:lineRule="exact"/>
        <w:ind w:firstLine="420" w:firstLineChars="200"/>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14:paraId="617A964C">
      <w:pPr>
        <w:snapToGrid w:val="0"/>
        <w:spacing w:line="440" w:lineRule="exact"/>
        <w:rPr>
          <w:rFonts w:eastAsia="黑体"/>
          <w:color w:val="000000"/>
          <w:szCs w:val="21"/>
        </w:rPr>
      </w:pPr>
    </w:p>
    <w:p w14:paraId="0EC1B799">
      <w:pPr>
        <w:snapToGrid w:val="0"/>
        <w:spacing w:line="440" w:lineRule="exact"/>
        <w:rPr>
          <w:rFonts w:eastAsia="黑体"/>
          <w:color w:val="000000"/>
          <w:szCs w:val="21"/>
        </w:rPr>
      </w:pPr>
      <w:r>
        <w:rPr>
          <w:rFonts w:hint="eastAsia" w:eastAsia="黑体"/>
          <w:color w:val="000000"/>
          <w:szCs w:val="21"/>
        </w:rPr>
        <w:t>3</w:t>
      </w:r>
      <w:r>
        <w:rPr>
          <w:rFonts w:eastAsia="黑体"/>
          <w:color w:val="000000"/>
          <w:szCs w:val="21"/>
        </w:rPr>
        <w:t xml:space="preserve"> 判定规则</w:t>
      </w:r>
    </w:p>
    <w:p w14:paraId="5D23B044">
      <w:pPr>
        <w:spacing w:line="440" w:lineRule="exact"/>
        <w:rPr>
          <w:color w:val="000000"/>
          <w:szCs w:val="21"/>
        </w:rPr>
      </w:pPr>
      <w:r>
        <w:rPr>
          <w:rFonts w:hint="eastAsia"/>
          <w:color w:val="000000"/>
          <w:szCs w:val="21"/>
        </w:rPr>
        <w:t>3</w:t>
      </w:r>
      <w:r>
        <w:rPr>
          <w:color w:val="000000"/>
          <w:szCs w:val="21"/>
        </w:rPr>
        <w:t xml:space="preserve">.1 </w:t>
      </w:r>
      <w:r>
        <w:rPr>
          <w:rFonts w:hint="eastAsia"/>
          <w:color w:val="000000"/>
          <w:szCs w:val="21"/>
        </w:rPr>
        <w:t>依据标准</w:t>
      </w:r>
    </w:p>
    <w:p w14:paraId="27531C0E">
      <w:pPr>
        <w:tabs>
          <w:tab w:val="left" w:pos="1853"/>
        </w:tabs>
        <w:spacing w:line="360" w:lineRule="auto"/>
        <w:ind w:firstLine="420" w:firstLineChars="200"/>
        <w:jc w:val="left"/>
        <w:rPr>
          <w:rFonts w:ascii="宋体" w:hAnsi="宋体"/>
          <w:color w:val="000000"/>
          <w:szCs w:val="21"/>
        </w:rPr>
      </w:pPr>
      <w:r>
        <w:rPr>
          <w:rFonts w:hint="eastAsia" w:ascii="宋体" w:hAnsi="宋体" w:cs="宋体"/>
        </w:rPr>
        <w:t xml:space="preserve">GB/T 35795-2017 </w:t>
      </w:r>
      <w:r>
        <w:rPr>
          <w:rFonts w:hint="eastAsia" w:ascii="宋体" w:hAnsi="宋体"/>
          <w:color w:val="000000"/>
          <w:szCs w:val="21"/>
        </w:rPr>
        <w:t>全生物降解农用地面覆盖薄膜</w:t>
      </w:r>
    </w:p>
    <w:p w14:paraId="5ABA5DDB">
      <w:pPr>
        <w:snapToGrid w:val="0"/>
        <w:spacing w:line="440" w:lineRule="exact"/>
        <w:ind w:firstLine="420" w:firstLineChars="200"/>
        <w:rPr>
          <w:color w:val="000000"/>
          <w:szCs w:val="21"/>
        </w:rPr>
      </w:pPr>
      <w:r>
        <w:rPr>
          <w:rFonts w:hint="eastAsia" w:ascii="宋体" w:hAnsi="宋体"/>
          <w:color w:val="000000"/>
          <w:szCs w:val="21"/>
        </w:rPr>
        <w:t>现行有效的企业标准、团体标准、地方标准及产品明示质量要求</w:t>
      </w:r>
    </w:p>
    <w:p w14:paraId="7D65F38C">
      <w:pPr>
        <w:snapToGrid w:val="0"/>
        <w:spacing w:line="440" w:lineRule="exact"/>
        <w:rPr>
          <w:color w:val="000000"/>
          <w:szCs w:val="21"/>
        </w:rPr>
      </w:pPr>
      <w:r>
        <w:rPr>
          <w:color w:val="000000"/>
          <w:szCs w:val="21"/>
        </w:rPr>
        <w:t>3.2判定原则</w:t>
      </w:r>
    </w:p>
    <w:p w14:paraId="6400CC0E">
      <w:pPr>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经检验，检验项目全部合格，判定为被抽查产品所检项目未发现不合格；检验项目中任一项或一项以上不合格，判定为被抽查产品不合格。</w:t>
      </w:r>
    </w:p>
    <w:p w14:paraId="6C6C5D04">
      <w:pPr>
        <w:spacing w:line="440" w:lineRule="exact"/>
        <w:ind w:firstLine="420" w:firstLineChars="200"/>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14:paraId="687C19F3">
      <w:pPr>
        <w:spacing w:line="440" w:lineRule="exact"/>
        <w:ind w:firstLine="420" w:firstLineChars="200"/>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14:paraId="6C66E4F3">
      <w:pPr>
        <w:spacing w:line="440" w:lineRule="exact"/>
        <w:ind w:firstLine="420" w:firstLineChars="200"/>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14:paraId="0581357C">
      <w:pPr>
        <w:spacing w:line="440" w:lineRule="exact"/>
        <w:ind w:firstLine="420" w:firstLineChars="200"/>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14:paraId="3F2AA432">
      <w:pPr>
        <w:spacing w:line="440" w:lineRule="exact"/>
        <w:ind w:firstLine="420" w:firstLineChars="200"/>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w:t>
      </w:r>
    </w:p>
    <w:p w14:paraId="13177A86">
      <w:pPr>
        <w:jc w:val="both"/>
        <w:rPr>
          <w:rFonts w:eastAsia="方正小标宋简体"/>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214902"/>
    <w:rsid w:val="06214902"/>
    <w:rsid w:val="0C686072"/>
    <w:rsid w:val="16BD765C"/>
    <w:rsid w:val="280800A5"/>
    <w:rsid w:val="7CED26CC"/>
    <w:rsid w:val="7FC92F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33"/>
      <w:szCs w:val="33"/>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770</Words>
  <Characters>851</Characters>
  <Lines>0</Lines>
  <Paragraphs>0</Paragraphs>
  <TotalTime>0</TotalTime>
  <ScaleCrop>false</ScaleCrop>
  <LinksUpToDate>false</LinksUpToDate>
  <CharactersWithSpaces>891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2025-04-10T05:28:00Z</dcterms:created>
  <dc:creator>Wz</dc:creator>
  <cp:lastModifiedBy>Wz</cp:lastModifiedBy>
  <dcterms:modified xsi:type="dcterms:W3CDTF">2025-04-11T08:00:24Z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21E25F980C124EDB87A681E63FFBA681_11</vt:lpwstr>
  </property>
  <property fmtid="{D5CDD505-2E9C-101B-9397-08002B2CF9AE}" pid="4" name="KSOTemplateDocerSaveRecord">
    <vt:lpwstr>eyJoZGlkIjoiYzUxNmUyN2M1NDExYWQ2NTIwYWUyZTMzYWRkNjUxZDMiLCJ1c2VySWQiOiI0NDk1Njk2MjIifQ==</vt:lpwstr>
  </property>
</Properties>
</file>