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D6CD5">
      <w:pPr>
        <w:pStyle w:val="2"/>
        <w:spacing w:before="101" w:line="224" w:lineRule="auto"/>
        <w:ind w:left="522"/>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w:t>
      </w:r>
    </w:p>
    <w:p w14:paraId="63C2F05D">
      <w:pPr>
        <w:pStyle w:val="2"/>
        <w:spacing w:before="101" w:line="224" w:lineRule="auto"/>
        <w:ind w:left="522"/>
        <w:jc w:val="center"/>
        <w:rPr>
          <w:rFonts w:hint="default" w:ascii="Times New Roman" w:hAnsi="Times New Roman" w:eastAsia="方正小标宋简体" w:cs="Times New Roman"/>
          <w:snapToGrid/>
          <w:color w:val="000000"/>
          <w:kern w:val="2"/>
          <w:sz w:val="32"/>
          <w:szCs w:val="32"/>
          <w:lang w:val="en-US" w:eastAsia="zh-CN" w:bidi="ar-SA"/>
        </w:rPr>
      </w:pPr>
      <w:bookmarkStart w:id="0" w:name="_GoBack"/>
      <w:r>
        <w:rPr>
          <w:rFonts w:hint="default" w:ascii="宋体" w:hAnsi="宋体" w:eastAsia="宋体" w:cs="宋体"/>
          <w:b/>
          <w:bCs/>
          <w:spacing w:val="-5"/>
          <w:sz w:val="32"/>
          <w:szCs w:val="32"/>
          <w:lang w:val="en-US" w:eastAsia="zh-CN"/>
        </w:rPr>
        <w:t>建筑用金属面绝热夹芯板产品质量监督抽查实施细则</w:t>
      </w:r>
      <w:bookmarkEnd w:id="0"/>
    </w:p>
    <w:p w14:paraId="5D7EEC61">
      <w:pPr>
        <w:spacing w:line="332" w:lineRule="auto"/>
        <w:rPr>
          <w:rFonts w:ascii="Arial"/>
          <w:sz w:val="21"/>
        </w:rPr>
      </w:pPr>
    </w:p>
    <w:p w14:paraId="32365608">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14:paraId="470F8AFB">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14:paraId="6B935984">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14:paraId="39FCF9E2">
      <w:pPr>
        <w:pStyle w:val="2"/>
        <w:spacing w:before="161" w:line="378" w:lineRule="auto"/>
        <w:ind w:right="109" w:firstLine="400" w:firstLineChars="200"/>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rPr>
        <w:t>随机抽取</w:t>
      </w:r>
      <w:r>
        <w:rPr>
          <w:rFonts w:hint="eastAsia" w:ascii="Times New Roman" w:hAnsi="Times New Roman" w:eastAsia="宋体" w:cs="Times New Roman"/>
          <w:color w:val="000000"/>
          <w:szCs w:val="21"/>
          <w:lang w:val="en-US" w:eastAsia="zh-CN"/>
        </w:rPr>
        <w:t>3张</w:t>
      </w:r>
      <w:r>
        <w:rPr>
          <w:rFonts w:hint="eastAsia" w:ascii="Times New Roman" w:hAnsi="Times New Roman" w:eastAsia="宋体" w:cs="Times New Roman"/>
          <w:color w:val="000000"/>
          <w:szCs w:val="21"/>
        </w:rPr>
        <w:t>，从</w:t>
      </w:r>
      <w:r>
        <w:rPr>
          <w:rFonts w:hint="eastAsia" w:ascii="Times New Roman" w:hAnsi="Times New Roman" w:eastAsia="宋体" w:cs="Times New Roman"/>
          <w:color w:val="000000"/>
          <w:szCs w:val="21"/>
          <w:lang w:val="en-US" w:eastAsia="zh-CN"/>
        </w:rPr>
        <w:t>每张</w:t>
      </w:r>
      <w:r>
        <w:rPr>
          <w:rFonts w:hint="eastAsia" w:ascii="Times New Roman" w:hAnsi="Times New Roman" w:eastAsia="宋体" w:cs="Times New Roman"/>
          <w:color w:val="000000"/>
          <w:szCs w:val="21"/>
        </w:rPr>
        <w:t>上截取2块长度</w:t>
      </w:r>
      <w:r>
        <w:rPr>
          <w:rFonts w:hint="eastAsia" w:ascii="Times New Roman" w:hAnsi="Times New Roman" w:eastAsia="宋体" w:cs="Times New Roman"/>
          <w:color w:val="000000"/>
          <w:szCs w:val="21"/>
          <w:lang w:val="en-US" w:eastAsia="zh-CN"/>
        </w:rPr>
        <w:t>500</w:t>
      </w:r>
      <w:r>
        <w:rPr>
          <w:rFonts w:hint="eastAsia" w:ascii="Times New Roman" w:hAnsi="Times New Roman" w:eastAsia="宋体" w:cs="Times New Roman"/>
          <w:color w:val="000000"/>
          <w:szCs w:val="21"/>
        </w:rPr>
        <w:t>mm的样品，其中</w:t>
      </w:r>
      <w:r>
        <w:rPr>
          <w:rFonts w:hint="eastAsia" w:ascii="Times New Roman" w:hAnsi="Times New Roman" w:eastAsia="宋体" w:cs="Times New Roman"/>
          <w:color w:val="000000"/>
          <w:szCs w:val="21"/>
          <w:lang w:val="en-US" w:eastAsia="zh-CN"/>
        </w:rPr>
        <w:t>3</w:t>
      </w:r>
      <w:r>
        <w:rPr>
          <w:rFonts w:hint="eastAsia" w:ascii="Times New Roman" w:hAnsi="Times New Roman" w:eastAsia="宋体" w:cs="Times New Roman"/>
          <w:color w:val="000000"/>
          <w:szCs w:val="21"/>
        </w:rPr>
        <w:t>块为检验样，另</w:t>
      </w:r>
      <w:r>
        <w:rPr>
          <w:rFonts w:hint="eastAsia" w:ascii="Times New Roman" w:hAnsi="Times New Roman" w:eastAsia="宋体" w:cs="Times New Roman"/>
          <w:color w:val="000000"/>
          <w:szCs w:val="21"/>
          <w:lang w:val="en-US" w:eastAsia="zh-CN"/>
        </w:rPr>
        <w:t>3</w:t>
      </w:r>
      <w:r>
        <w:rPr>
          <w:rFonts w:hint="eastAsia" w:ascii="Times New Roman" w:hAnsi="Times New Roman" w:eastAsia="宋体" w:cs="Times New Roman"/>
          <w:color w:val="000000"/>
          <w:szCs w:val="21"/>
        </w:rPr>
        <w:t>块为备样</w:t>
      </w:r>
      <w:r>
        <w:rPr>
          <w:rFonts w:hint="eastAsia" w:ascii="Times New Roman" w:hAnsi="Times New Roman" w:eastAsia="宋体" w:cs="Times New Roman"/>
          <w:color w:val="000000"/>
          <w:szCs w:val="21"/>
          <w:lang w:eastAsia="zh-CN"/>
        </w:rPr>
        <w:t>。</w:t>
      </w:r>
    </w:p>
    <w:p w14:paraId="5CB2B583">
      <w:pPr>
        <w:pStyle w:val="2"/>
        <w:spacing w:before="161" w:line="378" w:lineRule="auto"/>
        <w:ind w:right="109" w:firstLine="400" w:firstLineChars="200"/>
        <w:rPr>
          <w:rFonts w:hint="eastAsia" w:ascii="Times New Roman" w:hAnsi="Times New Roman" w:eastAsia="宋体" w:cs="Times New Roman"/>
          <w:color w:val="000000"/>
          <w:szCs w:val="21"/>
        </w:rPr>
      </w:pPr>
    </w:p>
    <w:p w14:paraId="1704C1BA">
      <w:pPr>
        <w:spacing w:before="3" w:line="222" w:lineRule="auto"/>
        <w:ind w:left="119"/>
        <w:outlineLvl w:val="1"/>
        <w:rPr>
          <w:rFonts w:ascii="黑体" w:hAnsi="黑体" w:eastAsia="黑体" w:cs="黑体"/>
          <w:sz w:val="24"/>
          <w:szCs w:val="24"/>
        </w:rPr>
      </w:pPr>
      <w:r>
        <w:rPr>
          <w:rFonts w:ascii="黑体" w:hAnsi="黑体" w:eastAsia="黑体" w:cs="黑体"/>
          <w:spacing w:val="-6"/>
          <w:sz w:val="24"/>
          <w:szCs w:val="24"/>
        </w:rPr>
        <w:t>2</w:t>
      </w:r>
      <w:r>
        <w:rPr>
          <w:rFonts w:ascii="黑体" w:hAnsi="黑体" w:eastAsia="黑体" w:cs="黑体"/>
          <w:spacing w:val="-56"/>
          <w:sz w:val="24"/>
          <w:szCs w:val="24"/>
        </w:rPr>
        <w:t xml:space="preserve"> </w:t>
      </w:r>
      <w:r>
        <w:rPr>
          <w:rFonts w:ascii="黑体" w:hAnsi="黑体" w:eastAsia="黑体" w:cs="黑体"/>
          <w:spacing w:val="-6"/>
          <w:sz w:val="24"/>
          <w:szCs w:val="24"/>
        </w:rPr>
        <w:t>检验依据</w:t>
      </w:r>
    </w:p>
    <w:p w14:paraId="462027ED">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hint="default" w:ascii="Times New Roman" w:hAnsi="Times New Roman" w:eastAsia="黑体" w:cs="Times New Roman"/>
          <w:color w:val="000000"/>
          <w:szCs w:val="21"/>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5772"/>
        <w:gridCol w:w="2568"/>
      </w:tblGrid>
      <w:tr w14:paraId="6E05B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blHeader/>
          <w:jc w:val="center"/>
        </w:trPr>
        <w:tc>
          <w:tcPr>
            <w:tcW w:w="834" w:type="dxa"/>
            <w:noWrap w:val="0"/>
            <w:vAlign w:val="center"/>
          </w:tcPr>
          <w:p w14:paraId="1F508FE6">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outlineLvl w:val="9"/>
              <w:rPr>
                <w:rFonts w:hint="default" w:ascii="Times New Roman" w:hAnsi="Times New Roman" w:cs="Times New Roman"/>
                <w:szCs w:val="21"/>
              </w:rPr>
            </w:pPr>
            <w:r>
              <w:rPr>
                <w:rFonts w:hint="default" w:ascii="Times New Roman" w:hAnsi="Times New Roman" w:cs="Times New Roman"/>
                <w:szCs w:val="21"/>
              </w:rPr>
              <w:t>序号</w:t>
            </w:r>
          </w:p>
        </w:tc>
        <w:tc>
          <w:tcPr>
            <w:tcW w:w="5772" w:type="dxa"/>
            <w:noWrap w:val="0"/>
            <w:vAlign w:val="center"/>
          </w:tcPr>
          <w:p w14:paraId="033ABB5E">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outlineLvl w:val="9"/>
              <w:rPr>
                <w:rFonts w:hint="default" w:ascii="Times New Roman" w:hAnsi="Times New Roman" w:cs="Times New Roman"/>
                <w:szCs w:val="21"/>
              </w:rPr>
            </w:pPr>
            <w:r>
              <w:rPr>
                <w:rFonts w:hint="default" w:ascii="Times New Roman" w:hAnsi="Times New Roman" w:cs="Times New Roman"/>
                <w:szCs w:val="21"/>
              </w:rPr>
              <w:t>检验项目</w:t>
            </w:r>
          </w:p>
        </w:tc>
        <w:tc>
          <w:tcPr>
            <w:tcW w:w="2568" w:type="dxa"/>
            <w:noWrap w:val="0"/>
            <w:vAlign w:val="center"/>
          </w:tcPr>
          <w:p w14:paraId="7CE85F2B">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检验方法</w:t>
            </w:r>
          </w:p>
        </w:tc>
      </w:tr>
      <w:tr w14:paraId="19B44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34" w:type="dxa"/>
            <w:noWrap w:val="0"/>
            <w:vAlign w:val="center"/>
          </w:tcPr>
          <w:p w14:paraId="1604AF79">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1</w:t>
            </w:r>
          </w:p>
        </w:tc>
        <w:tc>
          <w:tcPr>
            <w:tcW w:w="5772" w:type="dxa"/>
            <w:noWrap w:val="0"/>
            <w:vAlign w:val="center"/>
          </w:tcPr>
          <w:p w14:paraId="34DCF36E">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外观质量</w:t>
            </w:r>
          </w:p>
        </w:tc>
        <w:tc>
          <w:tcPr>
            <w:tcW w:w="2568" w:type="dxa"/>
            <w:noWrap w:val="0"/>
            <w:vAlign w:val="center"/>
          </w:tcPr>
          <w:p w14:paraId="4DAE0B41">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GB/T 23932-2009</w:t>
            </w:r>
          </w:p>
        </w:tc>
      </w:tr>
      <w:tr w14:paraId="06DA7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34" w:type="dxa"/>
            <w:noWrap w:val="0"/>
            <w:vAlign w:val="center"/>
          </w:tcPr>
          <w:p w14:paraId="3E41E21F">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2</w:t>
            </w:r>
          </w:p>
        </w:tc>
        <w:tc>
          <w:tcPr>
            <w:tcW w:w="5772" w:type="dxa"/>
            <w:noWrap w:val="0"/>
            <w:vAlign w:val="center"/>
          </w:tcPr>
          <w:p w14:paraId="7E3609B4">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规格尺寸和允许偏差</w:t>
            </w:r>
          </w:p>
        </w:tc>
        <w:tc>
          <w:tcPr>
            <w:tcW w:w="2568" w:type="dxa"/>
            <w:noWrap w:val="0"/>
            <w:vAlign w:val="center"/>
          </w:tcPr>
          <w:p w14:paraId="2D18D1ED">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GB/T 23932-2009</w:t>
            </w:r>
          </w:p>
        </w:tc>
      </w:tr>
      <w:tr w14:paraId="0F0BC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34" w:type="dxa"/>
            <w:noWrap w:val="0"/>
            <w:vAlign w:val="center"/>
          </w:tcPr>
          <w:p w14:paraId="30777F3D">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3</w:t>
            </w:r>
          </w:p>
        </w:tc>
        <w:tc>
          <w:tcPr>
            <w:tcW w:w="5772" w:type="dxa"/>
            <w:noWrap w:val="0"/>
            <w:vAlign w:val="center"/>
          </w:tcPr>
          <w:p w14:paraId="2D100074">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粘接性能</w:t>
            </w:r>
          </w:p>
        </w:tc>
        <w:tc>
          <w:tcPr>
            <w:tcW w:w="2568" w:type="dxa"/>
            <w:noWrap w:val="0"/>
            <w:vAlign w:val="center"/>
          </w:tcPr>
          <w:p w14:paraId="5EAA5B2D">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GB/T 23932-2009</w:t>
            </w:r>
          </w:p>
        </w:tc>
      </w:tr>
      <w:tr w14:paraId="35F9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34" w:type="dxa"/>
            <w:noWrap w:val="0"/>
            <w:vAlign w:val="center"/>
          </w:tcPr>
          <w:p w14:paraId="2C439C44">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4</w:t>
            </w:r>
          </w:p>
        </w:tc>
        <w:tc>
          <w:tcPr>
            <w:tcW w:w="5772" w:type="dxa"/>
            <w:noWrap w:val="0"/>
            <w:vAlign w:val="center"/>
          </w:tcPr>
          <w:p w14:paraId="60D8CE43">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剥离性能</w:t>
            </w:r>
          </w:p>
        </w:tc>
        <w:tc>
          <w:tcPr>
            <w:tcW w:w="2568" w:type="dxa"/>
            <w:noWrap w:val="0"/>
            <w:vAlign w:val="center"/>
          </w:tcPr>
          <w:p w14:paraId="321388F4">
            <w:pPr>
              <w:keepNext w:val="0"/>
              <w:keepLines w:val="0"/>
              <w:pageBreakBefore w:val="0"/>
              <w:widowControl w:val="0"/>
              <w:kinsoku/>
              <w:wordWrap/>
              <w:overflowPunct/>
              <w:topLinePunct w:val="0"/>
              <w:autoSpaceDE/>
              <w:autoSpaceDN/>
              <w:bidi w:val="0"/>
              <w:adjustRightInd/>
              <w:spacing w:line="260" w:lineRule="exact"/>
              <w:jc w:val="center"/>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GB/T 23932-2009</w:t>
            </w:r>
          </w:p>
        </w:tc>
      </w:tr>
    </w:tbl>
    <w:p w14:paraId="4DB6FA12">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14:paraId="23506679">
      <w:pPr>
        <w:spacing w:line="253" w:lineRule="auto"/>
        <w:ind w:firstLine="420" w:firstLineChars="200"/>
        <w:rPr>
          <w:rFonts w:ascii="Arial"/>
          <w:sz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14:paraId="769F5D38">
      <w:pPr>
        <w:spacing w:line="253" w:lineRule="auto"/>
        <w:rPr>
          <w:rFonts w:ascii="Arial"/>
          <w:sz w:val="21"/>
        </w:rPr>
      </w:pPr>
    </w:p>
    <w:p w14:paraId="2C416781">
      <w:pPr>
        <w:spacing w:before="78" w:line="222" w:lineRule="auto"/>
        <w:ind w:left="6"/>
        <w:outlineLvl w:val="1"/>
        <w:rPr>
          <w:rFonts w:ascii="黑体" w:hAnsi="黑体" w:eastAsia="黑体" w:cs="黑体"/>
          <w:sz w:val="24"/>
          <w:szCs w:val="24"/>
        </w:rPr>
      </w:pPr>
      <w:r>
        <w:rPr>
          <w:rFonts w:ascii="黑体" w:hAnsi="黑体" w:eastAsia="黑体" w:cs="黑体"/>
          <w:spacing w:val="-5"/>
          <w:sz w:val="24"/>
          <w:szCs w:val="24"/>
        </w:rPr>
        <w:t>3 判定规则</w:t>
      </w:r>
    </w:p>
    <w:p w14:paraId="34E22E2D">
      <w:pPr>
        <w:pStyle w:val="2"/>
        <w:spacing w:before="172" w:line="227" w:lineRule="auto"/>
        <w:ind w:left="9"/>
      </w:pPr>
      <w:r>
        <w:rPr>
          <w:spacing w:val="1"/>
        </w:rPr>
        <w:t>3.1</w:t>
      </w:r>
      <w:r>
        <w:rPr>
          <w:spacing w:val="-44"/>
        </w:rPr>
        <w:t xml:space="preserve"> </w:t>
      </w:r>
      <w:r>
        <w:rPr>
          <w:spacing w:val="1"/>
        </w:rPr>
        <w:t>依据标准</w:t>
      </w:r>
    </w:p>
    <w:p w14:paraId="37F789EE">
      <w:pPr>
        <w:pStyle w:val="2"/>
        <w:spacing w:before="164" w:line="227" w:lineRule="auto"/>
        <w:ind w:left="410"/>
      </w:pPr>
      <w:r>
        <w:rPr>
          <w:rFonts w:hint="eastAsia"/>
        </w:rPr>
        <w:t>GB/T 23932-2009</w:t>
      </w:r>
      <w:r>
        <w:rPr>
          <w:rFonts w:hint="eastAsia"/>
          <w:spacing w:val="2"/>
          <w:lang w:val="en-US" w:eastAsia="zh-CN"/>
        </w:rPr>
        <w:t xml:space="preserve"> </w:t>
      </w:r>
      <w:r>
        <w:rPr>
          <w:spacing w:val="2"/>
        </w:rPr>
        <w:t>建筑用金属面绝热夹芯板</w:t>
      </w:r>
    </w:p>
    <w:p w14:paraId="182FE247">
      <w:pPr>
        <w:pStyle w:val="2"/>
        <w:spacing w:before="162" w:line="227" w:lineRule="auto"/>
        <w:ind w:left="413"/>
      </w:pPr>
      <w:r>
        <w:rPr>
          <w:spacing w:val="3"/>
        </w:rPr>
        <w:t>相关的法律、行政法规、部门规章、规范性文件</w:t>
      </w:r>
    </w:p>
    <w:p w14:paraId="3E233F0E">
      <w:pPr>
        <w:pStyle w:val="2"/>
        <w:spacing w:before="162" w:line="228" w:lineRule="auto"/>
        <w:ind w:left="414"/>
      </w:pPr>
      <w:r>
        <w:rPr>
          <w:spacing w:val="3"/>
        </w:rPr>
        <w:t>现行有效的企业标准、团体标准、地方标准及产品明示质量要求</w:t>
      </w:r>
    </w:p>
    <w:p w14:paraId="060975BC">
      <w:pPr>
        <w:pStyle w:val="2"/>
        <w:spacing w:before="164" w:line="228" w:lineRule="auto"/>
        <w:ind w:left="9"/>
      </w:pPr>
      <w:r>
        <w:rPr>
          <w:spacing w:val="1"/>
        </w:rPr>
        <w:t>3.2</w:t>
      </w:r>
      <w:r>
        <w:rPr>
          <w:spacing w:val="-45"/>
        </w:rPr>
        <w:t xml:space="preserve"> </w:t>
      </w:r>
      <w:r>
        <w:rPr>
          <w:spacing w:val="1"/>
        </w:rPr>
        <w:t>判定原则</w:t>
      </w:r>
    </w:p>
    <w:p w14:paraId="657CB85A">
      <w:pPr>
        <w:pStyle w:val="2"/>
        <w:spacing w:before="160" w:line="377" w:lineRule="auto"/>
        <w:ind w:left="8" w:right="66" w:firstLine="406"/>
      </w:pPr>
      <w:r>
        <w:rPr>
          <w:spacing w:val="4"/>
        </w:rPr>
        <w:t>经检验，检验项目全部合格，判定为被抽查</w:t>
      </w:r>
      <w:r>
        <w:rPr>
          <w:spacing w:val="3"/>
        </w:rPr>
        <w:t>产品所检项目未发现不合格；检验项目中任一项或一</w:t>
      </w:r>
      <w:r>
        <w:t xml:space="preserve"> </w:t>
      </w:r>
      <w:r>
        <w:rPr>
          <w:spacing w:val="3"/>
        </w:rPr>
        <w:t>项以上不合格，判定为被抽查产品不合格。</w:t>
      </w:r>
    </w:p>
    <w:p w14:paraId="24D60A84">
      <w:pPr>
        <w:pStyle w:val="2"/>
        <w:spacing w:before="1" w:line="377" w:lineRule="auto"/>
        <w:ind w:left="6" w:right="66" w:firstLine="408"/>
      </w:pPr>
      <w:r>
        <w:rPr>
          <w:spacing w:val="4"/>
        </w:rPr>
        <w:t>若被检产品明示的质量要求高于本细则中检验</w:t>
      </w:r>
      <w:r>
        <w:rPr>
          <w:spacing w:val="3"/>
        </w:rPr>
        <w:t>项目依据的标准要求时，应按被检产品明示的质量</w:t>
      </w:r>
      <w:r>
        <w:t xml:space="preserve"> </w:t>
      </w:r>
      <w:r>
        <w:rPr>
          <w:spacing w:val="1"/>
        </w:rPr>
        <w:t>要求判定。</w:t>
      </w:r>
    </w:p>
    <w:p w14:paraId="6CB475F3">
      <w:pPr>
        <w:pStyle w:val="2"/>
        <w:spacing w:before="1" w:line="376" w:lineRule="auto"/>
        <w:ind w:left="24" w:right="66" w:firstLine="389"/>
      </w:pPr>
      <w:r>
        <w:rPr>
          <w:spacing w:val="4"/>
        </w:rPr>
        <w:t>若被检产品明示的质量要求低于或包含细则中</w:t>
      </w:r>
      <w:r>
        <w:rPr>
          <w:spacing w:val="3"/>
        </w:rPr>
        <w:t>检验项目依据的推荐性标准要求时，应以被检产品</w:t>
      </w:r>
      <w:r>
        <w:t xml:space="preserve"> </w:t>
      </w:r>
      <w:r>
        <w:rPr>
          <w:spacing w:val="1"/>
        </w:rPr>
        <w:t>明示的质量要求判定。</w:t>
      </w:r>
    </w:p>
    <w:p w14:paraId="446B3AEA">
      <w:pPr>
        <w:pStyle w:val="2"/>
        <w:spacing w:before="1" w:line="226" w:lineRule="auto"/>
        <w:jc w:val="right"/>
      </w:pPr>
      <w:r>
        <w:t>若被检产品明示的质量要求缺少本细则中检验项目依据的推荐性标准要求时，该项目不参与检验。</w:t>
      </w:r>
    </w:p>
    <w:p w14:paraId="14A7CC1A">
      <w:pPr>
        <w:pStyle w:val="2"/>
        <w:spacing w:before="173" w:line="275" w:lineRule="auto"/>
        <w:ind w:left="8" w:right="50" w:firstLine="405"/>
      </w:pPr>
    </w:p>
    <w:sectPr>
      <w:pgSz w:w="11906" w:h="16839"/>
      <w:pgMar w:top="1431" w:right="1402" w:bottom="0" w:left="147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1EC4481F"/>
    <w:rsid w:val="31DE454E"/>
    <w:rsid w:val="42191E7C"/>
    <w:rsid w:val="5AC32B55"/>
    <w:rsid w:val="62301581"/>
    <w:rsid w:val="7ABB26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535</Words>
  <Characters>603</Characters>
  <TotalTime>0</TotalTime>
  <ScaleCrop>false</ScaleCrop>
  <LinksUpToDate>false</LinksUpToDate>
  <CharactersWithSpaces>617</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2023-07-21T09:43:00Z</dcterms:created>
  <dc:creator>USER</dc:creator>
  <cp:lastModifiedBy>Wz</cp:lastModifiedBy>
  <dcterms:modified xsi:type="dcterms:W3CDTF">2025-04-11T07:31:38Z</dcterms:modified>
  <dc:title>市场监管总局关于开展口罩产品质量监督专项抽查有关工作的通知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2025-03-27T10:25:28Z</vt:filetime>
  </property>
  <property fmtid="{D5CDD505-2E9C-101B-9397-08002B2CF9AE}" pid="4" name="KSOTemplateDocerSaveRecord">
    <vt:lpwstr>eyJoZGlkIjoiYzUxNmUyN2M1NDExYWQ2NTIwYWUyZTMzYWRkNjUxZDMiLCJ1c2VySWQiOiI0NDk1Njk2MjIifQ==</vt:lpwstr>
  </property>
  <property fmtid="{D5CDD505-2E9C-101B-9397-08002B2CF9AE}" pid="5" name="KSOProductBuildVer">
    <vt:lpwstr>2052-12.1.0.20784</vt:lpwstr>
  </property>
  <property fmtid="{D5CDD505-2E9C-101B-9397-08002B2CF9AE}" pid="6" name="ICV">
    <vt:lpwstr>75FD629339BF431AB06CC36ADF46A076_12</vt:lpwstr>
  </property>
</Properties>
</file>