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8B1DD">
      <w:pPr>
        <w:adjustRightInd w:val="0"/>
        <w:snapToGrid w:val="0"/>
        <w:spacing w:line="440" w:lineRule="exact"/>
        <w:jc w:val="center"/>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713A6037">
      <w:pPr>
        <w:pStyle w:val="2"/>
        <w:spacing w:before="121" w:line="221" w:lineRule="auto"/>
        <w:ind w:left="940"/>
        <w:outlineLvl w:val="0"/>
        <w:rPr>
          <w:rFonts w:hint="eastAsia" w:ascii="宋体" w:hAnsi="宋体" w:eastAsia="宋体" w:cs="宋体"/>
          <w:b/>
          <w:bCs/>
          <w:snapToGrid w:val="0"/>
          <w:color w:val="000000"/>
          <w:spacing w:val="-5"/>
          <w:kern w:val="0"/>
          <w:sz w:val="32"/>
          <w:szCs w:val="32"/>
          <w:lang w:val="en-US" w:eastAsia="en-US" w:bidi="ar-SA"/>
        </w:rPr>
      </w:pPr>
      <w:r>
        <w:rPr>
          <w:rFonts w:hint="eastAsia" w:ascii="宋体" w:hAnsi="宋体" w:eastAsia="宋体" w:cs="宋体"/>
          <w:b/>
          <w:bCs/>
          <w:snapToGrid w:val="0"/>
          <w:color w:val="000000"/>
          <w:spacing w:val="-5"/>
          <w:kern w:val="0"/>
          <w:sz w:val="32"/>
          <w:szCs w:val="32"/>
          <w:lang w:val="en-US" w:eastAsia="en-US" w:bidi="ar-SA"/>
        </w:rPr>
        <w:t>低压成套开关设备产品质量监督抽查实施细则</w:t>
      </w:r>
    </w:p>
    <w:p w14:paraId="108C3025">
      <w:pPr>
        <w:pStyle w:val="2"/>
        <w:spacing w:before="198" w:line="228" w:lineRule="auto"/>
        <w:ind w:left="35"/>
        <w:outlineLvl w:val="1"/>
      </w:pPr>
      <w:r>
        <w:rPr>
          <w:b/>
          <w:bCs/>
          <w:spacing w:val="-5"/>
        </w:rPr>
        <w:t>1</w:t>
      </w:r>
      <w:r>
        <w:rPr>
          <w:spacing w:val="15"/>
        </w:rPr>
        <w:t xml:space="preserve"> </w:t>
      </w:r>
      <w:r>
        <w:rPr>
          <w:b/>
          <w:bCs/>
          <w:spacing w:val="-5"/>
        </w:rPr>
        <w:t>抽样</w:t>
      </w:r>
    </w:p>
    <w:p w14:paraId="4AEFEE09">
      <w:pPr>
        <w:pStyle w:val="2"/>
        <w:spacing w:before="163" w:line="228" w:lineRule="auto"/>
        <w:ind w:left="35"/>
      </w:pPr>
      <w:r>
        <w:rPr>
          <w:spacing w:val="3"/>
        </w:rPr>
        <w:t>1.1</w:t>
      </w:r>
      <w:r>
        <w:rPr>
          <w:spacing w:val="-41"/>
        </w:rPr>
        <w:t xml:space="preserve"> </w:t>
      </w:r>
      <w:r>
        <w:rPr>
          <w:spacing w:val="3"/>
        </w:rPr>
        <w:t>抽样方法</w:t>
      </w:r>
    </w:p>
    <w:p w14:paraId="3FD47274">
      <w:pPr>
        <w:pStyle w:val="2"/>
        <w:spacing w:before="161" w:line="227" w:lineRule="auto"/>
        <w:ind w:left="463"/>
      </w:pPr>
      <w:r>
        <w:rPr>
          <w:spacing w:val="8"/>
        </w:rPr>
        <w:t>以随机抽样的方式在被抽样生产者、销售者的待销产品中抽取。</w:t>
      </w:r>
    </w:p>
    <w:p w14:paraId="29D23C8A">
      <w:pPr>
        <w:pStyle w:val="2"/>
        <w:spacing w:before="161" w:line="228" w:lineRule="auto"/>
        <w:ind w:left="35"/>
        <w:outlineLvl w:val="2"/>
      </w:pPr>
      <w:r>
        <w:rPr>
          <w:spacing w:val="3"/>
        </w:rPr>
        <w:t>1.2</w:t>
      </w:r>
      <w:r>
        <w:rPr>
          <w:spacing w:val="-41"/>
        </w:rPr>
        <w:t xml:space="preserve"> </w:t>
      </w:r>
      <w:r>
        <w:rPr>
          <w:spacing w:val="3"/>
        </w:rPr>
        <w:t>抽样基数</w:t>
      </w:r>
    </w:p>
    <w:p w14:paraId="256797FD">
      <w:pPr>
        <w:pStyle w:val="2"/>
        <w:spacing w:before="161" w:line="228" w:lineRule="auto"/>
        <w:ind w:left="439"/>
      </w:pPr>
      <w:r>
        <w:rPr>
          <w:spacing w:val="8"/>
        </w:rPr>
        <w:t>抽查样品基数满足抽样数量即可。</w:t>
      </w:r>
    </w:p>
    <w:p w14:paraId="54898945">
      <w:pPr>
        <w:pStyle w:val="2"/>
        <w:spacing w:before="163" w:line="228" w:lineRule="auto"/>
        <w:ind w:left="35"/>
        <w:outlineLvl w:val="2"/>
      </w:pPr>
      <w:r>
        <w:rPr>
          <w:spacing w:val="3"/>
        </w:rPr>
        <w:t>1.3</w:t>
      </w:r>
      <w:r>
        <w:rPr>
          <w:spacing w:val="-41"/>
        </w:rPr>
        <w:t xml:space="preserve"> </w:t>
      </w:r>
      <w:r>
        <w:rPr>
          <w:spacing w:val="3"/>
        </w:rPr>
        <w:t>抽样范围</w:t>
      </w:r>
    </w:p>
    <w:p w14:paraId="5C2928EC">
      <w:pPr>
        <w:pStyle w:val="2"/>
        <w:spacing w:before="161" w:line="227" w:lineRule="auto"/>
        <w:ind w:left="439"/>
      </w:pPr>
      <w:r>
        <w:rPr>
          <w:spacing w:val="8"/>
        </w:rPr>
        <w:t>抽查产品种类包括低压配电柜、配电板。</w:t>
      </w:r>
    </w:p>
    <w:p w14:paraId="72F9F5B0">
      <w:pPr>
        <w:pStyle w:val="2"/>
        <w:spacing w:before="162" w:line="228" w:lineRule="auto"/>
        <w:ind w:left="35"/>
        <w:outlineLvl w:val="2"/>
      </w:pPr>
      <w:r>
        <w:rPr>
          <w:spacing w:val="2"/>
        </w:rPr>
        <w:t>1.4</w:t>
      </w:r>
      <w:r>
        <w:rPr>
          <w:spacing w:val="-34"/>
        </w:rPr>
        <w:t xml:space="preserve"> </w:t>
      </w:r>
      <w:r>
        <w:rPr>
          <w:spacing w:val="2"/>
        </w:rPr>
        <w:t>抽样数量</w:t>
      </w:r>
    </w:p>
    <w:p w14:paraId="3E3D24B2">
      <w:pPr>
        <w:pStyle w:val="2"/>
        <w:spacing w:before="161" w:line="228" w:lineRule="auto"/>
        <w:ind w:left="439"/>
      </w:pPr>
      <w:r>
        <w:rPr>
          <w:spacing w:val="3"/>
        </w:rPr>
        <w:t>每批次产品抽取样品</w:t>
      </w:r>
      <w:r>
        <w:rPr>
          <w:spacing w:val="-15"/>
        </w:rPr>
        <w:t xml:space="preserve"> </w:t>
      </w:r>
      <w:r>
        <w:rPr>
          <w:spacing w:val="3"/>
        </w:rPr>
        <w:t>1</w:t>
      </w:r>
      <w:r>
        <w:rPr>
          <w:spacing w:val="-22"/>
        </w:rPr>
        <w:t xml:space="preserve"> </w:t>
      </w:r>
      <w:r>
        <w:rPr>
          <w:spacing w:val="3"/>
        </w:rPr>
        <w:t>台。</w:t>
      </w:r>
    </w:p>
    <w:p w14:paraId="4432910C">
      <w:pPr>
        <w:pStyle w:val="2"/>
        <w:spacing w:before="164" w:line="228" w:lineRule="auto"/>
        <w:ind w:left="22"/>
        <w:outlineLvl w:val="1"/>
      </w:pPr>
      <w:r>
        <w:rPr>
          <w:b/>
          <w:bCs/>
          <w:spacing w:val="6"/>
        </w:rPr>
        <w:t>2</w:t>
      </w:r>
      <w:r>
        <w:rPr>
          <w:spacing w:val="6"/>
        </w:rPr>
        <w:t xml:space="preserve"> </w:t>
      </w:r>
      <w:r>
        <w:rPr>
          <w:b/>
          <w:bCs/>
          <w:spacing w:val="6"/>
        </w:rPr>
        <w:t>检验项目及检测方法</w:t>
      </w:r>
    </w:p>
    <w:p w14:paraId="33867699">
      <w:pPr>
        <w:pStyle w:val="2"/>
        <w:spacing w:before="300" w:line="228" w:lineRule="auto"/>
        <w:ind w:left="2462"/>
        <w:outlineLvl w:val="0"/>
        <w:rPr>
          <w:b/>
          <w:bCs/>
          <w:spacing w:val="6"/>
        </w:rPr>
      </w:pPr>
    </w:p>
    <w:p w14:paraId="5CFC5D1D">
      <w:pPr>
        <w:pStyle w:val="2"/>
        <w:spacing w:before="300" w:line="228" w:lineRule="auto"/>
        <w:ind w:left="2462"/>
        <w:outlineLvl w:val="0"/>
      </w:pPr>
      <w:r>
        <w:rPr>
          <w:b/>
          <w:bCs/>
          <w:spacing w:val="6"/>
        </w:rPr>
        <w:t>表</w:t>
      </w:r>
      <w:r>
        <w:rPr>
          <w:spacing w:val="-22"/>
        </w:rPr>
        <w:t xml:space="preserve"> </w:t>
      </w:r>
      <w:r>
        <w:rPr>
          <w:b/>
          <w:bCs/>
          <w:spacing w:val="6"/>
        </w:rPr>
        <w:t>1</w:t>
      </w:r>
      <w:r>
        <w:rPr>
          <w:spacing w:val="6"/>
        </w:rPr>
        <w:t xml:space="preserve"> </w:t>
      </w:r>
      <w:r>
        <w:rPr>
          <w:b/>
          <w:bCs/>
          <w:spacing w:val="6"/>
        </w:rPr>
        <w:t>低压成套开关设备产品检验项目</w:t>
      </w:r>
    </w:p>
    <w:p w14:paraId="2827B8A2">
      <w:pPr>
        <w:spacing w:line="23" w:lineRule="exact"/>
      </w:pPr>
    </w:p>
    <w:tbl>
      <w:tblPr>
        <w:tblStyle w:val="5"/>
        <w:tblW w:w="7794" w:type="dxa"/>
        <w:tblInd w:w="4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
        <w:gridCol w:w="1408"/>
        <w:gridCol w:w="3074"/>
        <w:gridCol w:w="2472"/>
      </w:tblGrid>
      <w:tr w14:paraId="3EC3C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blHeader/>
        </w:trPr>
        <w:tc>
          <w:tcPr>
            <w:tcW w:w="840" w:type="dxa"/>
            <w:tcBorders>
              <w:bottom w:val="single" w:color="auto" w:sz="4" w:space="0"/>
            </w:tcBorders>
            <w:vAlign w:val="top"/>
          </w:tcPr>
          <w:p w14:paraId="0B78EE15">
            <w:pPr>
              <w:spacing w:line="347" w:lineRule="auto"/>
              <w:rPr>
                <w:rFonts w:ascii="Arial"/>
                <w:sz w:val="21"/>
              </w:rPr>
            </w:pPr>
          </w:p>
          <w:p w14:paraId="043B7ED6">
            <w:pPr>
              <w:pStyle w:val="6"/>
              <w:spacing w:before="65" w:line="229" w:lineRule="auto"/>
              <w:ind w:left="215"/>
            </w:pPr>
            <w:r>
              <w:rPr>
                <w:spacing w:val="5"/>
              </w:rPr>
              <w:t>序号</w:t>
            </w:r>
          </w:p>
        </w:tc>
        <w:tc>
          <w:tcPr>
            <w:tcW w:w="1408" w:type="dxa"/>
            <w:tcBorders>
              <w:bottom w:val="single" w:color="auto" w:sz="4" w:space="0"/>
            </w:tcBorders>
            <w:vAlign w:val="top"/>
          </w:tcPr>
          <w:p w14:paraId="54A1734B">
            <w:pPr>
              <w:spacing w:line="346" w:lineRule="auto"/>
              <w:rPr>
                <w:rFonts w:ascii="Arial"/>
                <w:sz w:val="21"/>
              </w:rPr>
            </w:pPr>
          </w:p>
          <w:p w14:paraId="0B1D1025">
            <w:pPr>
              <w:pStyle w:val="6"/>
              <w:spacing w:before="65" w:line="228" w:lineRule="auto"/>
              <w:ind w:left="497"/>
            </w:pPr>
            <w:r>
              <w:rPr>
                <w:spacing w:val="4"/>
              </w:rPr>
              <w:t>产品</w:t>
            </w:r>
          </w:p>
        </w:tc>
        <w:tc>
          <w:tcPr>
            <w:tcW w:w="3074" w:type="dxa"/>
            <w:vAlign w:val="top"/>
          </w:tcPr>
          <w:p w14:paraId="266940D9">
            <w:pPr>
              <w:spacing w:line="346" w:lineRule="auto"/>
              <w:rPr>
                <w:rFonts w:ascii="Arial"/>
                <w:sz w:val="21"/>
              </w:rPr>
            </w:pPr>
          </w:p>
          <w:p w14:paraId="74C0465C">
            <w:pPr>
              <w:pStyle w:val="6"/>
              <w:spacing w:before="65" w:line="228" w:lineRule="auto"/>
              <w:ind w:left="1122"/>
            </w:pPr>
            <w:r>
              <w:rPr>
                <w:spacing w:val="7"/>
              </w:rPr>
              <w:t>检验项目</w:t>
            </w:r>
          </w:p>
        </w:tc>
        <w:tc>
          <w:tcPr>
            <w:tcW w:w="2472" w:type="dxa"/>
            <w:vAlign w:val="top"/>
          </w:tcPr>
          <w:p w14:paraId="0AAE073E">
            <w:pPr>
              <w:spacing w:line="346" w:lineRule="auto"/>
              <w:rPr>
                <w:rFonts w:ascii="Arial"/>
                <w:sz w:val="21"/>
              </w:rPr>
            </w:pPr>
          </w:p>
          <w:p w14:paraId="34F471A9">
            <w:pPr>
              <w:pStyle w:val="6"/>
              <w:spacing w:before="65" w:line="228" w:lineRule="auto"/>
              <w:ind w:left="642"/>
            </w:pPr>
            <w:r>
              <w:rPr>
                <w:spacing w:val="7"/>
              </w:rPr>
              <w:t>检测方法</w:t>
            </w:r>
          </w:p>
        </w:tc>
      </w:tr>
      <w:tr w14:paraId="3B628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40" w:type="dxa"/>
            <w:vMerge w:val="restart"/>
            <w:tcBorders>
              <w:top w:val="single" w:color="auto" w:sz="4" w:space="0"/>
              <w:left w:val="single" w:color="auto" w:sz="4" w:space="0"/>
              <w:bottom w:val="single" w:color="auto" w:sz="4" w:space="0"/>
            </w:tcBorders>
            <w:vAlign w:val="center"/>
          </w:tcPr>
          <w:p w14:paraId="36108A4B">
            <w:pPr>
              <w:pStyle w:val="6"/>
              <w:spacing w:before="65" w:line="270" w:lineRule="exact"/>
              <w:ind w:left="388"/>
              <w:jc w:val="both"/>
            </w:pPr>
            <w:r>
              <w:rPr>
                <w:position w:val="1"/>
              </w:rPr>
              <w:t>1</w:t>
            </w:r>
          </w:p>
        </w:tc>
        <w:tc>
          <w:tcPr>
            <w:tcW w:w="1408" w:type="dxa"/>
            <w:vMerge w:val="restart"/>
            <w:tcBorders>
              <w:top w:val="single" w:color="auto" w:sz="4" w:space="0"/>
              <w:bottom w:val="single" w:color="auto" w:sz="4" w:space="0"/>
              <w:right w:val="single" w:color="auto" w:sz="4" w:space="0"/>
            </w:tcBorders>
            <w:vAlign w:val="center"/>
          </w:tcPr>
          <w:p w14:paraId="2C09518A">
            <w:pPr>
              <w:pStyle w:val="6"/>
              <w:spacing w:before="65" w:line="228" w:lineRule="auto"/>
              <w:ind w:left="182"/>
              <w:jc w:val="center"/>
            </w:pPr>
            <w:r>
              <w:rPr>
                <w:spacing w:val="8"/>
              </w:rPr>
              <w:t>压配电柜</w:t>
            </w:r>
          </w:p>
        </w:tc>
        <w:tc>
          <w:tcPr>
            <w:tcW w:w="3074" w:type="dxa"/>
            <w:tcBorders>
              <w:left w:val="single" w:color="auto" w:sz="4" w:space="0"/>
            </w:tcBorders>
            <w:vAlign w:val="center"/>
          </w:tcPr>
          <w:p w14:paraId="5067168A">
            <w:pPr>
              <w:pStyle w:val="6"/>
              <w:spacing w:before="173" w:line="229" w:lineRule="auto"/>
              <w:jc w:val="center"/>
            </w:pPr>
            <w:r>
              <w:rPr>
                <w:rFonts w:hint="eastAsia" w:ascii="宋体" w:hAnsi="宋体" w:eastAsia="宋体" w:cs="宋体"/>
                <w:i w:val="0"/>
                <w:iCs w:val="0"/>
                <w:snapToGrid w:val="0"/>
                <w:color w:val="000000"/>
                <w:kern w:val="0"/>
                <w:sz w:val="20"/>
                <w:szCs w:val="20"/>
                <w:u w:val="none"/>
                <w:lang w:val="en-US" w:eastAsia="zh-CN" w:bidi="ar"/>
              </w:rPr>
              <w:t>材料和部件的强度</w:t>
            </w:r>
          </w:p>
        </w:tc>
        <w:tc>
          <w:tcPr>
            <w:tcW w:w="2472" w:type="dxa"/>
            <w:vAlign w:val="top"/>
          </w:tcPr>
          <w:p w14:paraId="1543E16E">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39E9E39E">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26A2CFDC">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5C65E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40" w:type="dxa"/>
            <w:vMerge w:val="continue"/>
            <w:tcBorders>
              <w:top w:val="single" w:color="auto" w:sz="4" w:space="0"/>
              <w:left w:val="single" w:color="auto" w:sz="4" w:space="0"/>
              <w:bottom w:val="single" w:color="auto" w:sz="4" w:space="0"/>
            </w:tcBorders>
            <w:vAlign w:val="top"/>
          </w:tcPr>
          <w:p w14:paraId="5BE09314">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58DFC037">
            <w:pPr>
              <w:rPr>
                <w:rFonts w:ascii="Arial"/>
                <w:sz w:val="21"/>
              </w:rPr>
            </w:pPr>
          </w:p>
        </w:tc>
        <w:tc>
          <w:tcPr>
            <w:tcW w:w="3074" w:type="dxa"/>
            <w:tcBorders>
              <w:left w:val="single" w:color="auto" w:sz="4" w:space="0"/>
            </w:tcBorders>
            <w:vAlign w:val="center"/>
          </w:tcPr>
          <w:p w14:paraId="6085BD2A">
            <w:pPr>
              <w:pStyle w:val="6"/>
              <w:spacing w:before="172" w:line="228" w:lineRule="auto"/>
              <w:jc w:val="center"/>
            </w:pPr>
            <w:r>
              <w:rPr>
                <w:rFonts w:hint="eastAsia" w:ascii="宋体" w:hAnsi="宋体" w:eastAsia="宋体" w:cs="宋体"/>
                <w:i w:val="0"/>
                <w:iCs w:val="0"/>
                <w:snapToGrid w:val="0"/>
                <w:color w:val="000000"/>
                <w:kern w:val="0"/>
                <w:sz w:val="20"/>
                <w:szCs w:val="20"/>
                <w:u w:val="none"/>
                <w:lang w:val="en-US" w:eastAsia="zh-CN" w:bidi="ar"/>
              </w:rPr>
              <w:t>电气间隙和爬电距离</w:t>
            </w:r>
          </w:p>
        </w:tc>
        <w:tc>
          <w:tcPr>
            <w:tcW w:w="2472" w:type="dxa"/>
            <w:vAlign w:val="top"/>
          </w:tcPr>
          <w:p w14:paraId="27E80A82">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31615CA4">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3F750041">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77A2F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40" w:type="dxa"/>
            <w:vMerge w:val="continue"/>
            <w:tcBorders>
              <w:top w:val="single" w:color="auto" w:sz="4" w:space="0"/>
              <w:left w:val="single" w:color="auto" w:sz="4" w:space="0"/>
              <w:bottom w:val="single" w:color="auto" w:sz="4" w:space="0"/>
            </w:tcBorders>
            <w:vAlign w:val="top"/>
          </w:tcPr>
          <w:p w14:paraId="6BBDE158">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76C1B8AA">
            <w:pPr>
              <w:rPr>
                <w:rFonts w:ascii="Arial"/>
                <w:sz w:val="21"/>
              </w:rPr>
            </w:pPr>
          </w:p>
        </w:tc>
        <w:tc>
          <w:tcPr>
            <w:tcW w:w="3074" w:type="dxa"/>
            <w:tcBorders>
              <w:left w:val="single" w:color="auto" w:sz="4" w:space="0"/>
            </w:tcBorders>
            <w:vAlign w:val="center"/>
          </w:tcPr>
          <w:p w14:paraId="250DBB6A">
            <w:pPr>
              <w:pStyle w:val="6"/>
              <w:spacing w:before="175" w:line="228" w:lineRule="auto"/>
              <w:jc w:val="center"/>
            </w:pPr>
            <w:r>
              <w:rPr>
                <w:rFonts w:hint="eastAsia" w:ascii="宋体" w:hAnsi="宋体" w:eastAsia="宋体" w:cs="宋体"/>
                <w:i w:val="0"/>
                <w:iCs w:val="0"/>
                <w:snapToGrid w:val="0"/>
                <w:color w:val="000000"/>
                <w:kern w:val="0"/>
                <w:sz w:val="20"/>
                <w:szCs w:val="20"/>
                <w:u w:val="none"/>
                <w:lang w:val="en-US" w:eastAsia="zh-CN" w:bidi="ar"/>
              </w:rPr>
              <w:t>电击防护和保护电路完整性</w:t>
            </w:r>
          </w:p>
        </w:tc>
        <w:tc>
          <w:tcPr>
            <w:tcW w:w="2472" w:type="dxa"/>
            <w:vAlign w:val="top"/>
          </w:tcPr>
          <w:p w14:paraId="0688BC7D">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61938A74">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40C0756A">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498CD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40" w:type="dxa"/>
            <w:vMerge w:val="continue"/>
            <w:tcBorders>
              <w:top w:val="single" w:color="auto" w:sz="4" w:space="0"/>
              <w:left w:val="single" w:color="auto" w:sz="4" w:space="0"/>
              <w:bottom w:val="single" w:color="auto" w:sz="4" w:space="0"/>
            </w:tcBorders>
            <w:vAlign w:val="top"/>
          </w:tcPr>
          <w:p w14:paraId="25D83D4A">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3729A39E">
            <w:pPr>
              <w:rPr>
                <w:rFonts w:ascii="Arial"/>
                <w:sz w:val="21"/>
              </w:rPr>
            </w:pPr>
          </w:p>
        </w:tc>
        <w:tc>
          <w:tcPr>
            <w:tcW w:w="3074" w:type="dxa"/>
            <w:tcBorders>
              <w:left w:val="single" w:color="auto" w:sz="4" w:space="0"/>
            </w:tcBorders>
            <w:vAlign w:val="center"/>
          </w:tcPr>
          <w:p w14:paraId="5B71542C">
            <w:pPr>
              <w:pStyle w:val="6"/>
              <w:spacing w:before="174" w:line="228" w:lineRule="auto"/>
              <w:jc w:val="center"/>
            </w:pPr>
            <w:r>
              <w:rPr>
                <w:rFonts w:hint="eastAsia" w:ascii="宋体" w:hAnsi="宋体" w:eastAsia="宋体" w:cs="宋体"/>
                <w:i w:val="0"/>
                <w:iCs w:val="0"/>
                <w:snapToGrid w:val="0"/>
                <w:color w:val="000000"/>
                <w:kern w:val="0"/>
                <w:sz w:val="20"/>
                <w:szCs w:val="20"/>
                <w:u w:val="none"/>
                <w:lang w:val="en-US" w:eastAsia="zh-CN" w:bidi="ar"/>
              </w:rPr>
              <w:t>开关器件和元件的组合</w:t>
            </w:r>
          </w:p>
        </w:tc>
        <w:tc>
          <w:tcPr>
            <w:tcW w:w="2472" w:type="dxa"/>
            <w:vAlign w:val="top"/>
          </w:tcPr>
          <w:p w14:paraId="68493037">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65F89BC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4AA8FB40">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0A88C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40" w:type="dxa"/>
            <w:vMerge w:val="continue"/>
            <w:tcBorders>
              <w:top w:val="single" w:color="auto" w:sz="4" w:space="0"/>
              <w:left w:val="single" w:color="auto" w:sz="4" w:space="0"/>
              <w:bottom w:val="single" w:color="auto" w:sz="4" w:space="0"/>
            </w:tcBorders>
            <w:vAlign w:val="top"/>
          </w:tcPr>
          <w:p w14:paraId="1CBA63BB">
            <w:pPr>
              <w:pStyle w:val="6"/>
              <w:spacing w:before="65" w:line="270" w:lineRule="exact"/>
              <w:ind w:left="375"/>
            </w:pPr>
          </w:p>
        </w:tc>
        <w:tc>
          <w:tcPr>
            <w:tcW w:w="1408" w:type="dxa"/>
            <w:vMerge w:val="continue"/>
            <w:tcBorders>
              <w:top w:val="single" w:color="auto" w:sz="4" w:space="0"/>
              <w:bottom w:val="single" w:color="auto" w:sz="4" w:space="0"/>
              <w:right w:val="single" w:color="auto" w:sz="4" w:space="0"/>
            </w:tcBorders>
            <w:vAlign w:val="top"/>
          </w:tcPr>
          <w:p w14:paraId="50EABB5A">
            <w:pPr>
              <w:pStyle w:val="6"/>
              <w:spacing w:before="65" w:line="227" w:lineRule="auto"/>
              <w:ind w:left="391"/>
            </w:pPr>
          </w:p>
        </w:tc>
        <w:tc>
          <w:tcPr>
            <w:tcW w:w="3074" w:type="dxa"/>
            <w:tcBorders>
              <w:left w:val="single" w:color="auto" w:sz="4" w:space="0"/>
            </w:tcBorders>
            <w:vAlign w:val="center"/>
          </w:tcPr>
          <w:p w14:paraId="7C758BAB">
            <w:pPr>
              <w:pStyle w:val="6"/>
              <w:spacing w:before="176" w:line="229" w:lineRule="auto"/>
              <w:jc w:val="center"/>
            </w:pPr>
            <w:r>
              <w:rPr>
                <w:rFonts w:hint="eastAsia" w:ascii="宋体" w:hAnsi="宋体" w:eastAsia="宋体" w:cs="宋体"/>
                <w:i w:val="0"/>
                <w:iCs w:val="0"/>
                <w:snapToGrid w:val="0"/>
                <w:color w:val="000000"/>
                <w:kern w:val="0"/>
                <w:sz w:val="20"/>
                <w:szCs w:val="20"/>
                <w:u w:val="none"/>
                <w:lang w:val="en-US" w:eastAsia="zh-CN" w:bidi="ar"/>
              </w:rPr>
              <w:t>内部电路和连接</w:t>
            </w:r>
          </w:p>
        </w:tc>
        <w:tc>
          <w:tcPr>
            <w:tcW w:w="2472" w:type="dxa"/>
            <w:vAlign w:val="top"/>
          </w:tcPr>
          <w:p w14:paraId="6BC98192">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0F081D1A">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40ADFBF2">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67937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40" w:type="dxa"/>
            <w:vMerge w:val="continue"/>
            <w:tcBorders>
              <w:top w:val="single" w:color="auto" w:sz="4" w:space="0"/>
              <w:left w:val="single" w:color="auto" w:sz="4" w:space="0"/>
              <w:bottom w:val="single" w:color="auto" w:sz="4" w:space="0"/>
            </w:tcBorders>
            <w:vAlign w:val="top"/>
          </w:tcPr>
          <w:p w14:paraId="7855A7F2">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25864371">
            <w:pPr>
              <w:rPr>
                <w:rFonts w:ascii="Arial"/>
                <w:sz w:val="21"/>
              </w:rPr>
            </w:pPr>
          </w:p>
        </w:tc>
        <w:tc>
          <w:tcPr>
            <w:tcW w:w="3074" w:type="dxa"/>
            <w:tcBorders>
              <w:left w:val="single" w:color="auto" w:sz="4" w:space="0"/>
            </w:tcBorders>
            <w:vAlign w:val="center"/>
          </w:tcPr>
          <w:p w14:paraId="6822655F">
            <w:pPr>
              <w:pStyle w:val="6"/>
              <w:spacing w:before="174" w:line="228" w:lineRule="auto"/>
              <w:jc w:val="center"/>
            </w:pPr>
            <w:r>
              <w:rPr>
                <w:rFonts w:hint="eastAsia" w:ascii="宋体" w:hAnsi="宋体" w:eastAsia="宋体" w:cs="宋体"/>
                <w:i w:val="0"/>
                <w:iCs w:val="0"/>
                <w:snapToGrid w:val="0"/>
                <w:color w:val="000000"/>
                <w:kern w:val="0"/>
                <w:sz w:val="20"/>
                <w:szCs w:val="20"/>
                <w:u w:val="none"/>
                <w:lang w:val="en-US" w:eastAsia="zh-CN" w:bidi="ar"/>
              </w:rPr>
              <w:t>外接导线端子</w:t>
            </w:r>
          </w:p>
        </w:tc>
        <w:tc>
          <w:tcPr>
            <w:tcW w:w="2472" w:type="dxa"/>
            <w:vAlign w:val="top"/>
          </w:tcPr>
          <w:p w14:paraId="18D4C60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10FF728B">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619E228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122AC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40" w:type="dxa"/>
            <w:vMerge w:val="continue"/>
            <w:tcBorders>
              <w:top w:val="single" w:color="auto" w:sz="4" w:space="0"/>
              <w:left w:val="single" w:color="auto" w:sz="4" w:space="0"/>
              <w:bottom w:val="single" w:color="auto" w:sz="4" w:space="0"/>
            </w:tcBorders>
            <w:vAlign w:val="top"/>
          </w:tcPr>
          <w:p w14:paraId="5FFCE21E">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50685546">
            <w:pPr>
              <w:rPr>
                <w:rFonts w:ascii="Arial"/>
                <w:sz w:val="21"/>
              </w:rPr>
            </w:pPr>
          </w:p>
        </w:tc>
        <w:tc>
          <w:tcPr>
            <w:tcW w:w="3074" w:type="dxa"/>
            <w:tcBorders>
              <w:left w:val="single" w:color="auto" w:sz="4" w:space="0"/>
            </w:tcBorders>
            <w:vAlign w:val="center"/>
          </w:tcPr>
          <w:p w14:paraId="088584C7">
            <w:pPr>
              <w:pStyle w:val="6"/>
              <w:spacing w:before="177" w:line="228" w:lineRule="auto"/>
              <w:jc w:val="center"/>
            </w:pPr>
            <w:r>
              <w:rPr>
                <w:rFonts w:hint="eastAsia" w:ascii="宋体" w:hAnsi="宋体" w:eastAsia="宋体" w:cs="宋体"/>
                <w:i w:val="0"/>
                <w:iCs w:val="0"/>
                <w:snapToGrid w:val="0"/>
                <w:color w:val="000000"/>
                <w:kern w:val="0"/>
                <w:sz w:val="20"/>
                <w:szCs w:val="20"/>
                <w:u w:val="none"/>
                <w:lang w:val="en-US" w:eastAsia="zh-CN" w:bidi="ar"/>
              </w:rPr>
              <w:t>介电性能</w:t>
            </w:r>
          </w:p>
        </w:tc>
        <w:tc>
          <w:tcPr>
            <w:tcW w:w="2472" w:type="dxa"/>
            <w:vAlign w:val="top"/>
          </w:tcPr>
          <w:p w14:paraId="32DE1B99">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12205C72">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33F8516E">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36E645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840" w:type="dxa"/>
            <w:vMerge w:val="continue"/>
            <w:tcBorders>
              <w:top w:val="single" w:color="auto" w:sz="4" w:space="0"/>
              <w:left w:val="single" w:color="auto" w:sz="4" w:space="0"/>
              <w:bottom w:val="single" w:color="auto" w:sz="4" w:space="0"/>
            </w:tcBorders>
            <w:vAlign w:val="top"/>
          </w:tcPr>
          <w:p w14:paraId="200B3FD6">
            <w:pPr>
              <w:rPr>
                <w:rFonts w:ascii="Arial"/>
                <w:sz w:val="21"/>
              </w:rPr>
            </w:pPr>
          </w:p>
        </w:tc>
        <w:tc>
          <w:tcPr>
            <w:tcW w:w="1408" w:type="dxa"/>
            <w:vMerge w:val="continue"/>
            <w:tcBorders>
              <w:top w:val="single" w:color="auto" w:sz="4" w:space="0"/>
              <w:bottom w:val="single" w:color="auto" w:sz="4" w:space="0"/>
              <w:right w:val="single" w:color="auto" w:sz="4" w:space="0"/>
            </w:tcBorders>
            <w:vAlign w:val="top"/>
          </w:tcPr>
          <w:p w14:paraId="1FFAD14E">
            <w:pPr>
              <w:rPr>
                <w:rFonts w:ascii="Arial"/>
                <w:sz w:val="21"/>
              </w:rPr>
            </w:pPr>
          </w:p>
        </w:tc>
        <w:tc>
          <w:tcPr>
            <w:tcW w:w="3074" w:type="dxa"/>
            <w:tcBorders>
              <w:left w:val="single" w:color="auto" w:sz="4" w:space="0"/>
            </w:tcBorders>
            <w:vAlign w:val="center"/>
          </w:tcPr>
          <w:p w14:paraId="27103026">
            <w:pPr>
              <w:pStyle w:val="6"/>
              <w:spacing w:before="175" w:line="228" w:lineRule="auto"/>
              <w:jc w:val="center"/>
            </w:pPr>
            <w:r>
              <w:rPr>
                <w:rFonts w:hint="eastAsia" w:ascii="宋体" w:hAnsi="宋体" w:eastAsia="宋体" w:cs="宋体"/>
                <w:i w:val="0"/>
                <w:iCs w:val="0"/>
                <w:snapToGrid w:val="0"/>
                <w:color w:val="000000"/>
                <w:kern w:val="0"/>
                <w:sz w:val="20"/>
                <w:szCs w:val="20"/>
                <w:u w:val="none"/>
                <w:lang w:val="en-US" w:eastAsia="zh-CN" w:bidi="ar"/>
              </w:rPr>
              <w:t>温升极限</w:t>
            </w:r>
          </w:p>
        </w:tc>
        <w:tc>
          <w:tcPr>
            <w:tcW w:w="2472" w:type="dxa"/>
            <w:vAlign w:val="top"/>
          </w:tcPr>
          <w:p w14:paraId="2976CCD6">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5660A945">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7251.12-2013</w:t>
            </w:r>
          </w:p>
          <w:p w14:paraId="565F295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7251.2-20</w:t>
            </w:r>
            <w:r>
              <w:rPr>
                <w:rFonts w:hint="eastAsia"/>
                <w:lang w:val="en-US" w:eastAsia="zh-CN"/>
              </w:rPr>
              <w:t>2</w:t>
            </w:r>
            <w:r>
              <w:rPr>
                <w:rFonts w:hint="eastAsia"/>
              </w:rPr>
              <w:t>3</w:t>
            </w:r>
          </w:p>
        </w:tc>
      </w:tr>
      <w:tr w14:paraId="4BC4A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restart"/>
            <w:tcBorders>
              <w:top w:val="single" w:color="auto" w:sz="4" w:space="0"/>
              <w:left w:val="single" w:color="auto" w:sz="4" w:space="0"/>
            </w:tcBorders>
            <w:vAlign w:val="center"/>
          </w:tcPr>
          <w:p w14:paraId="16245CA2">
            <w:pPr>
              <w:jc w:val="center"/>
              <w:rPr>
                <w:rFonts w:hint="eastAsia" w:ascii="Arial" w:eastAsia="宋体"/>
                <w:sz w:val="21"/>
                <w:lang w:val="en-US" w:eastAsia="zh-CN"/>
              </w:rPr>
            </w:pPr>
            <w:r>
              <w:rPr>
                <w:rFonts w:hint="eastAsia" w:eastAsia="宋体"/>
                <w:sz w:val="21"/>
                <w:lang w:val="en-US" w:eastAsia="zh-CN"/>
              </w:rPr>
              <w:t>2</w:t>
            </w:r>
          </w:p>
        </w:tc>
        <w:tc>
          <w:tcPr>
            <w:tcW w:w="1408" w:type="dxa"/>
            <w:vMerge w:val="restart"/>
            <w:tcBorders>
              <w:top w:val="single" w:color="auto" w:sz="4" w:space="0"/>
              <w:right w:val="single" w:color="auto" w:sz="4" w:space="0"/>
            </w:tcBorders>
            <w:vAlign w:val="center"/>
          </w:tcPr>
          <w:p w14:paraId="2AEE254C">
            <w:pPr>
              <w:jc w:val="center"/>
              <w:rPr>
                <w:rFonts w:hint="default" w:ascii="Arial" w:eastAsia="宋体"/>
                <w:sz w:val="21"/>
                <w:lang w:val="en-US" w:eastAsia="zh-CN"/>
              </w:rPr>
            </w:pPr>
            <w:r>
              <w:rPr>
                <w:rFonts w:hint="eastAsia" w:eastAsia="宋体"/>
                <w:sz w:val="21"/>
                <w:lang w:val="en-US" w:eastAsia="zh-CN"/>
              </w:rPr>
              <w:t>配电板</w:t>
            </w:r>
          </w:p>
        </w:tc>
        <w:tc>
          <w:tcPr>
            <w:tcW w:w="3074" w:type="dxa"/>
            <w:tcBorders>
              <w:left w:val="single" w:color="auto" w:sz="4" w:space="0"/>
            </w:tcBorders>
            <w:shd w:val="clear" w:color="auto" w:fill="auto"/>
            <w:vAlign w:val="top"/>
          </w:tcPr>
          <w:p w14:paraId="045F5AAF">
            <w:pPr>
              <w:pStyle w:val="6"/>
              <w:spacing w:before="173" w:line="229"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材料和部件的强度</w:t>
            </w:r>
          </w:p>
        </w:tc>
        <w:tc>
          <w:tcPr>
            <w:tcW w:w="2472" w:type="dxa"/>
            <w:vAlign w:val="top"/>
          </w:tcPr>
          <w:p w14:paraId="5036A6C6">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5606ADD7">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5D530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vAlign w:val="top"/>
          </w:tcPr>
          <w:p w14:paraId="195E4543">
            <w:pPr>
              <w:rPr>
                <w:rFonts w:ascii="Arial"/>
                <w:sz w:val="21"/>
              </w:rPr>
            </w:pPr>
          </w:p>
        </w:tc>
        <w:tc>
          <w:tcPr>
            <w:tcW w:w="1408" w:type="dxa"/>
            <w:vMerge w:val="continue"/>
            <w:tcBorders>
              <w:right w:val="single" w:color="auto" w:sz="4" w:space="0"/>
            </w:tcBorders>
            <w:vAlign w:val="top"/>
          </w:tcPr>
          <w:p w14:paraId="628A4251">
            <w:pPr>
              <w:rPr>
                <w:rFonts w:ascii="Arial"/>
                <w:sz w:val="21"/>
              </w:rPr>
            </w:pPr>
          </w:p>
        </w:tc>
        <w:tc>
          <w:tcPr>
            <w:tcW w:w="3074" w:type="dxa"/>
            <w:tcBorders>
              <w:left w:val="single" w:color="auto" w:sz="4" w:space="0"/>
            </w:tcBorders>
            <w:shd w:val="clear" w:color="auto" w:fill="auto"/>
            <w:vAlign w:val="top"/>
          </w:tcPr>
          <w:p w14:paraId="5769DE2C">
            <w:pPr>
              <w:pStyle w:val="6"/>
              <w:spacing w:before="172"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电气间隙和爬电距离</w:t>
            </w:r>
          </w:p>
        </w:tc>
        <w:tc>
          <w:tcPr>
            <w:tcW w:w="2472" w:type="dxa"/>
            <w:vAlign w:val="top"/>
          </w:tcPr>
          <w:p w14:paraId="3F31691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55799571">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60D9C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vAlign w:val="top"/>
          </w:tcPr>
          <w:p w14:paraId="73139637">
            <w:pPr>
              <w:rPr>
                <w:rFonts w:ascii="Arial"/>
                <w:sz w:val="21"/>
              </w:rPr>
            </w:pPr>
          </w:p>
        </w:tc>
        <w:tc>
          <w:tcPr>
            <w:tcW w:w="1408" w:type="dxa"/>
            <w:vMerge w:val="continue"/>
            <w:tcBorders>
              <w:right w:val="single" w:color="auto" w:sz="4" w:space="0"/>
            </w:tcBorders>
            <w:vAlign w:val="top"/>
          </w:tcPr>
          <w:p w14:paraId="2361C590">
            <w:pPr>
              <w:rPr>
                <w:rFonts w:ascii="Arial"/>
                <w:sz w:val="21"/>
              </w:rPr>
            </w:pPr>
          </w:p>
        </w:tc>
        <w:tc>
          <w:tcPr>
            <w:tcW w:w="3074" w:type="dxa"/>
            <w:tcBorders>
              <w:left w:val="single" w:color="auto" w:sz="4" w:space="0"/>
            </w:tcBorders>
            <w:shd w:val="clear" w:color="auto" w:fill="auto"/>
            <w:vAlign w:val="top"/>
          </w:tcPr>
          <w:p w14:paraId="02968D7C">
            <w:pPr>
              <w:pStyle w:val="6"/>
              <w:spacing w:before="175"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电击防护和保护电路完整性</w:t>
            </w:r>
          </w:p>
        </w:tc>
        <w:tc>
          <w:tcPr>
            <w:tcW w:w="2472" w:type="dxa"/>
            <w:vAlign w:val="top"/>
          </w:tcPr>
          <w:p w14:paraId="357AC7DA">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12339953">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15F7E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vAlign w:val="top"/>
          </w:tcPr>
          <w:p w14:paraId="09DABBC2">
            <w:pPr>
              <w:rPr>
                <w:rFonts w:ascii="Arial"/>
                <w:sz w:val="21"/>
              </w:rPr>
            </w:pPr>
          </w:p>
        </w:tc>
        <w:tc>
          <w:tcPr>
            <w:tcW w:w="1408" w:type="dxa"/>
            <w:vMerge w:val="continue"/>
            <w:tcBorders>
              <w:right w:val="single" w:color="auto" w:sz="4" w:space="0"/>
            </w:tcBorders>
            <w:vAlign w:val="top"/>
          </w:tcPr>
          <w:p w14:paraId="1F31C32B">
            <w:pPr>
              <w:rPr>
                <w:rFonts w:ascii="Arial"/>
                <w:sz w:val="21"/>
              </w:rPr>
            </w:pPr>
          </w:p>
        </w:tc>
        <w:tc>
          <w:tcPr>
            <w:tcW w:w="3074" w:type="dxa"/>
            <w:tcBorders>
              <w:left w:val="single" w:color="auto" w:sz="4" w:space="0"/>
            </w:tcBorders>
            <w:shd w:val="clear" w:color="auto" w:fill="auto"/>
            <w:vAlign w:val="top"/>
          </w:tcPr>
          <w:p w14:paraId="64FFBDC7">
            <w:pPr>
              <w:pStyle w:val="6"/>
              <w:spacing w:before="174"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开关器件和元件的组合</w:t>
            </w:r>
          </w:p>
        </w:tc>
        <w:tc>
          <w:tcPr>
            <w:tcW w:w="2472" w:type="dxa"/>
            <w:vAlign w:val="top"/>
          </w:tcPr>
          <w:p w14:paraId="41F765F2">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78F9082F">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17D8B3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vAlign w:val="top"/>
          </w:tcPr>
          <w:p w14:paraId="50E72BB2">
            <w:pPr>
              <w:rPr>
                <w:rFonts w:ascii="Arial"/>
                <w:sz w:val="21"/>
              </w:rPr>
            </w:pPr>
          </w:p>
        </w:tc>
        <w:tc>
          <w:tcPr>
            <w:tcW w:w="1408" w:type="dxa"/>
            <w:vMerge w:val="continue"/>
            <w:tcBorders>
              <w:right w:val="single" w:color="auto" w:sz="4" w:space="0"/>
            </w:tcBorders>
            <w:vAlign w:val="top"/>
          </w:tcPr>
          <w:p w14:paraId="32D3892B">
            <w:pPr>
              <w:rPr>
                <w:rFonts w:ascii="Arial"/>
                <w:sz w:val="21"/>
              </w:rPr>
            </w:pPr>
          </w:p>
        </w:tc>
        <w:tc>
          <w:tcPr>
            <w:tcW w:w="3074" w:type="dxa"/>
            <w:tcBorders>
              <w:left w:val="single" w:color="auto" w:sz="4" w:space="0"/>
            </w:tcBorders>
            <w:shd w:val="clear" w:color="auto" w:fill="auto"/>
            <w:vAlign w:val="top"/>
          </w:tcPr>
          <w:p w14:paraId="4CA51C12">
            <w:pPr>
              <w:pStyle w:val="6"/>
              <w:spacing w:before="176" w:line="229"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内部电路和连接</w:t>
            </w:r>
          </w:p>
        </w:tc>
        <w:tc>
          <w:tcPr>
            <w:tcW w:w="2472" w:type="dxa"/>
            <w:vAlign w:val="top"/>
          </w:tcPr>
          <w:p w14:paraId="4146500A">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3F2BDF66">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55119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vAlign w:val="top"/>
          </w:tcPr>
          <w:p w14:paraId="72C9CB40">
            <w:pPr>
              <w:rPr>
                <w:rFonts w:ascii="Arial"/>
                <w:sz w:val="21"/>
              </w:rPr>
            </w:pPr>
          </w:p>
        </w:tc>
        <w:tc>
          <w:tcPr>
            <w:tcW w:w="1408" w:type="dxa"/>
            <w:vMerge w:val="continue"/>
            <w:tcBorders>
              <w:right w:val="single" w:color="auto" w:sz="4" w:space="0"/>
            </w:tcBorders>
            <w:vAlign w:val="top"/>
          </w:tcPr>
          <w:p w14:paraId="2294FD24">
            <w:pPr>
              <w:rPr>
                <w:rFonts w:ascii="Arial"/>
                <w:sz w:val="21"/>
              </w:rPr>
            </w:pPr>
          </w:p>
        </w:tc>
        <w:tc>
          <w:tcPr>
            <w:tcW w:w="3074" w:type="dxa"/>
            <w:tcBorders>
              <w:left w:val="single" w:color="auto" w:sz="4" w:space="0"/>
            </w:tcBorders>
            <w:shd w:val="clear" w:color="auto" w:fill="auto"/>
            <w:vAlign w:val="top"/>
          </w:tcPr>
          <w:p w14:paraId="0E47805C">
            <w:pPr>
              <w:pStyle w:val="6"/>
              <w:spacing w:before="174"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外接导线端子</w:t>
            </w:r>
          </w:p>
        </w:tc>
        <w:tc>
          <w:tcPr>
            <w:tcW w:w="2472" w:type="dxa"/>
            <w:vAlign w:val="top"/>
          </w:tcPr>
          <w:p w14:paraId="3132A234">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6F695359">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3707E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tcPr>
          <w:p w14:paraId="12428430">
            <w:pPr>
              <w:rPr>
                <w:rFonts w:ascii="Arial"/>
                <w:sz w:val="21"/>
              </w:rPr>
            </w:pPr>
          </w:p>
        </w:tc>
        <w:tc>
          <w:tcPr>
            <w:tcW w:w="1408" w:type="dxa"/>
            <w:vMerge w:val="continue"/>
            <w:tcBorders>
              <w:right w:val="single" w:color="auto" w:sz="4" w:space="0"/>
            </w:tcBorders>
          </w:tcPr>
          <w:p w14:paraId="4149AABA">
            <w:pPr>
              <w:rPr>
                <w:rFonts w:ascii="Arial"/>
                <w:sz w:val="21"/>
              </w:rPr>
            </w:pPr>
          </w:p>
        </w:tc>
        <w:tc>
          <w:tcPr>
            <w:tcW w:w="0" w:type="auto"/>
            <w:shd w:val="clear" w:color="auto" w:fill="auto"/>
            <w:vAlign w:val="top"/>
          </w:tcPr>
          <w:p w14:paraId="4D8173D9">
            <w:pPr>
              <w:pStyle w:val="6"/>
              <w:spacing w:before="177"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介电性能</w:t>
            </w:r>
          </w:p>
        </w:tc>
        <w:tc>
          <w:tcPr>
            <w:tcW w:w="2472" w:type="dxa"/>
          </w:tcPr>
          <w:p w14:paraId="0133E928">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25692BD5">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r w14:paraId="11D40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840" w:type="dxa"/>
            <w:vMerge w:val="continue"/>
            <w:tcBorders>
              <w:left w:val="single" w:color="auto" w:sz="4" w:space="0"/>
            </w:tcBorders>
          </w:tcPr>
          <w:p w14:paraId="0545CECA">
            <w:pPr>
              <w:rPr>
                <w:rFonts w:ascii="Arial"/>
                <w:sz w:val="21"/>
              </w:rPr>
            </w:pPr>
          </w:p>
        </w:tc>
        <w:tc>
          <w:tcPr>
            <w:tcW w:w="1408" w:type="dxa"/>
            <w:vMerge w:val="continue"/>
            <w:tcBorders>
              <w:right w:val="single" w:color="auto" w:sz="4" w:space="0"/>
            </w:tcBorders>
          </w:tcPr>
          <w:p w14:paraId="42C6B71A">
            <w:pPr>
              <w:rPr>
                <w:rFonts w:ascii="Arial"/>
                <w:sz w:val="21"/>
              </w:rPr>
            </w:pPr>
          </w:p>
        </w:tc>
        <w:tc>
          <w:tcPr>
            <w:tcW w:w="0" w:type="auto"/>
            <w:shd w:val="clear" w:color="auto" w:fill="auto"/>
            <w:vAlign w:val="top"/>
          </w:tcPr>
          <w:p w14:paraId="24779B11">
            <w:pPr>
              <w:pStyle w:val="6"/>
              <w:spacing w:before="175" w:line="228"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温升极限</w:t>
            </w:r>
          </w:p>
        </w:tc>
        <w:tc>
          <w:tcPr>
            <w:tcW w:w="2472" w:type="dxa"/>
          </w:tcPr>
          <w:p w14:paraId="5EEAAFA9">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rFonts w:hint="eastAsia"/>
              </w:rPr>
              <w:t>GB/T 7251.1-2013</w:t>
            </w:r>
          </w:p>
          <w:p w14:paraId="4710B871">
            <w:pPr>
              <w:pStyle w:val="6"/>
              <w:keepNext w:val="0"/>
              <w:keepLines w:val="0"/>
              <w:pageBreakBefore w:val="0"/>
              <w:widowControl/>
              <w:kinsoku w:val="0"/>
              <w:wordWrap/>
              <w:overflowPunct/>
              <w:topLinePunct w:val="0"/>
              <w:autoSpaceDE w:val="0"/>
              <w:autoSpaceDN w:val="0"/>
              <w:bidi w:val="0"/>
              <w:adjustRightInd w:val="0"/>
              <w:snapToGrid w:val="0"/>
              <w:spacing w:before="175" w:line="120" w:lineRule="auto"/>
              <w:jc w:val="center"/>
              <w:textAlignment w:val="baseline"/>
              <w:rPr>
                <w:rFonts w:hint="eastAsia"/>
              </w:rPr>
            </w:pPr>
            <w:r>
              <w:rPr>
                <w:spacing w:val="7"/>
              </w:rPr>
              <w:t>GB/T 7251.</w:t>
            </w:r>
            <w:r>
              <w:rPr>
                <w:spacing w:val="6"/>
              </w:rPr>
              <w:t>3</w:t>
            </w:r>
            <w:r>
              <w:rPr>
                <w:rFonts w:hint="eastAsia"/>
                <w:spacing w:val="6"/>
                <w:lang w:val="en-US" w:eastAsia="zh-CN"/>
              </w:rPr>
              <w:t>-2017</w:t>
            </w:r>
          </w:p>
        </w:tc>
      </w:tr>
    </w:tbl>
    <w:p w14:paraId="761225CE">
      <w:pPr>
        <w:pStyle w:val="2"/>
        <w:spacing w:before="30" w:line="377" w:lineRule="auto"/>
        <w:ind w:left="19"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05419EBC">
      <w:pPr>
        <w:pStyle w:val="2"/>
        <w:spacing w:before="2" w:line="377" w:lineRule="auto"/>
        <w:ind w:left="24" w:right="53" w:firstLine="420"/>
      </w:pPr>
      <w:r>
        <w:rPr>
          <w:spacing w:val="7"/>
        </w:rPr>
        <w:t>凡是注日期的文件，其随后所有的修改单（不包括勘误的内容）或修订版不适用于本细</w:t>
      </w:r>
      <w:r>
        <w:rPr>
          <w:spacing w:val="9"/>
        </w:rPr>
        <w:t xml:space="preserve"> 则。凡是不注日期的文件，其最新版本适用于本细则。</w:t>
      </w:r>
    </w:p>
    <w:p w14:paraId="41B400CA">
      <w:pPr>
        <w:pStyle w:val="2"/>
        <w:spacing w:line="228" w:lineRule="auto"/>
        <w:ind w:left="24"/>
        <w:outlineLvl w:val="1"/>
      </w:pPr>
      <w:r>
        <w:rPr>
          <w:b/>
          <w:bCs/>
          <w:spacing w:val="3"/>
        </w:rPr>
        <w:t>3</w:t>
      </w:r>
      <w:r>
        <w:rPr>
          <w:spacing w:val="14"/>
        </w:rPr>
        <w:t xml:space="preserve"> </w:t>
      </w:r>
      <w:r>
        <w:rPr>
          <w:b/>
          <w:bCs/>
          <w:spacing w:val="3"/>
        </w:rPr>
        <w:t>判定规则</w:t>
      </w:r>
    </w:p>
    <w:p w14:paraId="0045590B">
      <w:pPr>
        <w:pStyle w:val="2"/>
        <w:spacing w:before="161" w:line="227" w:lineRule="auto"/>
        <w:ind w:left="24"/>
      </w:pPr>
      <w:r>
        <w:rPr>
          <w:spacing w:val="5"/>
        </w:rPr>
        <w:t>3.1 标准依据</w:t>
      </w:r>
    </w:p>
    <w:p w14:paraId="27D4E0DF">
      <w:pPr>
        <w:pStyle w:val="2"/>
        <w:keepNext w:val="0"/>
        <w:keepLines w:val="0"/>
        <w:pageBreakBefore w:val="0"/>
        <w:widowControl/>
        <w:kinsoku w:val="0"/>
        <w:wordWrap/>
        <w:overflowPunct/>
        <w:topLinePunct w:val="0"/>
        <w:autoSpaceDE w:val="0"/>
        <w:autoSpaceDN w:val="0"/>
        <w:bidi w:val="0"/>
        <w:adjustRightInd w:val="0"/>
        <w:snapToGrid w:val="0"/>
        <w:spacing w:before="121" w:line="240" w:lineRule="auto"/>
        <w:ind w:left="23" w:right="11" w:firstLine="420"/>
        <w:textAlignment w:val="baseline"/>
        <w:rPr>
          <w:spacing w:val="7"/>
        </w:rPr>
      </w:pPr>
      <w:r>
        <w:rPr>
          <w:spacing w:val="7"/>
        </w:rPr>
        <w:t>GB/T 7251.1</w:t>
      </w:r>
      <w:r>
        <w:rPr>
          <w:rFonts w:hint="eastAsia"/>
          <w:spacing w:val="7"/>
          <w:lang w:val="en-US" w:eastAsia="zh-CN"/>
        </w:rPr>
        <w:t>-2013</w:t>
      </w:r>
      <w:r>
        <w:rPr>
          <w:spacing w:val="7"/>
        </w:rPr>
        <w:t xml:space="preserve">  低压成套开关设备和控制设备 第 1 部分：总则</w:t>
      </w:r>
    </w:p>
    <w:p w14:paraId="13831B0C">
      <w:pPr>
        <w:pStyle w:val="2"/>
        <w:keepNext w:val="0"/>
        <w:keepLines w:val="0"/>
        <w:pageBreakBefore w:val="0"/>
        <w:widowControl/>
        <w:kinsoku w:val="0"/>
        <w:wordWrap/>
        <w:overflowPunct/>
        <w:topLinePunct w:val="0"/>
        <w:autoSpaceDE w:val="0"/>
        <w:autoSpaceDN w:val="0"/>
        <w:bidi w:val="0"/>
        <w:adjustRightInd w:val="0"/>
        <w:snapToGrid w:val="0"/>
        <w:spacing w:before="121" w:line="240" w:lineRule="auto"/>
        <w:ind w:left="23" w:right="11" w:firstLine="420"/>
        <w:textAlignment w:val="baseline"/>
        <w:rPr>
          <w:spacing w:val="7"/>
        </w:rPr>
      </w:pPr>
      <w:r>
        <w:rPr>
          <w:spacing w:val="7"/>
        </w:rPr>
        <w:t>GB/T 7251.</w:t>
      </w:r>
      <w:r>
        <w:rPr>
          <w:rFonts w:hint="eastAsia"/>
          <w:spacing w:val="7"/>
          <w:lang w:val="en-US" w:eastAsia="zh-CN"/>
        </w:rPr>
        <w:t>1</w:t>
      </w:r>
      <w:r>
        <w:rPr>
          <w:spacing w:val="7"/>
        </w:rPr>
        <w:t>2</w:t>
      </w:r>
      <w:r>
        <w:rPr>
          <w:rFonts w:hint="eastAsia"/>
          <w:spacing w:val="7"/>
          <w:lang w:val="en-US" w:eastAsia="zh-CN"/>
        </w:rPr>
        <w:t>-2013</w:t>
      </w:r>
      <w:r>
        <w:rPr>
          <w:spacing w:val="7"/>
        </w:rPr>
        <w:t xml:space="preserve">  低压成套开关设备和控制设备 第 2 部分：成套电力开关和控制设备</w:t>
      </w:r>
    </w:p>
    <w:p w14:paraId="4BC910ED">
      <w:pPr>
        <w:pStyle w:val="2"/>
        <w:keepNext w:val="0"/>
        <w:keepLines w:val="0"/>
        <w:pageBreakBefore w:val="0"/>
        <w:widowControl/>
        <w:kinsoku w:val="0"/>
        <w:wordWrap/>
        <w:overflowPunct/>
        <w:topLinePunct w:val="0"/>
        <w:autoSpaceDE w:val="0"/>
        <w:autoSpaceDN w:val="0"/>
        <w:bidi w:val="0"/>
        <w:adjustRightInd w:val="0"/>
        <w:snapToGrid w:val="0"/>
        <w:spacing w:before="121" w:line="240" w:lineRule="auto"/>
        <w:ind w:left="23" w:right="11" w:firstLine="420"/>
        <w:textAlignment w:val="baseline"/>
        <w:rPr>
          <w:rFonts w:hint="default" w:eastAsia="宋体"/>
          <w:spacing w:val="7"/>
          <w:lang w:val="en-US" w:eastAsia="zh-CN"/>
        </w:rPr>
      </w:pPr>
      <w:r>
        <w:rPr>
          <w:rFonts w:hint="eastAsia"/>
          <w:spacing w:val="7"/>
        </w:rPr>
        <w:t>GB/T 7251.2-2023</w:t>
      </w:r>
      <w:r>
        <w:rPr>
          <w:rFonts w:hint="eastAsia"/>
          <w:spacing w:val="7"/>
          <w:lang w:val="en-US" w:eastAsia="zh-CN"/>
        </w:rPr>
        <w:t xml:space="preserve">  低压成套开关设备和控制设备 第2部分:成套电力开关和控制设备</w:t>
      </w:r>
    </w:p>
    <w:p w14:paraId="3B45E115">
      <w:pPr>
        <w:pStyle w:val="2"/>
        <w:keepNext w:val="0"/>
        <w:keepLines w:val="0"/>
        <w:pageBreakBefore w:val="0"/>
        <w:widowControl/>
        <w:kinsoku w:val="0"/>
        <w:wordWrap/>
        <w:overflowPunct/>
        <w:topLinePunct w:val="0"/>
        <w:autoSpaceDE w:val="0"/>
        <w:autoSpaceDN w:val="0"/>
        <w:bidi w:val="0"/>
        <w:adjustRightInd w:val="0"/>
        <w:snapToGrid w:val="0"/>
        <w:spacing w:before="121" w:line="240" w:lineRule="auto"/>
        <w:ind w:left="23" w:right="11" w:firstLine="420"/>
        <w:textAlignment w:val="baseline"/>
      </w:pPr>
      <w:r>
        <w:rPr>
          <w:spacing w:val="7"/>
        </w:rPr>
        <w:t>GB/T 7251.</w:t>
      </w:r>
      <w:r>
        <w:rPr>
          <w:spacing w:val="6"/>
        </w:rPr>
        <w:t>3</w:t>
      </w:r>
      <w:r>
        <w:rPr>
          <w:rFonts w:hint="eastAsia"/>
          <w:spacing w:val="6"/>
          <w:lang w:val="en-US" w:eastAsia="zh-CN"/>
        </w:rPr>
        <w:t>-2017</w:t>
      </w:r>
      <w:r>
        <w:rPr>
          <w:spacing w:val="6"/>
        </w:rPr>
        <w:t xml:space="preserve">  低压成套开关设备和控制设备 第</w:t>
      </w:r>
      <w:r>
        <w:rPr>
          <w:spacing w:val="-35"/>
        </w:rPr>
        <w:t xml:space="preserve"> </w:t>
      </w:r>
      <w:r>
        <w:rPr>
          <w:spacing w:val="6"/>
        </w:rPr>
        <w:t>3</w:t>
      </w:r>
      <w:r>
        <w:rPr>
          <w:spacing w:val="-36"/>
        </w:rPr>
        <w:t xml:space="preserve"> </w:t>
      </w:r>
      <w:r>
        <w:rPr>
          <w:spacing w:val="6"/>
        </w:rPr>
        <w:t>部分</w:t>
      </w:r>
      <w:r>
        <w:rPr>
          <w:spacing w:val="-58"/>
        </w:rPr>
        <w:t xml:space="preserve"> </w:t>
      </w:r>
      <w:r>
        <w:rPr>
          <w:spacing w:val="6"/>
        </w:rPr>
        <w:t>:</w:t>
      </w:r>
      <w:r>
        <w:rPr>
          <w:spacing w:val="38"/>
        </w:rPr>
        <w:t xml:space="preserve"> </w:t>
      </w:r>
      <w:r>
        <w:rPr>
          <w:spacing w:val="6"/>
        </w:rPr>
        <w:t>由一般人员操作</w:t>
      </w:r>
      <w:r>
        <w:rPr>
          <w:spacing w:val="5"/>
        </w:rPr>
        <w:t>的配电板</w:t>
      </w:r>
      <w:r>
        <w:t xml:space="preserve"> </w:t>
      </w:r>
      <w:r>
        <w:rPr>
          <w:spacing w:val="3"/>
        </w:rPr>
        <w:t>（</w:t>
      </w:r>
      <w:r>
        <w:t>DBO</w:t>
      </w:r>
      <w:r>
        <w:rPr>
          <w:spacing w:val="3"/>
        </w:rPr>
        <w:t>）</w:t>
      </w:r>
    </w:p>
    <w:p w14:paraId="21082E22">
      <w:pPr>
        <w:pStyle w:val="2"/>
        <w:spacing w:line="226" w:lineRule="auto"/>
        <w:ind w:left="439"/>
      </w:pPr>
      <w:r>
        <w:rPr>
          <w:spacing w:val="9"/>
        </w:rPr>
        <w:t>相关的法律、行政法规、部门规章、规范性文件</w:t>
      </w:r>
    </w:p>
    <w:p w14:paraId="3FC79338">
      <w:pPr>
        <w:pStyle w:val="2"/>
        <w:spacing w:before="164" w:line="228" w:lineRule="auto"/>
        <w:ind w:left="441"/>
      </w:pPr>
      <w:r>
        <w:rPr>
          <w:spacing w:val="9"/>
        </w:rPr>
        <w:t>现行有效的企业标准、团体标准、地方标准及产品明示质量要求</w:t>
      </w:r>
    </w:p>
    <w:p w14:paraId="348F4127">
      <w:pPr>
        <w:pStyle w:val="2"/>
        <w:spacing w:before="260" w:line="228" w:lineRule="auto"/>
        <w:ind w:left="24"/>
      </w:pPr>
      <w:r>
        <w:rPr>
          <w:spacing w:val="5"/>
        </w:rPr>
        <w:t>3.2 判定原则</w:t>
      </w:r>
    </w:p>
    <w:p w14:paraId="44765A80">
      <w:pPr>
        <w:pStyle w:val="2"/>
        <w:spacing w:before="121" w:line="377" w:lineRule="auto"/>
        <w:ind w:left="23" w:right="13" w:firstLine="418"/>
      </w:pPr>
      <w:r>
        <w:rPr>
          <w:spacing w:val="7"/>
        </w:rPr>
        <w:t>经检验，检验项目全部合格，判定为被抽查产品所检项目未发现不合格；检验项目中任</w:t>
      </w:r>
      <w:r>
        <w:rPr>
          <w:spacing w:val="12"/>
        </w:rPr>
        <w:t xml:space="preserve"> </w:t>
      </w:r>
      <w:r>
        <w:rPr>
          <w:spacing w:val="9"/>
        </w:rPr>
        <w:t>一项或一项以上不合格，判定为被抽查产品不合</w:t>
      </w:r>
      <w:r>
        <w:rPr>
          <w:spacing w:val="8"/>
        </w:rPr>
        <w:t>格。</w:t>
      </w:r>
    </w:p>
    <w:p w14:paraId="36442111">
      <w:pPr>
        <w:pStyle w:val="2"/>
        <w:spacing w:before="2" w:line="377" w:lineRule="auto"/>
        <w:ind w:left="20" w:right="11" w:firstLine="420"/>
      </w:pPr>
      <w:r>
        <w:rPr>
          <w:spacing w:val="7"/>
        </w:rPr>
        <w:t>若被检产品明示的质量要求高于本细则中检验项目依据的标准要求时，应按被检产品明</w:t>
      </w:r>
      <w:r>
        <w:rPr>
          <w:spacing w:val="15"/>
        </w:rPr>
        <w:t xml:space="preserve"> </w:t>
      </w:r>
      <w:r>
        <w:rPr>
          <w:spacing w:val="7"/>
        </w:rPr>
        <w:t>示的质量要求判定。</w:t>
      </w:r>
    </w:p>
    <w:p w14:paraId="2B96E3BF">
      <w:pPr>
        <w:pStyle w:val="2"/>
        <w:spacing w:before="1" w:line="376" w:lineRule="auto"/>
        <w:ind w:left="20" w:right="13" w:firstLine="420"/>
      </w:pPr>
      <w:r>
        <w:rPr>
          <w:spacing w:val="7"/>
        </w:rPr>
        <w:t>若被检产品明示的质量要求低于本细则中检验项目依据的强制性标准要求时，应按照强</w:t>
      </w:r>
      <w:r>
        <w:rPr>
          <w:spacing w:val="12"/>
        </w:rPr>
        <w:t xml:space="preserve"> </w:t>
      </w:r>
      <w:r>
        <w:rPr>
          <w:spacing w:val="7"/>
        </w:rPr>
        <w:t>制性标准要求判定。</w:t>
      </w:r>
    </w:p>
    <w:p w14:paraId="302EA1F6">
      <w:pPr>
        <w:pStyle w:val="2"/>
        <w:spacing w:before="2" w:line="377" w:lineRule="auto"/>
        <w:ind w:left="43" w:right="11" w:firstLine="397"/>
      </w:pPr>
      <w:r>
        <w:rPr>
          <w:spacing w:val="7"/>
        </w:rPr>
        <w:t>若被检产品明示的质量要求低于或包含本细则中检验项目依据的推荐性标准要求时，应</w:t>
      </w:r>
      <w:r>
        <w:rPr>
          <w:spacing w:val="15"/>
        </w:rPr>
        <w:t xml:space="preserve"> </w:t>
      </w:r>
      <w:r>
        <w:rPr>
          <w:spacing w:val="8"/>
        </w:rPr>
        <w:t>以被检产品明示的质量要求判定，但应在检验报告备注中进行说明。</w:t>
      </w:r>
    </w:p>
    <w:p w14:paraId="0FD03811">
      <w:pPr>
        <w:pStyle w:val="2"/>
        <w:spacing w:before="1" w:line="376" w:lineRule="auto"/>
        <w:ind w:left="20" w:right="13" w:firstLine="420"/>
      </w:pPr>
      <w:r>
        <w:rPr>
          <w:spacing w:val="7"/>
        </w:rPr>
        <w:t>若被检产品明示的质量要求缺少本细则中检验项目依据的强制性标准要求时，应按照强</w:t>
      </w:r>
      <w:r>
        <w:rPr>
          <w:spacing w:val="12"/>
        </w:rPr>
        <w:t xml:space="preserve"> </w:t>
      </w:r>
      <w:r>
        <w:rPr>
          <w:spacing w:val="7"/>
        </w:rPr>
        <w:t>制性标准要求判定。</w:t>
      </w:r>
    </w:p>
    <w:p w14:paraId="214DB732">
      <w:pPr>
        <w:pStyle w:val="2"/>
        <w:spacing w:before="2" w:line="376" w:lineRule="auto"/>
        <w:ind w:left="21" w:right="13" w:firstLine="419"/>
      </w:pPr>
      <w:r>
        <w:rPr>
          <w:spacing w:val="7"/>
        </w:rPr>
        <w:t>若被检产品明示的质量要求缺少本细则中检验项目依据的推荐性标准要求时，该项目不</w:t>
      </w:r>
      <w:r>
        <w:rPr>
          <w:spacing w:val="12"/>
        </w:rPr>
        <w:t xml:space="preserve"> </w:t>
      </w:r>
      <w:r>
        <w:rPr>
          <w:spacing w:val="8"/>
        </w:rPr>
        <w:t>参与判定，但应在检验报告备注中进行说明。</w:t>
      </w:r>
    </w:p>
    <w:p w14:paraId="111A1557">
      <w:pPr>
        <w:pStyle w:val="2"/>
        <w:spacing w:before="164" w:line="227" w:lineRule="auto"/>
        <w:ind w:left="440"/>
      </w:pPr>
      <w:bookmarkStart w:id="0" w:name="_GoBack"/>
      <w:bookmarkEnd w:id="0"/>
    </w:p>
    <w:sectPr>
      <w:footerReference r:id="rId5" w:type="default"/>
      <w:pgSz w:w="11906" w:h="16839"/>
      <w:pgMar w:top="1428" w:right="1785" w:bottom="1156"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6FC2B">
    <w:pPr>
      <w:spacing w:line="176" w:lineRule="auto"/>
      <w:ind w:right="6"/>
      <w:jc w:val="right"/>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9D73678"/>
    <w:rsid w:val="132A15C3"/>
    <w:rsid w:val="24975733"/>
    <w:rsid w:val="27DD4A96"/>
    <w:rsid w:val="317D26EF"/>
    <w:rsid w:val="36F206C5"/>
    <w:rsid w:val="3DCB6A74"/>
    <w:rsid w:val="49D306FC"/>
    <w:rsid w:val="4BD35997"/>
    <w:rsid w:val="5C092EC2"/>
    <w:rsid w:val="6C30706D"/>
    <w:rsid w:val="75522131"/>
    <w:rsid w:val="76924BB6"/>
    <w:rsid w:val="793C328F"/>
    <w:rsid w:val="7DDC0E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1033</Words>
  <Characters>1631</Characters>
  <TotalTime>0</TotalTime>
  <ScaleCrop>false</ScaleCrop>
  <LinksUpToDate>false</LinksUpToDate>
  <CharactersWithSpaces>1718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2024-03-27T10:09:00Z</dcterms:created>
  <dc:creator>Administrator</dc:creator>
  <cp:lastModifiedBy>Wz</cp:lastModifiedBy>
  <dcterms:modified xsi:type="dcterms:W3CDTF">2025-04-11T07:29:00Z</dcterms:modified>
  <dc:title>2010年4季度食用植物油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2025-03-27T10:18:22Z</vt:filetime>
  </property>
  <property fmtid="{D5CDD505-2E9C-101B-9397-08002B2CF9AE}" pid="4" name="KSOTemplateDocerSaveRecord">
    <vt:lpwstr>eyJoZGlkIjoiYzUxNmUyN2M1NDExYWQ2NTIwYWUyZTMzYWRkNjUxZDMiLCJ1c2VySWQiOiI0NDk1Njk2MjIifQ==</vt:lpwstr>
  </property>
  <property fmtid="{D5CDD505-2E9C-101B-9397-08002B2CF9AE}" pid="5" name="KSOProductBuildVer">
    <vt:lpwstr>2052-12.1.0.20784</vt:lpwstr>
  </property>
  <property fmtid="{D5CDD505-2E9C-101B-9397-08002B2CF9AE}" pid="6" name="ICV">
    <vt:lpwstr>842628AA46CB440C9B38E73F7D1B25B5_12</vt:lpwstr>
  </property>
</Properties>
</file>