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CCD49">
      <w:pPr>
        <w:pStyle w:val="2"/>
        <w:spacing w:before="63" w:line="225" w:lineRule="auto"/>
        <w:ind w:left="599"/>
        <w:jc w:val="center"/>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3DC683AF">
      <w:pPr>
        <w:pStyle w:val="2"/>
        <w:spacing w:before="63" w:line="225" w:lineRule="auto"/>
        <w:ind w:left="599"/>
        <w:jc w:val="center"/>
        <w:rPr>
          <w:sz w:val="31"/>
          <w:szCs w:val="31"/>
        </w:rPr>
      </w:pPr>
      <w:r>
        <w:rPr>
          <w:b/>
          <w:bCs/>
          <w:spacing w:val="7"/>
          <w:sz w:val="31"/>
          <w:szCs w:val="31"/>
        </w:rPr>
        <w:t>燃气用不锈钢波纹软管产品质量监督抽查实施细则</w:t>
      </w:r>
    </w:p>
    <w:p w14:paraId="6ACE7A5B">
      <w:pPr>
        <w:spacing w:line="263" w:lineRule="auto"/>
        <w:rPr>
          <w:rFonts w:ascii="Arial"/>
          <w:sz w:val="21"/>
        </w:rPr>
      </w:pPr>
    </w:p>
    <w:p w14:paraId="2CD9B0F4">
      <w:pPr>
        <w:spacing w:before="78" w:line="221" w:lineRule="auto"/>
        <w:ind w:left="460"/>
        <w:outlineLvl w:val="1"/>
        <w:rPr>
          <w:rFonts w:ascii="黑体" w:hAnsi="黑体" w:eastAsia="黑体" w:cs="黑体"/>
          <w:sz w:val="24"/>
          <w:szCs w:val="24"/>
        </w:rPr>
      </w:pPr>
      <w:r>
        <w:rPr>
          <w:rFonts w:ascii="黑体" w:hAnsi="黑体" w:eastAsia="黑体" w:cs="黑体"/>
          <w:spacing w:val="-7"/>
          <w:sz w:val="24"/>
          <w:szCs w:val="24"/>
        </w:rPr>
        <w:t>1</w:t>
      </w:r>
      <w:r>
        <w:rPr>
          <w:rFonts w:ascii="黑体" w:hAnsi="黑体" w:eastAsia="黑体" w:cs="黑体"/>
          <w:spacing w:val="12"/>
          <w:sz w:val="24"/>
          <w:szCs w:val="24"/>
        </w:rPr>
        <w:t xml:space="preserve"> </w:t>
      </w:r>
      <w:r>
        <w:rPr>
          <w:rFonts w:ascii="黑体" w:hAnsi="黑体" w:eastAsia="黑体" w:cs="黑体"/>
          <w:spacing w:val="-7"/>
          <w:sz w:val="24"/>
          <w:szCs w:val="24"/>
        </w:rPr>
        <w:t>抽样方法</w:t>
      </w:r>
    </w:p>
    <w:p w14:paraId="7031855C">
      <w:pPr>
        <w:pStyle w:val="2"/>
        <w:spacing w:before="178" w:line="227" w:lineRule="auto"/>
        <w:ind w:left="888"/>
      </w:pPr>
      <w:r>
        <w:rPr>
          <w:spacing w:val="8"/>
        </w:rPr>
        <w:t>以随机抽样的方式在被抽样生产者、销售者的待销产品中抽取。</w:t>
      </w:r>
    </w:p>
    <w:p w14:paraId="49DBDF25">
      <w:pPr>
        <w:pStyle w:val="2"/>
        <w:spacing w:before="195" w:line="227" w:lineRule="auto"/>
        <w:ind w:left="876"/>
      </w:pPr>
      <w:r>
        <w:rPr>
          <w:spacing w:val="9"/>
        </w:rPr>
        <w:t>随机数一般可使用随机数表、随机数骰子、扑克牌或计算器等方法产生。</w:t>
      </w:r>
    </w:p>
    <w:p w14:paraId="1CA32307">
      <w:pPr>
        <w:pStyle w:val="2"/>
        <w:spacing w:before="193" w:line="407" w:lineRule="auto"/>
        <w:ind w:left="447" w:right="440" w:firstLine="417"/>
      </w:pPr>
      <w:r>
        <w:rPr>
          <w:spacing w:val="7"/>
        </w:rPr>
        <w:t>每批次产品抽取样品</w:t>
      </w:r>
      <w:r>
        <w:rPr>
          <w:spacing w:val="-23"/>
        </w:rPr>
        <w:t xml:space="preserve"> </w:t>
      </w:r>
      <w:r>
        <w:rPr>
          <w:rFonts w:hint="eastAsia"/>
          <w:spacing w:val="7"/>
          <w:lang w:val="en-US" w:eastAsia="zh-CN"/>
        </w:rPr>
        <w:t>6</w:t>
      </w:r>
      <w:r>
        <w:rPr>
          <w:spacing w:val="7"/>
        </w:rPr>
        <w:t>根（或</w:t>
      </w:r>
      <w:r>
        <w:rPr>
          <w:spacing w:val="-19"/>
        </w:rPr>
        <w:t xml:space="preserve"> </w:t>
      </w:r>
      <w:r>
        <w:rPr>
          <w:rFonts w:hint="eastAsia"/>
          <w:spacing w:val="7"/>
          <w:lang w:val="en-US" w:eastAsia="zh-CN"/>
        </w:rPr>
        <w:t>6</w:t>
      </w:r>
      <w:r>
        <w:rPr>
          <w:spacing w:val="7"/>
        </w:rPr>
        <w:t>米</w:t>
      </w:r>
      <w:r>
        <w:rPr>
          <w:spacing w:val="-33"/>
        </w:rPr>
        <w:t>），</w:t>
      </w:r>
      <w:r>
        <w:rPr>
          <w:spacing w:val="7"/>
        </w:rPr>
        <w:t>其中</w:t>
      </w:r>
      <w:r>
        <w:rPr>
          <w:spacing w:val="-33"/>
        </w:rPr>
        <w:t xml:space="preserve"> </w:t>
      </w:r>
      <w:r>
        <w:rPr>
          <w:rFonts w:hint="eastAsia"/>
          <w:spacing w:val="7"/>
          <w:lang w:val="en-US" w:eastAsia="zh-CN"/>
        </w:rPr>
        <w:t>3</w:t>
      </w:r>
      <w:r>
        <w:rPr>
          <w:spacing w:val="-33"/>
        </w:rPr>
        <w:t xml:space="preserve"> </w:t>
      </w:r>
      <w:r>
        <w:rPr>
          <w:spacing w:val="7"/>
        </w:rPr>
        <w:t>根（或</w:t>
      </w:r>
      <w:r>
        <w:rPr>
          <w:spacing w:val="-33"/>
        </w:rPr>
        <w:t xml:space="preserve"> </w:t>
      </w:r>
      <w:r>
        <w:rPr>
          <w:rFonts w:hint="eastAsia"/>
          <w:spacing w:val="7"/>
          <w:lang w:val="en-US" w:eastAsia="zh-CN"/>
        </w:rPr>
        <w:t>3</w:t>
      </w:r>
      <w:r>
        <w:rPr>
          <w:spacing w:val="-35"/>
        </w:rPr>
        <w:t xml:space="preserve"> </w:t>
      </w:r>
      <w:r>
        <w:rPr>
          <w:spacing w:val="7"/>
        </w:rPr>
        <w:t>米）为检验样品，</w:t>
      </w:r>
      <w:r>
        <w:rPr>
          <w:rFonts w:hint="eastAsia"/>
          <w:spacing w:val="7"/>
          <w:lang w:val="en-US" w:eastAsia="zh-CN"/>
        </w:rPr>
        <w:t>3</w:t>
      </w:r>
      <w:r>
        <w:rPr>
          <w:spacing w:val="-36"/>
        </w:rPr>
        <w:t xml:space="preserve"> </w:t>
      </w:r>
      <w:r>
        <w:rPr>
          <w:spacing w:val="7"/>
        </w:rPr>
        <w:t>根（或</w:t>
      </w:r>
      <w:r>
        <w:rPr>
          <w:spacing w:val="-32"/>
        </w:rPr>
        <w:t xml:space="preserve"> </w:t>
      </w:r>
      <w:r>
        <w:rPr>
          <w:rFonts w:hint="eastAsia"/>
          <w:spacing w:val="7"/>
          <w:lang w:val="en-US" w:eastAsia="zh-CN"/>
        </w:rPr>
        <w:t>3</w:t>
      </w:r>
      <w:r>
        <w:t xml:space="preserve"> </w:t>
      </w:r>
      <w:r>
        <w:rPr>
          <w:spacing w:val="7"/>
        </w:rPr>
        <w:t>米）为备用样品。</w:t>
      </w:r>
    </w:p>
    <w:p w14:paraId="6B6C843E">
      <w:pPr>
        <w:spacing w:before="129" w:line="222" w:lineRule="auto"/>
        <w:ind w:left="446"/>
        <w:outlineLvl w:val="1"/>
        <w:rPr>
          <w:rFonts w:ascii="黑体" w:hAnsi="黑体" w:eastAsia="黑体" w:cs="黑体"/>
          <w:sz w:val="24"/>
          <w:szCs w:val="24"/>
        </w:rPr>
      </w:pPr>
      <w:r>
        <w:rPr>
          <w:rFonts w:ascii="黑体" w:hAnsi="黑体" w:eastAsia="黑体" w:cs="黑体"/>
          <w:spacing w:val="-2"/>
          <w:sz w:val="24"/>
          <w:szCs w:val="24"/>
        </w:rPr>
        <w:t>2 检验依据</w:t>
      </w:r>
    </w:p>
    <w:p w14:paraId="7614300D">
      <w:pPr>
        <w:pStyle w:val="2"/>
        <w:spacing w:before="178" w:line="226" w:lineRule="auto"/>
        <w:ind w:left="2419"/>
        <w:outlineLvl w:val="0"/>
      </w:pPr>
      <w:r>
        <w:rPr>
          <w:spacing w:val="5"/>
        </w:rPr>
        <w:t>表</w:t>
      </w:r>
      <w:r>
        <w:rPr>
          <w:spacing w:val="-12"/>
        </w:rPr>
        <w:t xml:space="preserve"> </w:t>
      </w:r>
      <w:r>
        <w:rPr>
          <w:spacing w:val="5"/>
        </w:rPr>
        <w:t>1  执行标准为</w:t>
      </w:r>
      <w:r>
        <w:rPr>
          <w:spacing w:val="-39"/>
        </w:rPr>
        <w:t xml:space="preserve"> </w:t>
      </w:r>
      <w:r>
        <w:t>CJ</w:t>
      </w:r>
      <w:r>
        <w:rPr>
          <w:spacing w:val="5"/>
        </w:rPr>
        <w:t>/T 197-2010</w:t>
      </w:r>
      <w:r>
        <w:rPr>
          <w:spacing w:val="-28"/>
        </w:rPr>
        <w:t xml:space="preserve"> </w:t>
      </w:r>
      <w:r>
        <w:rPr>
          <w:spacing w:val="5"/>
        </w:rPr>
        <w:t>的产品检验项目</w:t>
      </w:r>
    </w:p>
    <w:p w14:paraId="1A91B773">
      <w:pPr>
        <w:spacing w:line="25" w:lineRule="exact"/>
      </w:pPr>
    </w:p>
    <w:tbl>
      <w:tblPr>
        <w:tblStyle w:val="5"/>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3"/>
        <w:gridCol w:w="2691"/>
        <w:gridCol w:w="2833"/>
        <w:gridCol w:w="2830"/>
      </w:tblGrid>
      <w:tr w14:paraId="51396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jc w:val="center"/>
        </w:trPr>
        <w:tc>
          <w:tcPr>
            <w:tcW w:w="823" w:type="dxa"/>
            <w:vAlign w:val="top"/>
          </w:tcPr>
          <w:p w14:paraId="76265EC3">
            <w:pPr>
              <w:pStyle w:val="6"/>
              <w:spacing w:before="173" w:line="229" w:lineRule="auto"/>
              <w:ind w:left="203"/>
            </w:pPr>
            <w:r>
              <w:rPr>
                <w:spacing w:val="5"/>
              </w:rPr>
              <w:t>序号</w:t>
            </w:r>
          </w:p>
        </w:tc>
        <w:tc>
          <w:tcPr>
            <w:tcW w:w="2691" w:type="dxa"/>
            <w:shd w:val="clear" w:color="auto" w:fill="auto"/>
            <w:vAlign w:val="top"/>
          </w:tcPr>
          <w:p w14:paraId="28C96733">
            <w:pPr>
              <w:pStyle w:val="6"/>
              <w:spacing w:before="172" w:line="228" w:lineRule="auto"/>
              <w:ind w:left="927"/>
            </w:pPr>
            <w:r>
              <w:rPr>
                <w:spacing w:val="7"/>
              </w:rPr>
              <w:t>检验项目</w:t>
            </w:r>
          </w:p>
        </w:tc>
        <w:tc>
          <w:tcPr>
            <w:tcW w:w="2833" w:type="dxa"/>
            <w:vAlign w:val="top"/>
          </w:tcPr>
          <w:p w14:paraId="020C39E7">
            <w:pPr>
              <w:pStyle w:val="6"/>
              <w:spacing w:before="172" w:line="227" w:lineRule="auto"/>
              <w:ind w:left="1001"/>
            </w:pPr>
            <w:r>
              <w:rPr>
                <w:spacing w:val="7"/>
              </w:rPr>
              <w:t>检验依据</w:t>
            </w:r>
          </w:p>
        </w:tc>
        <w:tc>
          <w:tcPr>
            <w:tcW w:w="2830" w:type="dxa"/>
            <w:vAlign w:val="top"/>
          </w:tcPr>
          <w:p w14:paraId="76C7824F">
            <w:pPr>
              <w:pStyle w:val="6"/>
              <w:spacing w:before="172" w:line="228" w:lineRule="auto"/>
              <w:ind w:left="1000"/>
            </w:pPr>
            <w:r>
              <w:rPr>
                <w:spacing w:val="7"/>
              </w:rPr>
              <w:t>检验方法</w:t>
            </w:r>
          </w:p>
        </w:tc>
      </w:tr>
      <w:tr w14:paraId="12F9A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jc w:val="center"/>
        </w:trPr>
        <w:tc>
          <w:tcPr>
            <w:tcW w:w="823" w:type="dxa"/>
            <w:vAlign w:val="top"/>
          </w:tcPr>
          <w:p w14:paraId="77F397DF">
            <w:pPr>
              <w:pStyle w:val="6"/>
              <w:numPr>
                <w:ilvl w:val="0"/>
                <w:numId w:val="1"/>
              </w:numPr>
              <w:spacing w:before="171" w:line="270" w:lineRule="exact"/>
              <w:ind w:left="425" w:leftChars="0" w:hanging="425" w:firstLineChars="0"/>
              <w:jc w:val="center"/>
            </w:pPr>
          </w:p>
        </w:tc>
        <w:tc>
          <w:tcPr>
            <w:tcW w:w="2691" w:type="dxa"/>
            <w:shd w:val="clear" w:color="auto" w:fill="auto"/>
            <w:vAlign w:val="top"/>
          </w:tcPr>
          <w:p w14:paraId="46D7A0EA">
            <w:pPr>
              <w:pStyle w:val="6"/>
              <w:spacing w:before="130" w:line="229" w:lineRule="auto"/>
              <w:jc w:val="center"/>
            </w:pPr>
            <w:r>
              <w:rPr>
                <w:rFonts w:hint="eastAsia"/>
                <w:spacing w:val="6"/>
                <w:lang w:val="en-US" w:eastAsia="zh-CN"/>
              </w:rPr>
              <w:t>软管气密性</w:t>
            </w:r>
          </w:p>
        </w:tc>
        <w:tc>
          <w:tcPr>
            <w:tcW w:w="2833" w:type="dxa"/>
            <w:vMerge w:val="restart"/>
            <w:vAlign w:val="top"/>
          </w:tcPr>
          <w:p w14:paraId="16A33F97">
            <w:pPr>
              <w:spacing w:line="255" w:lineRule="auto"/>
              <w:rPr>
                <w:rFonts w:ascii="Arial"/>
                <w:sz w:val="21"/>
              </w:rPr>
            </w:pPr>
          </w:p>
          <w:p w14:paraId="1B82E8C8">
            <w:pPr>
              <w:spacing w:line="255" w:lineRule="auto"/>
              <w:rPr>
                <w:rFonts w:ascii="Arial"/>
                <w:sz w:val="21"/>
              </w:rPr>
            </w:pPr>
          </w:p>
          <w:p w14:paraId="5C1A7B39">
            <w:pPr>
              <w:spacing w:line="255" w:lineRule="auto"/>
              <w:rPr>
                <w:rFonts w:ascii="Arial"/>
                <w:sz w:val="21"/>
              </w:rPr>
            </w:pPr>
          </w:p>
          <w:p w14:paraId="53A0CD3C">
            <w:pPr>
              <w:spacing w:line="255" w:lineRule="auto"/>
              <w:rPr>
                <w:rFonts w:ascii="Arial"/>
                <w:sz w:val="21"/>
              </w:rPr>
            </w:pPr>
          </w:p>
          <w:p w14:paraId="3B2E3A92">
            <w:pPr>
              <w:spacing w:line="256" w:lineRule="auto"/>
              <w:rPr>
                <w:rFonts w:ascii="Arial"/>
                <w:sz w:val="21"/>
              </w:rPr>
            </w:pPr>
            <w:bookmarkStart w:id="0" w:name="_GoBack"/>
            <w:bookmarkEnd w:id="0"/>
          </w:p>
          <w:p w14:paraId="4A1C9C99">
            <w:pPr>
              <w:spacing w:line="256" w:lineRule="auto"/>
              <w:rPr>
                <w:rFonts w:ascii="Arial"/>
                <w:sz w:val="21"/>
              </w:rPr>
            </w:pPr>
          </w:p>
          <w:p w14:paraId="3CF90EA3">
            <w:pPr>
              <w:pStyle w:val="6"/>
              <w:spacing w:before="65" w:line="226" w:lineRule="auto"/>
              <w:ind w:left="735"/>
            </w:pPr>
            <w:r>
              <w:t>CJ</w:t>
            </w:r>
            <w:r>
              <w:rPr>
                <w:spacing w:val="3"/>
              </w:rPr>
              <w:t>/T</w:t>
            </w:r>
            <w:r>
              <w:rPr>
                <w:spacing w:val="31"/>
              </w:rPr>
              <w:t xml:space="preserve"> </w:t>
            </w:r>
            <w:r>
              <w:rPr>
                <w:spacing w:val="3"/>
              </w:rPr>
              <w:t>197-2010</w:t>
            </w:r>
          </w:p>
        </w:tc>
        <w:tc>
          <w:tcPr>
            <w:tcW w:w="2830" w:type="dxa"/>
            <w:vAlign w:val="top"/>
          </w:tcPr>
          <w:p w14:paraId="37B395CE">
            <w:pPr>
              <w:pStyle w:val="6"/>
              <w:spacing w:before="128" w:line="226" w:lineRule="auto"/>
              <w:ind w:left="734"/>
            </w:pPr>
            <w:r>
              <w:t>CJ</w:t>
            </w:r>
            <w:r>
              <w:rPr>
                <w:spacing w:val="3"/>
              </w:rPr>
              <w:t>/T</w:t>
            </w:r>
            <w:r>
              <w:rPr>
                <w:spacing w:val="31"/>
              </w:rPr>
              <w:t xml:space="preserve"> </w:t>
            </w:r>
            <w:r>
              <w:rPr>
                <w:spacing w:val="3"/>
              </w:rPr>
              <w:t>197-2010</w:t>
            </w:r>
          </w:p>
        </w:tc>
      </w:tr>
      <w:tr w14:paraId="2291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jc w:val="center"/>
        </w:trPr>
        <w:tc>
          <w:tcPr>
            <w:tcW w:w="823" w:type="dxa"/>
            <w:vAlign w:val="top"/>
          </w:tcPr>
          <w:p w14:paraId="6F7C24B9">
            <w:pPr>
              <w:pStyle w:val="6"/>
              <w:numPr>
                <w:ilvl w:val="0"/>
                <w:numId w:val="1"/>
              </w:numPr>
              <w:spacing w:before="171" w:line="270" w:lineRule="exact"/>
              <w:ind w:left="425" w:leftChars="0" w:hanging="425" w:firstLineChars="0"/>
              <w:jc w:val="center"/>
              <w:rPr>
                <w:position w:val="1"/>
              </w:rPr>
            </w:pPr>
          </w:p>
        </w:tc>
        <w:tc>
          <w:tcPr>
            <w:tcW w:w="2691" w:type="dxa"/>
            <w:shd w:val="clear" w:color="auto" w:fill="auto"/>
            <w:vAlign w:val="top"/>
          </w:tcPr>
          <w:p w14:paraId="5AB3054E">
            <w:pPr>
              <w:pStyle w:val="6"/>
              <w:spacing w:before="130" w:line="229" w:lineRule="auto"/>
              <w:jc w:val="center"/>
              <w:rPr>
                <w:rFonts w:hint="eastAsia" w:eastAsia="宋体"/>
                <w:spacing w:val="6"/>
                <w:lang w:val="en-US" w:eastAsia="zh-CN"/>
              </w:rPr>
            </w:pPr>
            <w:r>
              <w:rPr>
                <w:rFonts w:hint="eastAsia"/>
                <w:spacing w:val="6"/>
                <w:lang w:val="en-US" w:eastAsia="zh-CN"/>
              </w:rPr>
              <w:t>外观</w:t>
            </w:r>
          </w:p>
        </w:tc>
        <w:tc>
          <w:tcPr>
            <w:tcW w:w="2833" w:type="dxa"/>
            <w:vMerge w:val="continue"/>
            <w:vAlign w:val="top"/>
          </w:tcPr>
          <w:p w14:paraId="6BA57391">
            <w:pPr>
              <w:pStyle w:val="6"/>
              <w:spacing w:before="65" w:line="226" w:lineRule="auto"/>
              <w:ind w:left="735"/>
            </w:pPr>
          </w:p>
        </w:tc>
        <w:tc>
          <w:tcPr>
            <w:tcW w:w="2830" w:type="dxa"/>
            <w:vAlign w:val="top"/>
          </w:tcPr>
          <w:p w14:paraId="58C4B280">
            <w:pPr>
              <w:spacing w:before="128" w:line="226" w:lineRule="auto"/>
              <w:ind w:left="734"/>
            </w:pPr>
            <w:r>
              <w:t>CJ</w:t>
            </w:r>
            <w:r>
              <w:rPr>
                <w:spacing w:val="3"/>
              </w:rPr>
              <w:t>/T</w:t>
            </w:r>
            <w:r>
              <w:rPr>
                <w:spacing w:val="31"/>
              </w:rPr>
              <w:t xml:space="preserve"> </w:t>
            </w:r>
            <w:r>
              <w:rPr>
                <w:spacing w:val="3"/>
              </w:rPr>
              <w:t>197-2010</w:t>
            </w:r>
          </w:p>
        </w:tc>
      </w:tr>
      <w:tr w14:paraId="3CECD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jc w:val="center"/>
        </w:trPr>
        <w:tc>
          <w:tcPr>
            <w:tcW w:w="823" w:type="dxa"/>
            <w:vAlign w:val="top"/>
          </w:tcPr>
          <w:p w14:paraId="5815B514">
            <w:pPr>
              <w:pStyle w:val="6"/>
              <w:numPr>
                <w:ilvl w:val="0"/>
                <w:numId w:val="1"/>
              </w:numPr>
              <w:spacing w:before="171" w:line="270" w:lineRule="exact"/>
              <w:ind w:left="425" w:leftChars="0" w:hanging="425" w:firstLineChars="0"/>
              <w:jc w:val="center"/>
              <w:rPr>
                <w:position w:val="1"/>
              </w:rPr>
            </w:pPr>
          </w:p>
        </w:tc>
        <w:tc>
          <w:tcPr>
            <w:tcW w:w="2691" w:type="dxa"/>
            <w:shd w:val="clear" w:color="auto" w:fill="auto"/>
            <w:vAlign w:val="top"/>
          </w:tcPr>
          <w:p w14:paraId="62B8B4C8">
            <w:pPr>
              <w:pStyle w:val="6"/>
              <w:spacing w:before="130" w:line="229" w:lineRule="auto"/>
              <w:jc w:val="center"/>
              <w:rPr>
                <w:rFonts w:hint="eastAsia"/>
                <w:spacing w:val="6"/>
                <w:lang w:val="en-US" w:eastAsia="zh-CN"/>
              </w:rPr>
            </w:pPr>
            <w:r>
              <w:rPr>
                <w:rFonts w:hint="eastAsia"/>
                <w:spacing w:val="6"/>
                <w:lang w:val="en-US" w:eastAsia="zh-CN"/>
              </w:rPr>
              <w:t>软管耐压性</w:t>
            </w:r>
          </w:p>
        </w:tc>
        <w:tc>
          <w:tcPr>
            <w:tcW w:w="2833" w:type="dxa"/>
            <w:vMerge w:val="continue"/>
            <w:vAlign w:val="top"/>
          </w:tcPr>
          <w:p w14:paraId="67CEE5D2">
            <w:pPr>
              <w:pStyle w:val="6"/>
              <w:spacing w:before="65" w:line="226" w:lineRule="auto"/>
              <w:ind w:left="735"/>
            </w:pPr>
          </w:p>
        </w:tc>
        <w:tc>
          <w:tcPr>
            <w:tcW w:w="2830" w:type="dxa"/>
            <w:vAlign w:val="top"/>
          </w:tcPr>
          <w:p w14:paraId="4F87CFFB">
            <w:pPr>
              <w:spacing w:before="128" w:line="226" w:lineRule="auto"/>
              <w:ind w:left="734"/>
            </w:pPr>
            <w:r>
              <w:t>CJ</w:t>
            </w:r>
            <w:r>
              <w:rPr>
                <w:spacing w:val="3"/>
              </w:rPr>
              <w:t>/T</w:t>
            </w:r>
            <w:r>
              <w:rPr>
                <w:spacing w:val="31"/>
              </w:rPr>
              <w:t xml:space="preserve"> </w:t>
            </w:r>
            <w:r>
              <w:rPr>
                <w:spacing w:val="3"/>
              </w:rPr>
              <w:t>197-2010</w:t>
            </w:r>
          </w:p>
        </w:tc>
      </w:tr>
      <w:tr w14:paraId="68A91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jc w:val="center"/>
        </w:trPr>
        <w:tc>
          <w:tcPr>
            <w:tcW w:w="823" w:type="dxa"/>
            <w:vAlign w:val="top"/>
          </w:tcPr>
          <w:p w14:paraId="375D8A6E">
            <w:pPr>
              <w:pStyle w:val="6"/>
              <w:numPr>
                <w:ilvl w:val="0"/>
                <w:numId w:val="1"/>
              </w:numPr>
              <w:spacing w:before="171" w:line="270" w:lineRule="exact"/>
              <w:ind w:left="425" w:leftChars="0" w:hanging="425" w:firstLineChars="0"/>
              <w:jc w:val="center"/>
              <w:rPr>
                <w:position w:val="1"/>
              </w:rPr>
            </w:pPr>
          </w:p>
        </w:tc>
        <w:tc>
          <w:tcPr>
            <w:tcW w:w="2691" w:type="dxa"/>
            <w:shd w:val="clear" w:color="auto" w:fill="auto"/>
            <w:vAlign w:val="top"/>
          </w:tcPr>
          <w:p w14:paraId="3070CD18">
            <w:pPr>
              <w:pStyle w:val="6"/>
              <w:spacing w:before="130" w:line="229" w:lineRule="auto"/>
              <w:jc w:val="center"/>
              <w:rPr>
                <w:rFonts w:hint="eastAsia"/>
                <w:spacing w:val="6"/>
                <w:lang w:val="en-US" w:eastAsia="zh-CN"/>
              </w:rPr>
            </w:pPr>
            <w:r>
              <w:rPr>
                <w:rFonts w:hint="eastAsia"/>
                <w:spacing w:val="6"/>
                <w:lang w:val="en-US" w:eastAsia="zh-CN"/>
              </w:rPr>
              <w:t>软管耐热性</w:t>
            </w:r>
          </w:p>
        </w:tc>
        <w:tc>
          <w:tcPr>
            <w:tcW w:w="2833" w:type="dxa"/>
            <w:vMerge w:val="continue"/>
            <w:vAlign w:val="top"/>
          </w:tcPr>
          <w:p w14:paraId="61273D9B">
            <w:pPr>
              <w:pStyle w:val="6"/>
              <w:spacing w:before="65" w:line="226" w:lineRule="auto"/>
              <w:ind w:left="735"/>
            </w:pPr>
          </w:p>
        </w:tc>
        <w:tc>
          <w:tcPr>
            <w:tcW w:w="2830" w:type="dxa"/>
            <w:vAlign w:val="top"/>
          </w:tcPr>
          <w:p w14:paraId="7BEDD552">
            <w:pPr>
              <w:spacing w:before="128" w:line="226" w:lineRule="auto"/>
              <w:ind w:left="734"/>
            </w:pPr>
            <w:r>
              <w:t>CJ</w:t>
            </w:r>
            <w:r>
              <w:rPr>
                <w:spacing w:val="3"/>
              </w:rPr>
              <w:t>/T</w:t>
            </w:r>
            <w:r>
              <w:rPr>
                <w:spacing w:val="31"/>
              </w:rPr>
              <w:t xml:space="preserve"> </w:t>
            </w:r>
            <w:r>
              <w:rPr>
                <w:spacing w:val="3"/>
              </w:rPr>
              <w:t>197-2010</w:t>
            </w:r>
          </w:p>
        </w:tc>
      </w:tr>
      <w:tr w14:paraId="5051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jc w:val="center"/>
        </w:trPr>
        <w:tc>
          <w:tcPr>
            <w:tcW w:w="823" w:type="dxa"/>
            <w:vAlign w:val="top"/>
          </w:tcPr>
          <w:p w14:paraId="3BB8372A">
            <w:pPr>
              <w:pStyle w:val="6"/>
              <w:numPr>
                <w:ilvl w:val="0"/>
                <w:numId w:val="1"/>
              </w:numPr>
              <w:spacing w:before="171" w:line="270" w:lineRule="exact"/>
              <w:ind w:left="425" w:leftChars="0" w:hanging="425" w:firstLineChars="0"/>
              <w:jc w:val="center"/>
              <w:rPr>
                <w:position w:val="1"/>
              </w:rPr>
            </w:pPr>
          </w:p>
        </w:tc>
        <w:tc>
          <w:tcPr>
            <w:tcW w:w="2691" w:type="dxa"/>
            <w:shd w:val="clear" w:color="auto" w:fill="auto"/>
            <w:vAlign w:val="top"/>
          </w:tcPr>
          <w:p w14:paraId="64A59FC4">
            <w:pPr>
              <w:pStyle w:val="6"/>
              <w:spacing w:before="130" w:line="229" w:lineRule="auto"/>
              <w:jc w:val="center"/>
              <w:rPr>
                <w:rFonts w:hint="eastAsia"/>
                <w:spacing w:val="6"/>
                <w:lang w:val="en-US" w:eastAsia="zh-CN"/>
              </w:rPr>
            </w:pPr>
            <w:r>
              <w:rPr>
                <w:rFonts w:hint="eastAsia"/>
                <w:spacing w:val="6"/>
                <w:lang w:val="en-US" w:eastAsia="zh-CN"/>
              </w:rPr>
              <w:t>软管柔软性</w:t>
            </w:r>
          </w:p>
        </w:tc>
        <w:tc>
          <w:tcPr>
            <w:tcW w:w="2833" w:type="dxa"/>
            <w:vMerge w:val="continue"/>
            <w:vAlign w:val="top"/>
          </w:tcPr>
          <w:p w14:paraId="3B78783D">
            <w:pPr>
              <w:pStyle w:val="6"/>
              <w:spacing w:before="65" w:line="226" w:lineRule="auto"/>
              <w:ind w:left="735"/>
            </w:pPr>
          </w:p>
        </w:tc>
        <w:tc>
          <w:tcPr>
            <w:tcW w:w="2830" w:type="dxa"/>
            <w:vAlign w:val="top"/>
          </w:tcPr>
          <w:p w14:paraId="4C9889F4">
            <w:pPr>
              <w:spacing w:before="128" w:line="226" w:lineRule="auto"/>
              <w:ind w:left="734"/>
            </w:pPr>
            <w:r>
              <w:t>CJ</w:t>
            </w:r>
            <w:r>
              <w:rPr>
                <w:spacing w:val="3"/>
              </w:rPr>
              <w:t>/T</w:t>
            </w:r>
            <w:r>
              <w:rPr>
                <w:spacing w:val="31"/>
              </w:rPr>
              <w:t xml:space="preserve"> </w:t>
            </w:r>
            <w:r>
              <w:rPr>
                <w:spacing w:val="3"/>
              </w:rPr>
              <w:t>197-2010</w:t>
            </w:r>
          </w:p>
        </w:tc>
      </w:tr>
      <w:tr w14:paraId="563CB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jc w:val="center"/>
        </w:trPr>
        <w:tc>
          <w:tcPr>
            <w:tcW w:w="823" w:type="dxa"/>
            <w:vAlign w:val="top"/>
          </w:tcPr>
          <w:p w14:paraId="6DF2006E">
            <w:pPr>
              <w:pStyle w:val="6"/>
              <w:numPr>
                <w:ilvl w:val="0"/>
                <w:numId w:val="1"/>
              </w:numPr>
              <w:spacing w:before="171" w:line="270" w:lineRule="exact"/>
              <w:ind w:left="425" w:leftChars="0" w:hanging="425" w:firstLineChars="0"/>
              <w:jc w:val="center"/>
              <w:rPr>
                <w:position w:val="1"/>
              </w:rPr>
            </w:pPr>
          </w:p>
        </w:tc>
        <w:tc>
          <w:tcPr>
            <w:tcW w:w="2691" w:type="dxa"/>
            <w:shd w:val="clear" w:color="auto" w:fill="auto"/>
            <w:vAlign w:val="top"/>
          </w:tcPr>
          <w:p w14:paraId="1E361756">
            <w:pPr>
              <w:pStyle w:val="6"/>
              <w:spacing w:before="130" w:line="229" w:lineRule="auto"/>
              <w:jc w:val="center"/>
              <w:rPr>
                <w:rFonts w:hint="eastAsia"/>
                <w:spacing w:val="6"/>
                <w:lang w:val="en-US" w:eastAsia="zh-CN"/>
              </w:rPr>
            </w:pPr>
            <w:r>
              <w:rPr>
                <w:rFonts w:hint="eastAsia"/>
                <w:spacing w:val="6"/>
                <w:lang w:val="en-US" w:eastAsia="zh-CN"/>
              </w:rPr>
              <w:t>软管耐冲击性</w:t>
            </w:r>
          </w:p>
        </w:tc>
        <w:tc>
          <w:tcPr>
            <w:tcW w:w="2833" w:type="dxa"/>
            <w:vMerge w:val="continue"/>
            <w:vAlign w:val="top"/>
          </w:tcPr>
          <w:p w14:paraId="062C79FF">
            <w:pPr>
              <w:pStyle w:val="6"/>
              <w:spacing w:before="65" w:line="226" w:lineRule="auto"/>
              <w:ind w:left="735"/>
            </w:pPr>
          </w:p>
        </w:tc>
        <w:tc>
          <w:tcPr>
            <w:tcW w:w="2830" w:type="dxa"/>
            <w:vAlign w:val="top"/>
          </w:tcPr>
          <w:p w14:paraId="6F7B6888">
            <w:pPr>
              <w:spacing w:before="128" w:line="226" w:lineRule="auto"/>
              <w:ind w:left="734"/>
            </w:pPr>
            <w:r>
              <w:t>CJ</w:t>
            </w:r>
            <w:r>
              <w:rPr>
                <w:spacing w:val="3"/>
              </w:rPr>
              <w:t>/T</w:t>
            </w:r>
            <w:r>
              <w:rPr>
                <w:spacing w:val="31"/>
              </w:rPr>
              <w:t xml:space="preserve"> </w:t>
            </w:r>
            <w:r>
              <w:rPr>
                <w:spacing w:val="3"/>
              </w:rPr>
              <w:t>197-2010</w:t>
            </w:r>
          </w:p>
        </w:tc>
      </w:tr>
      <w:tr w14:paraId="5516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823" w:type="dxa"/>
            <w:vAlign w:val="top"/>
          </w:tcPr>
          <w:p w14:paraId="0B12CD2D">
            <w:pPr>
              <w:pStyle w:val="6"/>
              <w:numPr>
                <w:ilvl w:val="0"/>
                <w:numId w:val="1"/>
              </w:numPr>
              <w:spacing w:before="171" w:line="241" w:lineRule="auto"/>
              <w:ind w:left="425" w:leftChars="0" w:hanging="425" w:firstLineChars="0"/>
              <w:jc w:val="center"/>
            </w:pPr>
          </w:p>
        </w:tc>
        <w:tc>
          <w:tcPr>
            <w:tcW w:w="2691" w:type="dxa"/>
            <w:shd w:val="clear" w:color="auto" w:fill="auto"/>
            <w:vAlign w:val="top"/>
          </w:tcPr>
          <w:p w14:paraId="2E046FCB">
            <w:pPr>
              <w:pStyle w:val="6"/>
              <w:spacing w:before="114" w:line="228" w:lineRule="auto"/>
              <w:jc w:val="center"/>
            </w:pPr>
            <w:r>
              <w:rPr>
                <w:rFonts w:hint="eastAsia"/>
                <w:spacing w:val="6"/>
                <w:lang w:val="en-US" w:eastAsia="zh-CN"/>
              </w:rPr>
              <w:t>接头耐安装性</w:t>
            </w:r>
          </w:p>
        </w:tc>
        <w:tc>
          <w:tcPr>
            <w:tcW w:w="2833" w:type="dxa"/>
            <w:vMerge w:val="continue"/>
            <w:vAlign w:val="top"/>
          </w:tcPr>
          <w:p w14:paraId="09A1FFF6">
            <w:pPr>
              <w:rPr>
                <w:rFonts w:ascii="Arial"/>
                <w:sz w:val="21"/>
              </w:rPr>
            </w:pPr>
          </w:p>
        </w:tc>
        <w:tc>
          <w:tcPr>
            <w:tcW w:w="2830" w:type="dxa"/>
            <w:vAlign w:val="top"/>
          </w:tcPr>
          <w:p w14:paraId="4CC22943">
            <w:pPr>
              <w:pStyle w:val="6"/>
              <w:spacing w:before="114" w:line="226" w:lineRule="auto"/>
              <w:ind w:left="734"/>
            </w:pPr>
            <w:r>
              <w:t>CJ</w:t>
            </w:r>
            <w:r>
              <w:rPr>
                <w:spacing w:val="3"/>
              </w:rPr>
              <w:t>/T</w:t>
            </w:r>
            <w:r>
              <w:rPr>
                <w:spacing w:val="31"/>
              </w:rPr>
              <w:t xml:space="preserve"> </w:t>
            </w:r>
            <w:r>
              <w:rPr>
                <w:spacing w:val="3"/>
              </w:rPr>
              <w:t>197-2010</w:t>
            </w:r>
          </w:p>
        </w:tc>
      </w:tr>
      <w:tr w14:paraId="5E7AE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823" w:type="dxa"/>
            <w:vAlign w:val="top"/>
          </w:tcPr>
          <w:p w14:paraId="18D2B7B3">
            <w:pPr>
              <w:pStyle w:val="6"/>
              <w:numPr>
                <w:ilvl w:val="0"/>
                <w:numId w:val="1"/>
              </w:numPr>
              <w:spacing w:before="172" w:line="263" w:lineRule="exact"/>
              <w:ind w:left="425" w:leftChars="0" w:hanging="425" w:firstLineChars="0"/>
              <w:jc w:val="center"/>
            </w:pPr>
          </w:p>
        </w:tc>
        <w:tc>
          <w:tcPr>
            <w:tcW w:w="2691" w:type="dxa"/>
            <w:shd w:val="clear" w:color="auto" w:fill="auto"/>
            <w:vAlign w:val="top"/>
          </w:tcPr>
          <w:p w14:paraId="5B9FF9F5">
            <w:pPr>
              <w:pStyle w:val="6"/>
              <w:spacing w:before="116" w:line="228" w:lineRule="auto"/>
              <w:jc w:val="center"/>
            </w:pPr>
            <w:r>
              <w:rPr>
                <w:rFonts w:hint="eastAsia"/>
                <w:spacing w:val="6"/>
                <w:lang w:val="en-US" w:eastAsia="zh-CN"/>
              </w:rPr>
              <w:t>被覆层阻燃性</w:t>
            </w:r>
          </w:p>
        </w:tc>
        <w:tc>
          <w:tcPr>
            <w:tcW w:w="2833" w:type="dxa"/>
            <w:vMerge w:val="continue"/>
            <w:vAlign w:val="top"/>
          </w:tcPr>
          <w:p w14:paraId="16A55A8B">
            <w:pPr>
              <w:rPr>
                <w:rFonts w:ascii="Arial"/>
                <w:sz w:val="21"/>
              </w:rPr>
            </w:pPr>
          </w:p>
        </w:tc>
        <w:tc>
          <w:tcPr>
            <w:tcW w:w="2830" w:type="dxa"/>
            <w:vAlign w:val="top"/>
          </w:tcPr>
          <w:p w14:paraId="2BF42D45">
            <w:pPr>
              <w:pStyle w:val="6"/>
              <w:spacing w:before="115" w:line="226" w:lineRule="auto"/>
              <w:ind w:left="734"/>
            </w:pPr>
            <w:r>
              <w:t>CJ</w:t>
            </w:r>
            <w:r>
              <w:rPr>
                <w:spacing w:val="3"/>
              </w:rPr>
              <w:t>/T</w:t>
            </w:r>
            <w:r>
              <w:rPr>
                <w:spacing w:val="31"/>
              </w:rPr>
              <w:t xml:space="preserve"> </w:t>
            </w:r>
            <w:r>
              <w:rPr>
                <w:spacing w:val="3"/>
              </w:rPr>
              <w:t>197-2010</w:t>
            </w:r>
          </w:p>
        </w:tc>
      </w:tr>
    </w:tbl>
    <w:p w14:paraId="7F886A76">
      <w:pPr>
        <w:spacing w:line="270" w:lineRule="auto"/>
        <w:rPr>
          <w:rFonts w:ascii="Arial"/>
          <w:sz w:val="21"/>
        </w:rPr>
      </w:pPr>
    </w:p>
    <w:p w14:paraId="5268F47E">
      <w:pPr>
        <w:spacing w:line="271" w:lineRule="auto"/>
        <w:rPr>
          <w:rFonts w:ascii="Arial"/>
          <w:sz w:val="21"/>
        </w:rPr>
      </w:pPr>
    </w:p>
    <w:p w14:paraId="18FC300B">
      <w:pPr>
        <w:pStyle w:val="2"/>
        <w:spacing w:before="66" w:line="228" w:lineRule="auto"/>
        <w:ind w:left="2210"/>
        <w:outlineLvl w:val="0"/>
      </w:pPr>
      <w:r>
        <w:rPr>
          <w:spacing w:val="6"/>
        </w:rPr>
        <w:t>表</w:t>
      </w:r>
      <w:r>
        <w:rPr>
          <w:spacing w:val="-37"/>
        </w:rPr>
        <w:t xml:space="preserve"> </w:t>
      </w:r>
      <w:r>
        <w:rPr>
          <w:spacing w:val="6"/>
        </w:rPr>
        <w:t>2  执行标准为</w:t>
      </w:r>
      <w:r>
        <w:rPr>
          <w:spacing w:val="-39"/>
        </w:rPr>
        <w:t xml:space="preserve"> </w:t>
      </w:r>
      <w:r>
        <w:t>GB</w:t>
      </w:r>
      <w:r>
        <w:rPr>
          <w:spacing w:val="6"/>
        </w:rPr>
        <w:t>/T 26002-2010</w:t>
      </w:r>
      <w:r>
        <w:rPr>
          <w:spacing w:val="-26"/>
        </w:rPr>
        <w:t xml:space="preserve"> </w:t>
      </w:r>
      <w:r>
        <w:rPr>
          <w:spacing w:val="5"/>
        </w:rPr>
        <w:t>的产品检验项目</w:t>
      </w:r>
    </w:p>
    <w:p w14:paraId="0703C055">
      <w:pPr>
        <w:spacing w:line="24" w:lineRule="exact"/>
      </w:pPr>
    </w:p>
    <w:tbl>
      <w:tblPr>
        <w:tblStyle w:val="5"/>
        <w:tblW w:w="91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3"/>
        <w:gridCol w:w="2691"/>
        <w:gridCol w:w="2833"/>
        <w:gridCol w:w="2830"/>
      </w:tblGrid>
      <w:tr w14:paraId="0F013E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23" w:type="dxa"/>
            <w:vAlign w:val="top"/>
          </w:tcPr>
          <w:p w14:paraId="6AC7A43F">
            <w:pPr>
              <w:pStyle w:val="6"/>
              <w:spacing w:before="175" w:line="229" w:lineRule="auto"/>
              <w:ind w:left="203"/>
            </w:pPr>
            <w:r>
              <w:rPr>
                <w:spacing w:val="5"/>
              </w:rPr>
              <w:t>序号</w:t>
            </w:r>
          </w:p>
        </w:tc>
        <w:tc>
          <w:tcPr>
            <w:tcW w:w="2691" w:type="dxa"/>
            <w:vAlign w:val="top"/>
          </w:tcPr>
          <w:p w14:paraId="07B90248">
            <w:pPr>
              <w:pStyle w:val="6"/>
              <w:spacing w:before="175" w:line="228" w:lineRule="auto"/>
              <w:ind w:left="927"/>
            </w:pPr>
            <w:r>
              <w:rPr>
                <w:spacing w:val="7"/>
              </w:rPr>
              <w:t>检验项目</w:t>
            </w:r>
          </w:p>
        </w:tc>
        <w:tc>
          <w:tcPr>
            <w:tcW w:w="2833" w:type="dxa"/>
            <w:vAlign w:val="top"/>
          </w:tcPr>
          <w:p w14:paraId="675E3869">
            <w:pPr>
              <w:pStyle w:val="6"/>
              <w:spacing w:before="175" w:line="227" w:lineRule="auto"/>
              <w:ind w:left="1001"/>
            </w:pPr>
            <w:r>
              <w:rPr>
                <w:spacing w:val="7"/>
              </w:rPr>
              <w:t>检验依据</w:t>
            </w:r>
          </w:p>
        </w:tc>
        <w:tc>
          <w:tcPr>
            <w:tcW w:w="2830" w:type="dxa"/>
            <w:vAlign w:val="top"/>
          </w:tcPr>
          <w:p w14:paraId="312843DD">
            <w:pPr>
              <w:pStyle w:val="6"/>
              <w:spacing w:before="175" w:line="228" w:lineRule="auto"/>
              <w:ind w:left="1000"/>
            </w:pPr>
            <w:r>
              <w:rPr>
                <w:spacing w:val="7"/>
              </w:rPr>
              <w:t>检验方法</w:t>
            </w:r>
          </w:p>
        </w:tc>
      </w:tr>
      <w:tr w14:paraId="073EA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23" w:type="dxa"/>
            <w:vAlign w:val="top"/>
          </w:tcPr>
          <w:p w14:paraId="719A42C1">
            <w:pPr>
              <w:pStyle w:val="6"/>
              <w:spacing w:before="171" w:line="270" w:lineRule="exact"/>
              <w:ind w:left="378"/>
            </w:pPr>
            <w:r>
              <w:rPr>
                <w:position w:val="1"/>
              </w:rPr>
              <w:t>1</w:t>
            </w:r>
          </w:p>
        </w:tc>
        <w:tc>
          <w:tcPr>
            <w:tcW w:w="2691" w:type="dxa"/>
            <w:vAlign w:val="top"/>
          </w:tcPr>
          <w:p w14:paraId="2359EADB">
            <w:pPr>
              <w:pStyle w:val="6"/>
              <w:spacing w:before="130" w:line="229" w:lineRule="auto"/>
              <w:ind w:left="1033"/>
            </w:pPr>
            <w:r>
              <w:rPr>
                <w:spacing w:val="6"/>
              </w:rPr>
              <w:t>气密性</w:t>
            </w:r>
          </w:p>
        </w:tc>
        <w:tc>
          <w:tcPr>
            <w:tcW w:w="2833" w:type="dxa"/>
            <w:vMerge w:val="restart"/>
            <w:tcBorders>
              <w:bottom w:val="nil"/>
            </w:tcBorders>
            <w:vAlign w:val="top"/>
          </w:tcPr>
          <w:p w14:paraId="42ACE78E">
            <w:pPr>
              <w:spacing w:line="319" w:lineRule="auto"/>
              <w:rPr>
                <w:rFonts w:ascii="Arial"/>
                <w:sz w:val="21"/>
              </w:rPr>
            </w:pPr>
          </w:p>
          <w:p w14:paraId="701F2580">
            <w:pPr>
              <w:spacing w:line="320" w:lineRule="auto"/>
              <w:rPr>
                <w:rFonts w:ascii="Arial"/>
                <w:sz w:val="21"/>
              </w:rPr>
            </w:pPr>
          </w:p>
          <w:p w14:paraId="73BAB0D9">
            <w:pPr>
              <w:spacing w:line="320" w:lineRule="auto"/>
              <w:rPr>
                <w:rFonts w:ascii="Arial"/>
                <w:sz w:val="21"/>
              </w:rPr>
            </w:pPr>
          </w:p>
          <w:p w14:paraId="3FD8C76F">
            <w:pPr>
              <w:pStyle w:val="6"/>
              <w:spacing w:before="65" w:line="233" w:lineRule="auto"/>
              <w:ind w:left="631"/>
            </w:pPr>
            <w:r>
              <w:t>GB</w:t>
            </w:r>
            <w:r>
              <w:rPr>
                <w:spacing w:val="5"/>
              </w:rPr>
              <w:t>/T 26002-2010</w:t>
            </w:r>
          </w:p>
        </w:tc>
        <w:tc>
          <w:tcPr>
            <w:tcW w:w="2830" w:type="dxa"/>
            <w:vAlign w:val="top"/>
          </w:tcPr>
          <w:p w14:paraId="7E339E6D">
            <w:pPr>
              <w:pStyle w:val="6"/>
              <w:spacing w:before="130" w:line="233" w:lineRule="auto"/>
              <w:ind w:left="628"/>
            </w:pPr>
            <w:r>
              <w:t>GB</w:t>
            </w:r>
            <w:r>
              <w:rPr>
                <w:spacing w:val="5"/>
              </w:rPr>
              <w:t>/T 26002-2010</w:t>
            </w:r>
          </w:p>
        </w:tc>
      </w:tr>
      <w:tr w14:paraId="155E87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3" w:type="dxa"/>
            <w:vAlign w:val="top"/>
          </w:tcPr>
          <w:p w14:paraId="2470064C">
            <w:pPr>
              <w:pStyle w:val="6"/>
              <w:spacing w:before="171" w:line="263" w:lineRule="exact"/>
              <w:ind w:left="365"/>
            </w:pPr>
            <w:r>
              <w:rPr>
                <w:position w:val="1"/>
              </w:rPr>
              <w:t>2</w:t>
            </w:r>
          </w:p>
        </w:tc>
        <w:tc>
          <w:tcPr>
            <w:tcW w:w="2691" w:type="dxa"/>
            <w:vAlign w:val="top"/>
          </w:tcPr>
          <w:p w14:paraId="4C8DC66E">
            <w:pPr>
              <w:pStyle w:val="6"/>
              <w:spacing w:before="114" w:line="228" w:lineRule="auto"/>
              <w:ind w:left="1138"/>
              <w:rPr>
                <w:rFonts w:hint="eastAsia" w:eastAsia="宋体"/>
                <w:lang w:eastAsia="zh-CN"/>
              </w:rPr>
            </w:pPr>
            <w:r>
              <w:rPr>
                <w:rFonts w:hint="eastAsia"/>
                <w:spacing w:val="3"/>
                <w:lang w:val="en-US" w:eastAsia="zh-CN"/>
              </w:rPr>
              <w:t>外观</w:t>
            </w:r>
          </w:p>
        </w:tc>
        <w:tc>
          <w:tcPr>
            <w:tcW w:w="2833" w:type="dxa"/>
            <w:vMerge w:val="continue"/>
            <w:tcBorders>
              <w:top w:val="nil"/>
              <w:bottom w:val="nil"/>
            </w:tcBorders>
            <w:vAlign w:val="top"/>
          </w:tcPr>
          <w:p w14:paraId="15DE3844">
            <w:pPr>
              <w:rPr>
                <w:rFonts w:ascii="Arial"/>
                <w:sz w:val="21"/>
              </w:rPr>
            </w:pPr>
          </w:p>
        </w:tc>
        <w:tc>
          <w:tcPr>
            <w:tcW w:w="2830" w:type="dxa"/>
            <w:vAlign w:val="top"/>
          </w:tcPr>
          <w:p w14:paraId="2F736180">
            <w:pPr>
              <w:pStyle w:val="6"/>
              <w:spacing w:before="113" w:line="233" w:lineRule="auto"/>
              <w:ind w:left="628"/>
            </w:pPr>
            <w:r>
              <w:t>GB</w:t>
            </w:r>
            <w:r>
              <w:rPr>
                <w:spacing w:val="5"/>
              </w:rPr>
              <w:t>/T 26002-2010</w:t>
            </w:r>
          </w:p>
        </w:tc>
      </w:tr>
      <w:tr w14:paraId="7CA3D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3" w:type="dxa"/>
            <w:vAlign w:val="top"/>
          </w:tcPr>
          <w:p w14:paraId="34ECE1A5">
            <w:pPr>
              <w:pStyle w:val="6"/>
              <w:spacing w:before="170" w:line="242" w:lineRule="auto"/>
              <w:ind w:left="367"/>
            </w:pPr>
            <w:r>
              <w:t>3</w:t>
            </w:r>
          </w:p>
        </w:tc>
        <w:tc>
          <w:tcPr>
            <w:tcW w:w="2691" w:type="dxa"/>
            <w:vAlign w:val="top"/>
          </w:tcPr>
          <w:p w14:paraId="4258C38A">
            <w:pPr>
              <w:pStyle w:val="6"/>
              <w:spacing w:before="130" w:line="229" w:lineRule="auto"/>
              <w:jc w:val="center"/>
            </w:pPr>
            <w:r>
              <w:rPr>
                <w:rFonts w:hint="eastAsia"/>
                <w:spacing w:val="6"/>
                <w:lang w:val="en-US" w:eastAsia="zh-CN"/>
              </w:rPr>
              <w:t>软管耐压性</w:t>
            </w:r>
          </w:p>
        </w:tc>
        <w:tc>
          <w:tcPr>
            <w:tcW w:w="2833" w:type="dxa"/>
            <w:vMerge w:val="continue"/>
            <w:tcBorders>
              <w:top w:val="nil"/>
              <w:bottom w:val="nil"/>
            </w:tcBorders>
            <w:vAlign w:val="top"/>
          </w:tcPr>
          <w:p w14:paraId="520676E4">
            <w:pPr>
              <w:rPr>
                <w:rFonts w:ascii="Arial"/>
                <w:sz w:val="21"/>
              </w:rPr>
            </w:pPr>
          </w:p>
        </w:tc>
        <w:tc>
          <w:tcPr>
            <w:tcW w:w="2830" w:type="dxa"/>
            <w:vAlign w:val="top"/>
          </w:tcPr>
          <w:p w14:paraId="001D9C93">
            <w:pPr>
              <w:pStyle w:val="6"/>
              <w:spacing w:before="112" w:line="233" w:lineRule="auto"/>
              <w:ind w:left="628"/>
            </w:pPr>
            <w:r>
              <w:t>GB</w:t>
            </w:r>
            <w:r>
              <w:rPr>
                <w:spacing w:val="5"/>
              </w:rPr>
              <w:t>/T 26002-2010</w:t>
            </w:r>
          </w:p>
        </w:tc>
      </w:tr>
      <w:tr w14:paraId="6EA3F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3" w:type="dxa"/>
            <w:vAlign w:val="top"/>
          </w:tcPr>
          <w:p w14:paraId="4C4A62E5">
            <w:pPr>
              <w:pStyle w:val="6"/>
              <w:spacing w:before="173" w:line="241" w:lineRule="auto"/>
              <w:ind w:left="362"/>
            </w:pPr>
            <w:r>
              <w:t>4</w:t>
            </w:r>
          </w:p>
        </w:tc>
        <w:tc>
          <w:tcPr>
            <w:tcW w:w="2691" w:type="dxa"/>
            <w:vAlign w:val="top"/>
          </w:tcPr>
          <w:p w14:paraId="681A6B08">
            <w:pPr>
              <w:pStyle w:val="6"/>
              <w:spacing w:before="130" w:line="229" w:lineRule="auto"/>
              <w:jc w:val="center"/>
            </w:pPr>
            <w:r>
              <w:rPr>
                <w:rFonts w:hint="eastAsia"/>
                <w:spacing w:val="6"/>
                <w:lang w:val="en-US" w:eastAsia="zh-CN"/>
              </w:rPr>
              <w:t>软管耐热性</w:t>
            </w:r>
          </w:p>
        </w:tc>
        <w:tc>
          <w:tcPr>
            <w:tcW w:w="2833" w:type="dxa"/>
            <w:vMerge w:val="continue"/>
            <w:tcBorders>
              <w:top w:val="nil"/>
              <w:bottom w:val="nil"/>
            </w:tcBorders>
            <w:vAlign w:val="top"/>
          </w:tcPr>
          <w:p w14:paraId="522BE83C">
            <w:pPr>
              <w:rPr>
                <w:rFonts w:ascii="Arial"/>
                <w:sz w:val="21"/>
              </w:rPr>
            </w:pPr>
          </w:p>
        </w:tc>
        <w:tc>
          <w:tcPr>
            <w:tcW w:w="2830" w:type="dxa"/>
            <w:vAlign w:val="top"/>
          </w:tcPr>
          <w:p w14:paraId="32D3B1A2">
            <w:pPr>
              <w:pStyle w:val="6"/>
              <w:spacing w:before="115" w:line="233" w:lineRule="auto"/>
              <w:ind w:left="628"/>
            </w:pPr>
            <w:r>
              <w:t>GB</w:t>
            </w:r>
            <w:r>
              <w:rPr>
                <w:spacing w:val="5"/>
              </w:rPr>
              <w:t>/T 26002-2010</w:t>
            </w:r>
          </w:p>
        </w:tc>
      </w:tr>
      <w:tr w14:paraId="1B57D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3" w:type="dxa"/>
            <w:vAlign w:val="top"/>
          </w:tcPr>
          <w:p w14:paraId="65686C28">
            <w:pPr>
              <w:pStyle w:val="6"/>
              <w:spacing w:before="172" w:line="242" w:lineRule="auto"/>
              <w:ind w:left="367"/>
            </w:pPr>
            <w:r>
              <w:t>5</w:t>
            </w:r>
          </w:p>
        </w:tc>
        <w:tc>
          <w:tcPr>
            <w:tcW w:w="2691" w:type="dxa"/>
            <w:vAlign w:val="top"/>
          </w:tcPr>
          <w:p w14:paraId="002C2638">
            <w:pPr>
              <w:pStyle w:val="6"/>
              <w:spacing w:before="117" w:line="228" w:lineRule="auto"/>
              <w:jc w:val="center"/>
            </w:pPr>
            <w:r>
              <w:rPr>
                <w:rFonts w:hint="eastAsia"/>
                <w:spacing w:val="6"/>
                <w:lang w:val="en-US" w:eastAsia="zh-CN"/>
              </w:rPr>
              <w:t>软管耐冲击性</w:t>
            </w:r>
          </w:p>
        </w:tc>
        <w:tc>
          <w:tcPr>
            <w:tcW w:w="2833" w:type="dxa"/>
            <w:vMerge w:val="continue"/>
            <w:tcBorders>
              <w:top w:val="nil"/>
              <w:bottom w:val="nil"/>
            </w:tcBorders>
            <w:vAlign w:val="top"/>
          </w:tcPr>
          <w:p w14:paraId="5022106F">
            <w:pPr>
              <w:rPr>
                <w:rFonts w:ascii="Arial"/>
                <w:sz w:val="21"/>
              </w:rPr>
            </w:pPr>
          </w:p>
        </w:tc>
        <w:tc>
          <w:tcPr>
            <w:tcW w:w="2830" w:type="dxa"/>
            <w:vAlign w:val="top"/>
          </w:tcPr>
          <w:p w14:paraId="32178E9F">
            <w:pPr>
              <w:pStyle w:val="6"/>
              <w:spacing w:before="114" w:line="233" w:lineRule="auto"/>
              <w:ind w:left="628"/>
            </w:pPr>
            <w:r>
              <w:t>GB</w:t>
            </w:r>
            <w:r>
              <w:rPr>
                <w:spacing w:val="5"/>
              </w:rPr>
              <w:t>/T 26002-2010</w:t>
            </w:r>
          </w:p>
        </w:tc>
      </w:tr>
      <w:tr w14:paraId="5DF61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3" w:type="dxa"/>
            <w:vAlign w:val="top"/>
          </w:tcPr>
          <w:p w14:paraId="3C94111F">
            <w:pPr>
              <w:pStyle w:val="6"/>
              <w:spacing w:before="172" w:line="242" w:lineRule="auto"/>
              <w:ind w:left="367"/>
              <w:rPr>
                <w:rFonts w:hint="eastAsia" w:eastAsia="宋体"/>
                <w:lang w:val="en-US" w:eastAsia="zh-CN"/>
              </w:rPr>
            </w:pPr>
            <w:r>
              <w:rPr>
                <w:rFonts w:hint="eastAsia"/>
                <w:lang w:val="en-US" w:eastAsia="zh-CN"/>
              </w:rPr>
              <w:t>6</w:t>
            </w:r>
          </w:p>
        </w:tc>
        <w:tc>
          <w:tcPr>
            <w:tcW w:w="2691" w:type="dxa"/>
            <w:vAlign w:val="top"/>
          </w:tcPr>
          <w:p w14:paraId="5C3D6EFD">
            <w:pPr>
              <w:pStyle w:val="6"/>
              <w:spacing w:before="114" w:line="228" w:lineRule="auto"/>
              <w:jc w:val="center"/>
              <w:rPr>
                <w:spacing w:val="5"/>
              </w:rPr>
            </w:pPr>
            <w:r>
              <w:rPr>
                <w:rFonts w:hint="eastAsia"/>
                <w:spacing w:val="6"/>
                <w:lang w:val="en-US" w:eastAsia="zh-CN"/>
              </w:rPr>
              <w:t>接头耐安装性</w:t>
            </w:r>
          </w:p>
        </w:tc>
        <w:tc>
          <w:tcPr>
            <w:tcW w:w="2833" w:type="dxa"/>
            <w:tcBorders>
              <w:top w:val="nil"/>
              <w:bottom w:val="nil"/>
            </w:tcBorders>
            <w:vAlign w:val="top"/>
          </w:tcPr>
          <w:p w14:paraId="0EF63183">
            <w:pPr>
              <w:rPr>
                <w:rFonts w:ascii="Arial"/>
                <w:sz w:val="21"/>
              </w:rPr>
            </w:pPr>
          </w:p>
        </w:tc>
        <w:tc>
          <w:tcPr>
            <w:tcW w:w="2830" w:type="dxa"/>
            <w:vAlign w:val="top"/>
          </w:tcPr>
          <w:p w14:paraId="14E05331">
            <w:pPr>
              <w:pStyle w:val="6"/>
              <w:spacing w:before="114" w:line="233" w:lineRule="auto"/>
              <w:ind w:left="628"/>
            </w:pPr>
            <w:r>
              <w:t>GB</w:t>
            </w:r>
            <w:r>
              <w:rPr>
                <w:spacing w:val="5"/>
              </w:rPr>
              <w:t>/T 26002-2010</w:t>
            </w:r>
          </w:p>
        </w:tc>
      </w:tr>
      <w:tr w14:paraId="32D16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3" w:type="dxa"/>
            <w:vAlign w:val="top"/>
          </w:tcPr>
          <w:p w14:paraId="10EBDBB4">
            <w:pPr>
              <w:pStyle w:val="6"/>
              <w:spacing w:before="172" w:line="242" w:lineRule="auto"/>
              <w:ind w:left="367"/>
              <w:rPr>
                <w:rFonts w:hint="eastAsia" w:eastAsia="宋体"/>
                <w:lang w:val="en-US" w:eastAsia="zh-CN"/>
              </w:rPr>
            </w:pPr>
            <w:r>
              <w:rPr>
                <w:rFonts w:hint="eastAsia"/>
                <w:lang w:val="en-US" w:eastAsia="zh-CN"/>
              </w:rPr>
              <w:t>7</w:t>
            </w:r>
          </w:p>
        </w:tc>
        <w:tc>
          <w:tcPr>
            <w:tcW w:w="2691" w:type="dxa"/>
            <w:vAlign w:val="top"/>
          </w:tcPr>
          <w:p w14:paraId="5F243ED0">
            <w:pPr>
              <w:pStyle w:val="6"/>
              <w:spacing w:before="116" w:line="228" w:lineRule="auto"/>
              <w:jc w:val="center"/>
              <w:rPr>
                <w:spacing w:val="5"/>
              </w:rPr>
            </w:pPr>
            <w:r>
              <w:rPr>
                <w:rFonts w:hint="eastAsia"/>
                <w:spacing w:val="6"/>
                <w:lang w:val="en-US" w:eastAsia="zh-CN"/>
              </w:rPr>
              <w:t>被覆层阻燃性</w:t>
            </w:r>
          </w:p>
        </w:tc>
        <w:tc>
          <w:tcPr>
            <w:tcW w:w="2833" w:type="dxa"/>
            <w:tcBorders>
              <w:top w:val="nil"/>
              <w:bottom w:val="nil"/>
            </w:tcBorders>
            <w:vAlign w:val="top"/>
          </w:tcPr>
          <w:p w14:paraId="3859C8FC">
            <w:pPr>
              <w:rPr>
                <w:rFonts w:ascii="Arial"/>
                <w:sz w:val="21"/>
              </w:rPr>
            </w:pPr>
          </w:p>
        </w:tc>
        <w:tc>
          <w:tcPr>
            <w:tcW w:w="2830" w:type="dxa"/>
            <w:vAlign w:val="top"/>
          </w:tcPr>
          <w:p w14:paraId="751921D4">
            <w:pPr>
              <w:pStyle w:val="6"/>
              <w:spacing w:before="114" w:line="233" w:lineRule="auto"/>
              <w:ind w:left="628"/>
            </w:pPr>
            <w:r>
              <w:t>GB</w:t>
            </w:r>
            <w:r>
              <w:rPr>
                <w:spacing w:val="5"/>
              </w:rPr>
              <w:t>/T 26002-2010</w:t>
            </w:r>
          </w:p>
        </w:tc>
      </w:tr>
    </w:tbl>
    <w:p w14:paraId="593114BB">
      <w:pPr>
        <w:rPr>
          <w:rFonts w:ascii="Arial"/>
          <w:sz w:val="21"/>
        </w:rPr>
      </w:pPr>
    </w:p>
    <w:p w14:paraId="29B8BC34">
      <w:pPr>
        <w:rPr>
          <w:rFonts w:ascii="Arial" w:hAnsi="Arial" w:eastAsia="Arial" w:cs="Arial"/>
          <w:sz w:val="21"/>
          <w:szCs w:val="21"/>
        </w:rPr>
        <w:sectPr>
          <w:pgSz w:w="11906" w:h="16838"/>
          <w:pgMar w:top="1423" w:right="1362" w:bottom="0" w:left="1360" w:header="0" w:footer="0" w:gutter="0"/>
          <w:cols w:space="720" w:num="1"/>
        </w:sectPr>
      </w:pPr>
    </w:p>
    <w:p w14:paraId="19889B7A">
      <w:pPr>
        <w:spacing w:line="91" w:lineRule="auto"/>
        <w:rPr>
          <w:rFonts w:ascii="Arial"/>
          <w:sz w:val="2"/>
        </w:rPr>
      </w:pPr>
    </w:p>
    <w:p w14:paraId="2BDA8593">
      <w:pPr>
        <w:pStyle w:val="2"/>
        <w:spacing w:before="283" w:line="433" w:lineRule="auto"/>
        <w:ind w:left="451" w:right="441" w:firstLine="420"/>
      </w:pPr>
      <w:r>
        <w:rPr>
          <w:spacing w:val="7"/>
        </w:rPr>
        <w:t>凡是注日期的文件，其随后所有的修改单（不包括勘误的内容）或修订版不适用于本细</w:t>
      </w:r>
      <w:r>
        <w:rPr>
          <w:spacing w:val="2"/>
        </w:rPr>
        <w:t xml:space="preserve"> </w:t>
      </w:r>
      <w:r>
        <w:rPr>
          <w:spacing w:val="9"/>
        </w:rPr>
        <w:t>则。凡是不注日期的文件，其最新版本适用于本细则。</w:t>
      </w:r>
    </w:p>
    <w:p w14:paraId="672474A9">
      <w:pPr>
        <w:spacing w:before="138" w:line="222" w:lineRule="auto"/>
        <w:ind w:left="448"/>
        <w:outlineLvl w:val="1"/>
        <w:rPr>
          <w:rFonts w:ascii="黑体" w:hAnsi="黑体" w:eastAsia="黑体" w:cs="黑体"/>
          <w:sz w:val="24"/>
          <w:szCs w:val="24"/>
        </w:rPr>
      </w:pPr>
      <w:r>
        <w:rPr>
          <w:rFonts w:ascii="黑体" w:hAnsi="黑体" w:eastAsia="黑体" w:cs="黑体"/>
          <w:spacing w:val="-2"/>
          <w:sz w:val="24"/>
          <w:szCs w:val="24"/>
        </w:rPr>
        <w:t>3 判定规则</w:t>
      </w:r>
    </w:p>
    <w:p w14:paraId="503B2344">
      <w:pPr>
        <w:pStyle w:val="2"/>
        <w:spacing w:before="237" w:line="227" w:lineRule="auto"/>
        <w:ind w:left="451"/>
      </w:pPr>
      <w:r>
        <w:rPr>
          <w:spacing w:val="4"/>
        </w:rPr>
        <w:t>3.1</w:t>
      </w:r>
      <w:r>
        <w:rPr>
          <w:spacing w:val="-39"/>
        </w:rPr>
        <w:t xml:space="preserve"> </w:t>
      </w:r>
      <w:r>
        <w:rPr>
          <w:spacing w:val="4"/>
        </w:rPr>
        <w:t>依据标准</w:t>
      </w:r>
    </w:p>
    <w:p w14:paraId="1972F7EF">
      <w:pPr>
        <w:pStyle w:val="2"/>
        <w:spacing w:before="196" w:line="226" w:lineRule="auto"/>
        <w:ind w:left="865"/>
      </w:pPr>
      <w:r>
        <w:t>CJ</w:t>
      </w:r>
      <w:r>
        <w:rPr>
          <w:spacing w:val="7"/>
        </w:rPr>
        <w:t>/T 197-2010 《燃气用具连接用不锈钢波纹软管》</w:t>
      </w:r>
    </w:p>
    <w:p w14:paraId="0FF22A7C">
      <w:pPr>
        <w:pStyle w:val="2"/>
        <w:spacing w:before="193" w:line="228" w:lineRule="auto"/>
        <w:ind w:left="864"/>
      </w:pPr>
      <w:r>
        <w:t>GB</w:t>
      </w:r>
      <w:r>
        <w:rPr>
          <w:spacing w:val="7"/>
        </w:rPr>
        <w:t>/T 26002-2010 《燃气输送用不锈钢波纹软管及管件》</w:t>
      </w:r>
    </w:p>
    <w:p w14:paraId="0C475D97">
      <w:pPr>
        <w:pStyle w:val="2"/>
        <w:spacing w:before="193" w:line="227" w:lineRule="auto"/>
        <w:ind w:left="867"/>
      </w:pPr>
      <w:r>
        <w:rPr>
          <w:spacing w:val="9"/>
        </w:rPr>
        <w:t>相关的法律、行政法规、部门规章、规范性文件</w:t>
      </w:r>
    </w:p>
    <w:p w14:paraId="46E90DB4">
      <w:pPr>
        <w:pStyle w:val="2"/>
        <w:spacing w:before="195" w:line="228" w:lineRule="auto"/>
        <w:ind w:left="869"/>
      </w:pPr>
      <w:r>
        <w:rPr>
          <w:spacing w:val="9"/>
        </w:rPr>
        <w:t>现行有效的企业标准、团体标准、地方标准及产品明示质量要求</w:t>
      </w:r>
    </w:p>
    <w:p w14:paraId="4F7AAB11">
      <w:pPr>
        <w:pStyle w:val="2"/>
        <w:spacing w:before="193" w:line="228" w:lineRule="auto"/>
        <w:ind w:left="451"/>
      </w:pPr>
      <w:r>
        <w:rPr>
          <w:spacing w:val="4"/>
        </w:rPr>
        <w:t>3.2</w:t>
      </w:r>
      <w:r>
        <w:rPr>
          <w:spacing w:val="-39"/>
        </w:rPr>
        <w:t xml:space="preserve"> </w:t>
      </w:r>
      <w:r>
        <w:rPr>
          <w:spacing w:val="4"/>
        </w:rPr>
        <w:t>判定原则</w:t>
      </w:r>
    </w:p>
    <w:p w14:paraId="123DA569">
      <w:pPr>
        <w:pStyle w:val="2"/>
        <w:spacing w:before="191" w:line="407" w:lineRule="auto"/>
        <w:ind w:left="448" w:right="441" w:firstLine="420"/>
      </w:pPr>
      <w:r>
        <w:rPr>
          <w:spacing w:val="7"/>
        </w:rPr>
        <w:t>经检验，检验项目全部合格，判定为被抽查产品合格；检验项目中任一项或一项以上不</w:t>
      </w:r>
      <w:r>
        <w:rPr>
          <w:spacing w:val="4"/>
        </w:rPr>
        <w:t xml:space="preserve"> </w:t>
      </w:r>
      <w:r>
        <w:rPr>
          <w:spacing w:val="8"/>
        </w:rPr>
        <w:t>合格，判定为被抽查产品不合格。</w:t>
      </w:r>
    </w:p>
    <w:p w14:paraId="52BDD4BE">
      <w:pPr>
        <w:pStyle w:val="2"/>
        <w:spacing w:before="1" w:line="406" w:lineRule="auto"/>
        <w:ind w:left="448" w:right="439"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321C7585">
      <w:pPr>
        <w:pStyle w:val="2"/>
        <w:spacing w:before="1" w:line="405" w:lineRule="auto"/>
        <w:ind w:left="448" w:right="441" w:firstLine="417"/>
      </w:pPr>
      <w:r>
        <w:rPr>
          <w:spacing w:val="7"/>
        </w:rPr>
        <w:t>若被检产品明示的质量要求低于本细则中检验项目依据的强制性标准要求时，应按照强</w:t>
      </w:r>
      <w:r>
        <w:rPr>
          <w:spacing w:val="8"/>
        </w:rPr>
        <w:t xml:space="preserve"> </w:t>
      </w:r>
      <w:r>
        <w:rPr>
          <w:spacing w:val="7"/>
        </w:rPr>
        <w:t>制性标准要求判定。</w:t>
      </w:r>
    </w:p>
    <w:p w14:paraId="3AF1D1E0">
      <w:pPr>
        <w:pStyle w:val="2"/>
        <w:spacing w:before="1" w:line="406" w:lineRule="auto"/>
        <w:ind w:left="470" w:right="439" w:firstLine="394"/>
      </w:pPr>
      <w:r>
        <w:rPr>
          <w:spacing w:val="7"/>
        </w:rPr>
        <w:t>若被检产品明示的质量要求低于或包含本细则中检验项目依据的推荐性标准要求时，应</w:t>
      </w:r>
      <w:r>
        <w:rPr>
          <w:spacing w:val="10"/>
        </w:rPr>
        <w:t xml:space="preserve"> </w:t>
      </w:r>
      <w:r>
        <w:rPr>
          <w:spacing w:val="7"/>
        </w:rPr>
        <w:t>以被检产品明示的质量要求判定。</w:t>
      </w:r>
    </w:p>
    <w:p w14:paraId="2E1B0C54">
      <w:pPr>
        <w:pStyle w:val="2"/>
        <w:spacing w:before="1" w:line="406" w:lineRule="auto"/>
        <w:ind w:left="448" w:right="441" w:firstLine="420"/>
      </w:pPr>
      <w:r>
        <w:rPr>
          <w:spacing w:val="7"/>
        </w:rPr>
        <w:t>若被检产品明示的质量要求缺少本细则中检验项目依据的强制性标准要求时，应按照强</w:t>
      </w:r>
      <w:r>
        <w:rPr>
          <w:spacing w:val="5"/>
        </w:rPr>
        <w:t xml:space="preserve"> </w:t>
      </w:r>
      <w:r>
        <w:rPr>
          <w:spacing w:val="7"/>
        </w:rPr>
        <w:t>制性标准要求判定。</w:t>
      </w:r>
    </w:p>
    <w:p w14:paraId="6B2CCEFD">
      <w:pPr>
        <w:pStyle w:val="2"/>
        <w:spacing w:before="1" w:line="407" w:lineRule="auto"/>
        <w:ind w:left="449" w:right="441" w:firstLine="419"/>
      </w:pPr>
      <w:r>
        <w:rPr>
          <w:spacing w:val="7"/>
        </w:rPr>
        <w:t>若被检产品明示的质量要求缺少本细则中检验项目依据的推荐性标准要求时，该项目不</w:t>
      </w:r>
      <w:r>
        <w:rPr>
          <w:spacing w:val="5"/>
        </w:rPr>
        <w:t xml:space="preserve"> 参与判定。</w:t>
      </w:r>
    </w:p>
    <w:p w14:paraId="0E881033">
      <w:pPr>
        <w:pStyle w:val="2"/>
        <w:spacing w:before="118" w:line="227" w:lineRule="auto"/>
        <w:ind w:left="868"/>
      </w:pPr>
    </w:p>
    <w:sectPr>
      <w:pgSz w:w="11906" w:h="16838"/>
      <w:pgMar w:top="1431" w:right="1362" w:bottom="0" w:left="136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FA79B4"/>
    <w:multiLevelType w:val="singleLevel"/>
    <w:tmpl w:val="54FA79B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4B2B0A"/>
    <w:rsid w:val="2E445012"/>
    <w:rsid w:val="2FF7494D"/>
    <w:rsid w:val="32275D17"/>
    <w:rsid w:val="3754291D"/>
    <w:rsid w:val="553D7E00"/>
    <w:rsid w:val="55C754D1"/>
    <w:rsid w:val="58D61BD0"/>
    <w:rsid w:val="67C60C23"/>
    <w:rsid w:val="687E455F"/>
    <w:rsid w:val="6BDA5F51"/>
    <w:rsid w:val="77AF64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771</Words>
  <Characters>1008</Characters>
  <TotalTime>0</TotalTime>
  <ScaleCrop>false</ScaleCrop>
  <LinksUpToDate>false</LinksUpToDate>
  <CharactersWithSpaces>1062</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2025-03-27T06:21:00Z</dcterms:created>
  <dc:creator>liuyiming</dc:creator>
  <cp:lastModifiedBy>Wz</cp:lastModifiedBy>
  <dcterms:modified xsi:type="dcterms:W3CDTF">2025-04-11T08:20:33Z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2025-03-27T14:21:45Z</vt:filetime>
  </property>
  <property fmtid="{D5CDD505-2E9C-101B-9397-08002B2CF9AE}" pid="4" name="KSOTemplateDocerSaveRecord">
    <vt:lpwstr>eyJoZGlkIjoiYzUxNmUyN2M1NDExYWQ2NTIwYWUyZTMzYWRkNjUxZDMiLCJ1c2VySWQiOiI0NDk1Njk2MjIifQ==</vt:lpwstr>
  </property>
  <property fmtid="{D5CDD505-2E9C-101B-9397-08002B2CF9AE}" pid="5" name="KSOProductBuildVer">
    <vt:lpwstr>2052-12.1.0.20784</vt:lpwstr>
  </property>
  <property fmtid="{D5CDD505-2E9C-101B-9397-08002B2CF9AE}" pid="6" name="ICV">
    <vt:lpwstr>06EA7FABAE1C4A1099DD0141E58C2E9D_12</vt:lpwstr>
  </property>
</Properties>
</file>