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333333"/>
          <w:kern w:val="2"/>
          <w:sz w:val="44"/>
          <w:szCs w:val="44"/>
        </w:rPr>
      </w:pPr>
      <w:r>
        <w:rPr>
          <w:rFonts w:hint="default" w:ascii="方正小标宋简体" w:hAnsi="方正小标宋简体" w:eastAsia="方正小标宋简体" w:cs="方正小标宋简体"/>
          <w:color w:val="333333"/>
          <w:kern w:val="2"/>
          <w:sz w:val="44"/>
          <w:szCs w:val="44"/>
          <w:lang w:val="en-US" w:eastAsia="zh-CN" w:bidi="ar"/>
        </w:rPr>
        <w:t>关于内蒙古自治区鄂尔多斯市伊金霍洛旗人力资源和社会保障局委托公开2019年度部门决算信息的函</w:t>
      </w: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color w:val="333333"/>
          <w:kern w:val="2"/>
          <w:sz w:val="21"/>
          <w:szCs w:val="21"/>
        </w:rPr>
      </w:pPr>
      <w:r>
        <w:rPr>
          <w:rFonts w:hint="default" w:ascii="Times New Roman" w:hAnsi="Times New Roman" w:eastAsia="宋体" w:cs="Times New Roman"/>
          <w:color w:val="333333"/>
          <w:kern w:val="2"/>
          <w:sz w:val="21"/>
          <w:szCs w:val="21"/>
          <w:lang w:val="en-US" w:eastAsia="zh-CN" w:bidi="ar"/>
        </w:rPr>
        <w:t xml:space="preserve"> </w:t>
      </w:r>
      <w:bookmarkStart w:id="0" w:name="_GoBack"/>
      <w:bookmarkEnd w:id="0"/>
    </w:p>
    <w:p>
      <w:pPr>
        <w:keepNext w:val="0"/>
        <w:keepLines w:val="0"/>
        <w:widowControl/>
        <w:suppressLineNumbers w:val="0"/>
        <w:snapToGrid w:val="0"/>
        <w:spacing w:before="0" w:beforeLines="0" w:beforeAutospacing="0" w:after="0" w:afterLines="0" w:afterAutospacing="0" w:line="375" w:lineRule="atLeast"/>
        <w:ind w:left="0" w:right="0"/>
        <w:jc w:val="left"/>
        <w:rPr>
          <w:rFonts w:hint="default" w:ascii="Times New Roman" w:hAnsi="Times New Roman" w:eastAsia="宋体" w:cs="Times New Roman"/>
          <w:color w:val="000000" w:themeColor="text1"/>
          <w:kern w:val="0"/>
          <w:sz w:val="32"/>
          <w:szCs w:val="32"/>
          <w14:textFill>
            <w14:solidFill>
              <w14:schemeClr w14:val="tx1"/>
            </w14:solidFill>
          </w14:textFill>
        </w:rPr>
      </w:pPr>
      <w:r>
        <w:rPr>
          <w:rFonts w:hint="eastAsia" w:ascii="华文仿宋" w:hAnsi="华文仿宋" w:eastAsia="华文仿宋" w:cs="华文仿宋"/>
          <w:color w:val="000000" w:themeColor="text1"/>
          <w:kern w:val="0"/>
          <w:sz w:val="32"/>
          <w:szCs w:val="32"/>
          <w:lang w:val="en-US" w:eastAsia="zh-CN" w:bidi="ar"/>
          <w14:textFill>
            <w14:solidFill>
              <w14:schemeClr w14:val="tx1"/>
            </w14:solidFill>
          </w14:textFill>
        </w:rPr>
        <w:t>伊金霍洛旗财政局：</w:t>
      </w:r>
    </w:p>
    <w:p>
      <w:pPr>
        <w:keepNext w:val="0"/>
        <w:keepLines w:val="0"/>
        <w:widowControl/>
        <w:suppressLineNumbers w:val="0"/>
        <w:snapToGrid w:val="0"/>
        <w:spacing w:before="0" w:beforeLines="0" w:beforeAutospacing="0" w:after="0" w:afterLines="0" w:afterAutospacing="0" w:line="375" w:lineRule="atLeast"/>
        <w:ind w:left="0" w:right="0" w:firstLine="640"/>
        <w:jc w:val="left"/>
        <w:rPr>
          <w:rFonts w:hint="default" w:ascii="Times New Roman" w:hAnsi="Times New Roman" w:eastAsia="宋体" w:cs="Times New Roman"/>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根据《鄂尔多斯市财政局关于切实做好政府决算和部门决算公开工作的通知》（鄂财库发〔2020〕108号）文件要求，现委托贵单位在财政厅门户网站的“预决算公开平台”上公开我单位2019年度决算信息，我单位是决算信息公开的主体，并对所公开信息的真实、准确、完整性负责。</w:t>
      </w:r>
    </w:p>
    <w:p>
      <w:pPr>
        <w:keepNext w:val="0"/>
        <w:keepLines w:val="0"/>
        <w:widowControl/>
        <w:suppressLineNumbers w:val="0"/>
        <w:snapToGrid w:val="0"/>
        <w:spacing w:before="0" w:beforeLines="0" w:beforeAutospacing="0" w:after="0" w:afterLines="0" w:afterAutospacing="0" w:line="375" w:lineRule="atLeast"/>
        <w:ind w:left="0" w:right="0"/>
        <w:jc w:val="center"/>
        <w:rPr>
          <w:rFonts w:hint="default" w:ascii="Times New Roman" w:hAnsi="Times New Roman" w:eastAsia="宋体" w:cs="Times New Roman"/>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Style w:val="6"/>
          <w:rFonts w:hint="eastAsia" w:ascii="宋体" w:hAnsi="宋体" w:eastAsia="宋体" w:cs="宋体"/>
          <w:b/>
          <w:color w:val="000000" w:themeColor="text1"/>
          <w:sz w:val="27"/>
          <w:szCs w:val="27"/>
          <w:lang w:val="en-US" w:eastAsia="zh-CN" w:bidi="ar"/>
          <w14:textFill>
            <w14:solidFill>
              <w14:schemeClr w14:val="tx1"/>
            </w14:solidFill>
          </w14:textFill>
        </w:rPr>
        <w:t>内蒙古自治区鄂尔多斯市伊金霍洛旗人力资源和社会保障局</w:t>
      </w: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 xml:space="preserve">                          2020年9月2日</w:t>
      </w:r>
    </w:p>
    <w:p>
      <w:pPr>
        <w:keepNext w:val="0"/>
        <w:keepLines w:val="0"/>
        <w:widowControl/>
        <w:suppressLineNumbers w:val="0"/>
        <w:snapToGrid w:val="0"/>
        <w:spacing w:before="0" w:beforeLines="0" w:beforeAutospacing="0" w:after="0" w:afterLines="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center"/>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center"/>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center"/>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center"/>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center"/>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center"/>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center"/>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center"/>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ind w:left="0" w:right="0" w:firstLine="601"/>
        <w:jc w:val="center"/>
        <w:rPr>
          <w:rFonts w:hint="default" w:ascii="仿宋_GB2312" w:hAnsi="宋体" w:eastAsia="仿宋_GB2312" w:cs="仿宋_GB2312"/>
          <w:b/>
          <w:color w:val="FF0000"/>
          <w:kern w:val="2"/>
          <w:sz w:val="44"/>
          <w:szCs w:val="44"/>
          <w:lang w:val="en-US" w:eastAsia="zh-CN" w:bidi="ar"/>
        </w:rPr>
      </w:pPr>
    </w:p>
    <w:p>
      <w:pPr>
        <w:keepNext w:val="0"/>
        <w:keepLines w:val="0"/>
        <w:widowControl/>
        <w:suppressLineNumbers w:val="0"/>
        <w:snapToGrid w:val="0"/>
        <w:spacing w:before="0" w:beforeLines="0" w:beforeAutospacing="0" w:after="0" w:afterLines="0" w:afterAutospacing="0"/>
        <w:ind w:left="0" w:right="0" w:firstLine="601"/>
        <w:jc w:val="center"/>
        <w:rPr>
          <w:rFonts w:hint="default" w:ascii="仿宋_GB2312" w:hAnsi="宋体" w:eastAsia="仿宋_GB2312" w:cs="仿宋_GB2312"/>
          <w:b/>
          <w:color w:val="FF0000"/>
          <w:kern w:val="2"/>
          <w:sz w:val="44"/>
          <w:szCs w:val="44"/>
          <w:lang w:val="en-US" w:eastAsia="zh-CN" w:bidi="ar"/>
        </w:rPr>
      </w:pPr>
    </w:p>
    <w:p>
      <w:pPr>
        <w:keepNext w:val="0"/>
        <w:keepLines w:val="0"/>
        <w:widowControl/>
        <w:suppressLineNumbers w:val="0"/>
        <w:snapToGrid w:val="0"/>
        <w:spacing w:before="0" w:beforeLines="0" w:beforeAutospacing="0" w:after="0" w:afterLines="0" w:afterAutospacing="0"/>
        <w:ind w:left="0" w:right="0" w:firstLine="601"/>
        <w:jc w:val="center"/>
        <w:rPr>
          <w:rFonts w:hint="default" w:ascii="仿宋_GB2312" w:hAnsi="宋体" w:eastAsia="仿宋_GB2312" w:cs="仿宋_GB2312"/>
          <w:b/>
          <w:color w:val="FF0000"/>
          <w:kern w:val="2"/>
          <w:sz w:val="44"/>
          <w:szCs w:val="44"/>
          <w:lang w:val="en-US" w:eastAsia="zh-CN" w:bidi="ar"/>
        </w:rPr>
      </w:pPr>
    </w:p>
    <w:p>
      <w:pPr>
        <w:keepNext w:val="0"/>
        <w:keepLines w:val="0"/>
        <w:widowControl/>
        <w:suppressLineNumbers w:val="0"/>
        <w:snapToGrid w:val="0"/>
        <w:spacing w:before="0" w:beforeLines="0" w:beforeAutospacing="0" w:after="0" w:afterLines="0" w:afterAutospacing="0"/>
        <w:ind w:left="0" w:right="0" w:firstLine="601"/>
        <w:jc w:val="center"/>
        <w:rPr>
          <w:rFonts w:hint="default" w:ascii="仿宋_GB2312" w:hAnsi="宋体" w:eastAsia="仿宋_GB2312" w:cs="仿宋_GB2312"/>
          <w:b/>
          <w:color w:val="FF0000"/>
          <w:kern w:val="2"/>
          <w:sz w:val="44"/>
          <w:szCs w:val="44"/>
          <w:lang w:val="en-US" w:eastAsia="zh-CN" w:bidi="ar"/>
        </w:rPr>
      </w:pPr>
    </w:p>
    <w:p>
      <w:pPr>
        <w:keepNext w:val="0"/>
        <w:keepLines w:val="0"/>
        <w:widowControl/>
        <w:suppressLineNumbers w:val="0"/>
        <w:snapToGrid w:val="0"/>
        <w:spacing w:before="0" w:beforeLines="0" w:beforeAutospacing="0" w:after="0" w:afterLines="0" w:afterAutospacing="0"/>
        <w:ind w:left="0" w:right="0" w:firstLine="601"/>
        <w:jc w:val="center"/>
        <w:rPr>
          <w:rFonts w:hint="default" w:ascii="Times New Roman" w:hAnsi="Times New Roman" w:eastAsia="宋体" w:cs="Times New Roman"/>
          <w:b/>
          <w:color w:val="000000" w:themeColor="text1"/>
          <w:kern w:val="2"/>
          <w:sz w:val="44"/>
          <w:szCs w:val="44"/>
          <w14:textFill>
            <w14:solidFill>
              <w14:schemeClr w14:val="tx1"/>
            </w14:solidFill>
          </w14:textFill>
        </w:rPr>
      </w:pPr>
      <w:r>
        <w:rPr>
          <w:rFonts w:hint="default" w:ascii="仿宋_GB2312" w:hAnsi="宋体" w:eastAsia="仿宋_GB2312" w:cs="仿宋_GB2312"/>
          <w:b/>
          <w:color w:val="000000" w:themeColor="text1"/>
          <w:kern w:val="2"/>
          <w:sz w:val="44"/>
          <w:szCs w:val="44"/>
          <w:lang w:val="en-US" w:eastAsia="zh-CN" w:bidi="ar"/>
          <w14:textFill>
            <w14:solidFill>
              <w14:schemeClr w14:val="tx1"/>
            </w14:solidFill>
          </w14:textFill>
        </w:rPr>
        <w:t>内蒙古自治区鄂尔多斯市伊金霍洛旗人力资源和社会保障局</w:t>
      </w:r>
    </w:p>
    <w:p>
      <w:pPr>
        <w:keepNext w:val="0"/>
        <w:keepLines w:val="0"/>
        <w:widowControl/>
        <w:suppressLineNumbers w:val="0"/>
        <w:snapToGrid w:val="0"/>
        <w:spacing w:before="0" w:beforeLines="0" w:beforeAutospacing="0" w:after="0" w:afterLines="0" w:afterAutospacing="0"/>
        <w:ind w:left="0" w:right="0" w:firstLine="601"/>
        <w:jc w:val="center"/>
        <w:rPr>
          <w:rFonts w:hint="default" w:ascii="Times New Roman" w:hAnsi="Times New Roman" w:eastAsia="宋体" w:cs="Times New Roman"/>
          <w:b/>
          <w:kern w:val="2"/>
          <w:sz w:val="44"/>
          <w:szCs w:val="44"/>
        </w:rPr>
      </w:pPr>
      <w:r>
        <w:rPr>
          <w:rFonts w:hint="default" w:ascii="仿宋_GB2312" w:hAnsi="宋体" w:eastAsia="仿宋_GB2312" w:cs="仿宋_GB2312"/>
          <w:b/>
          <w:kern w:val="2"/>
          <w:sz w:val="44"/>
          <w:szCs w:val="44"/>
          <w:lang w:val="en-US" w:eastAsia="zh-CN" w:bidi="ar"/>
        </w:rPr>
        <w:t>2019年度决算公开报告</w:t>
      </w:r>
    </w:p>
    <w:p>
      <w:pPr>
        <w:keepNext w:val="0"/>
        <w:keepLines w:val="0"/>
        <w:widowControl/>
        <w:suppressLineNumbers w:val="0"/>
        <w:snapToGrid w:val="0"/>
        <w:spacing w:before="0" w:beforeLines="0" w:beforeAutospacing="0" w:after="0" w:afterLines="0" w:afterAutospacing="0" w:line="580" w:lineRule="exact"/>
        <w:ind w:left="0" w:right="0" w:firstLine="600"/>
        <w:jc w:val="center"/>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3905" w:firstLineChars="884"/>
        <w:jc w:val="both"/>
        <w:rPr>
          <w:rFonts w:hint="default" w:ascii="Times New Roman" w:hAnsi="Times New Roman" w:eastAsia="宋体" w:cs="Times New Roman"/>
          <w:b/>
          <w:kern w:val="2"/>
          <w:sz w:val="44"/>
          <w:szCs w:val="44"/>
        </w:rPr>
      </w:pPr>
      <w:r>
        <w:rPr>
          <w:rFonts w:hint="default" w:ascii="仿宋_GB2312" w:hAnsi="宋体" w:eastAsia="仿宋_GB2312" w:cs="仿宋_GB2312"/>
          <w:b/>
          <w:kern w:val="2"/>
          <w:sz w:val="44"/>
          <w:szCs w:val="44"/>
          <w:lang w:val="en-US" w:eastAsia="zh-CN" w:bidi="ar"/>
        </w:rPr>
        <w:t>目录</w:t>
      </w:r>
    </w:p>
    <w:p>
      <w:pPr>
        <w:keepNext w:val="0"/>
        <w:keepLines w:val="0"/>
        <w:widowControl/>
        <w:suppressLineNumbers w:val="0"/>
        <w:snapToGrid w:val="0"/>
        <w:spacing w:before="0" w:beforeLines="0" w:beforeAutospacing="0" w:after="0" w:afterLines="0" w:afterAutospacing="0"/>
        <w:ind w:left="0" w:right="0" w:firstLine="601"/>
        <w:jc w:val="left"/>
        <w:rPr>
          <w:rFonts w:hint="default" w:ascii="Times New Roman" w:hAnsi="Times New Roman" w:eastAsia="宋体" w:cs="Times New Roman"/>
          <w:b/>
          <w:kern w:val="2"/>
          <w:sz w:val="44"/>
          <w:szCs w:val="44"/>
        </w:rPr>
      </w:pPr>
      <w:r>
        <w:rPr>
          <w:rFonts w:hint="default" w:ascii="Times New Roman" w:hAnsi="Times New Roman" w:eastAsia="宋体" w:cs="Times New Roman"/>
          <w:b/>
          <w:kern w:val="2"/>
          <w:sz w:val="44"/>
          <w:szCs w:val="44"/>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right="0" w:firstLine="643" w:firstLineChars="200"/>
        <w:jc w:val="left"/>
        <w:rPr>
          <w:rFonts w:hint="default" w:ascii="Times New Roman" w:hAnsi="Times New Roman" w:eastAsia="宋体" w:cs="Times New Roman"/>
          <w:b/>
          <w:kern w:val="2"/>
          <w:sz w:val="32"/>
          <w:szCs w:val="32"/>
        </w:rPr>
      </w:pPr>
      <w:r>
        <w:rPr>
          <w:rFonts w:hint="eastAsia" w:ascii="黑体" w:hAnsi="宋体" w:eastAsia="黑体" w:cs="黑体"/>
          <w:b/>
          <w:kern w:val="2"/>
          <w:sz w:val="32"/>
          <w:szCs w:val="32"/>
          <w:lang w:val="en-US" w:eastAsia="zh-CN" w:bidi="ar"/>
        </w:rPr>
        <w:t>第一部分 部门基本情况</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一、部门职责</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二、机构设置</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b/>
          <w:kern w:val="2"/>
          <w:sz w:val="32"/>
          <w:szCs w:val="32"/>
        </w:rPr>
      </w:pPr>
      <w:r>
        <w:rPr>
          <w:rFonts w:hint="eastAsia" w:ascii="黑体" w:hAnsi="宋体" w:eastAsia="黑体" w:cs="黑体"/>
          <w:b/>
          <w:kern w:val="2"/>
          <w:sz w:val="32"/>
          <w:szCs w:val="32"/>
          <w:lang w:val="en-US" w:eastAsia="zh-CN" w:bidi="ar"/>
        </w:rPr>
        <w:t>第二部分 2019年度部门决算情况说明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一、关于2019年度预算执行情况分析</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二、关于2019年度决算情况说明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（一）关于收支情况总体说明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（二）关于2019年度收入决算情况说明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（三）关于2019年度支出决算情况说明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（四）关于2019年度财政拨款收入支出决算总体情况说明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（五）关于2019年度一般公共预算财政拨款支出决算情况说明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（六）关于2019年度一般公共预算财政拨款基本支出决算情况说明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（七）关于2019年度财政拨款</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三公</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经费支出决算情况说明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1、财政拨款</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三公</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经费支出决算总体情况说明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lang w:val="en-US" w:eastAsia="zh-CN" w:bidi="ar"/>
        </w:rPr>
        <w:t>2、财政拨款</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三公</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经费支出决算具体情况说明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lang w:val="en-US" w:eastAsia="zh-CN" w:bidi="ar"/>
        </w:rPr>
        <w:t>（八）关于2019年度政府性预算财政拨款支出决算情况说明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三、预算绩效情况说明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（一）预算绩效管理工作开展情况</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（二）部门决算中项目绩效自评结果</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四、其他重要事项的情况说明</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（一）机关运行经费支出情况</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（二）政府采购支出情况</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（三）国有资产占用情况</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b/>
          <w:kern w:val="2"/>
          <w:sz w:val="32"/>
          <w:szCs w:val="32"/>
        </w:rPr>
      </w:pPr>
      <w:r>
        <w:rPr>
          <w:rFonts w:hint="eastAsia" w:ascii="黑体" w:hAnsi="宋体" w:eastAsia="黑体" w:cs="黑体"/>
          <w:b/>
          <w:kern w:val="2"/>
          <w:sz w:val="32"/>
          <w:szCs w:val="32"/>
          <w:lang w:val="en-US" w:eastAsia="zh-CN" w:bidi="ar"/>
        </w:rPr>
        <w:t>第三部分 名词解释</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b/>
          <w:kern w:val="2"/>
          <w:sz w:val="32"/>
          <w:szCs w:val="32"/>
        </w:rPr>
      </w:pPr>
      <w:r>
        <w:rPr>
          <w:rFonts w:hint="eastAsia" w:ascii="黑体" w:hAnsi="宋体" w:eastAsia="黑体" w:cs="黑体"/>
          <w:b/>
          <w:kern w:val="2"/>
          <w:sz w:val="32"/>
          <w:szCs w:val="32"/>
          <w:lang w:val="en-US" w:eastAsia="zh-CN" w:bidi="ar"/>
        </w:rPr>
        <w:t>第四部分 决算公开联系方式及信息反馈渠道</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b/>
          <w:kern w:val="2"/>
          <w:sz w:val="32"/>
          <w:szCs w:val="32"/>
        </w:rPr>
      </w:pPr>
      <w:r>
        <w:rPr>
          <w:rFonts w:hint="eastAsia" w:ascii="黑体" w:hAnsi="宋体" w:eastAsia="黑体" w:cs="黑体"/>
          <w:b/>
          <w:kern w:val="2"/>
          <w:sz w:val="32"/>
          <w:szCs w:val="32"/>
          <w:lang w:val="en-US" w:eastAsia="zh-CN" w:bidi="ar"/>
        </w:rPr>
        <w:t>第五部分 部门决算公开表</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一、收入支出决算总表</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二、收入决算表</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三、支出决算表</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四、财政拨款收入支出决算总表</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五、一般公共预算财政拨款支出决算表</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六、一般公共预算财政拨款基本支出决算明细表</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七、政府性基金预算财政拨款收入支出决算表</w:t>
      </w:r>
    </w:p>
    <w:p>
      <w:pPr>
        <w:keepNext w:val="0"/>
        <w:keepLines w:val="0"/>
        <w:widowControl/>
        <w:suppressLineNumbers w:val="0"/>
        <w:snapToGrid w:val="0"/>
        <w:spacing w:before="0" w:beforeLines="0" w:beforeAutospacing="0" w:after="0" w:afterLines="0" w:afterAutospacing="0" w:line="580" w:lineRule="exact"/>
        <w:ind w:left="0" w:right="0" w:firstLine="601"/>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八、机构运行信息表</w:t>
      </w:r>
    </w:p>
    <w:p>
      <w:pPr>
        <w:keepNext w:val="0"/>
        <w:keepLines w:val="0"/>
        <w:widowControl/>
        <w:suppressLineNumbers w:val="0"/>
        <w:snapToGrid w:val="0"/>
        <w:spacing w:before="0" w:beforeLines="0" w:beforeAutospacing="0" w:after="0" w:afterLines="0" w:afterAutospacing="0"/>
        <w:ind w:left="0" w:right="0" w:firstLine="601"/>
        <w:jc w:val="left"/>
        <w:rPr>
          <w:rFonts w:hint="default" w:ascii="Times New Roman" w:hAnsi="Times New Roman" w:eastAsia="宋体" w:cs="Times New Roman"/>
          <w:b/>
          <w:kern w:val="2"/>
          <w:sz w:val="44"/>
          <w:szCs w:val="44"/>
        </w:rPr>
      </w:pPr>
      <w:r>
        <w:rPr>
          <w:rFonts w:hint="default" w:ascii="Times New Roman" w:hAnsi="Times New Roman" w:eastAsia="宋体" w:cs="Times New Roman"/>
          <w:b/>
          <w:kern w:val="2"/>
          <w:sz w:val="44"/>
          <w:szCs w:val="44"/>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eastAsia" w:ascii="宋体" w:hAnsi="宋体" w:eastAsia="宋体" w:cs="宋体"/>
          <w:kern w:val="0"/>
          <w:sz w:val="24"/>
          <w:szCs w:val="24"/>
          <w:lang w:val="en-US" w:eastAsia="zh-CN" w:bidi="ar"/>
        </w:rPr>
        <w:br w:type="page"/>
      </w:r>
      <w:r>
        <w:rPr>
          <w:rFonts w:hint="default" w:ascii="仿宋_GB2312" w:hAnsi="宋体" w:eastAsia="仿宋_GB2312" w:cs="仿宋_GB2312"/>
          <w:b/>
          <w:kern w:val="2"/>
          <w:sz w:val="32"/>
          <w:szCs w:val="32"/>
          <w:lang w:val="en-US" w:eastAsia="zh-CN" w:bidi="ar"/>
        </w:rPr>
        <w:t>第一部分 部门基本情况</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一、部门职责</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eastAsia" w:ascii="仿宋" w:hAnsi="仿宋" w:eastAsia="仿宋" w:cs="仿宋"/>
          <w:kern w:val="0"/>
          <w:sz w:val="32"/>
          <w:szCs w:val="32"/>
          <w:lang w:val="en-US" w:eastAsia="zh-CN" w:bidi="ar"/>
        </w:rPr>
        <w:t>伊金霍洛旗人力资源和社会保障局是政府主管社会行政事务的职能部门，贯彻执行国家有关人事劳动和社会保障工作的方针、政策、法律、法规；制定全旗人事劳动和社会保障事业发展规划和年度工作计划，并负责组织实施。</w:t>
      </w:r>
      <w:r>
        <w:rPr>
          <w:rFonts w:hint="default" w:ascii="仿宋_GB2312" w:hAnsi="宋体" w:eastAsia="仿宋_GB2312" w:cs="仿宋_GB2312"/>
          <w:kern w:val="2"/>
          <w:sz w:val="32"/>
          <w:szCs w:val="32"/>
          <w:lang w:val="en-US" w:eastAsia="zh-CN" w:bidi="ar"/>
        </w:rPr>
        <w:t>二、机构设置</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hAnsi="宋体" w:eastAsia="仿宋_GB2312" w:cs="仿宋_GB2312"/>
          <w:color w:val="000000"/>
          <w:kern w:val="2"/>
          <w:sz w:val="32"/>
          <w:szCs w:val="32"/>
        </w:rPr>
      </w:pPr>
      <w:r>
        <w:rPr>
          <w:rFonts w:hint="default" w:ascii="仿宋_GB2312" w:hAnsi="宋体" w:eastAsia="仿宋_GB2312" w:cs="仿宋_GB2312"/>
          <w:color w:val="000000"/>
          <w:kern w:val="2"/>
          <w:sz w:val="32"/>
          <w:szCs w:val="32"/>
          <w:lang w:val="en-US" w:eastAsia="zh-CN" w:bidi="ar"/>
        </w:rPr>
        <w:t>从预算单位构成看，鄂尔多斯市伊金霍洛旗人力资源和社会保障局部门决算包括：局本级决算</w:t>
      </w:r>
    </w:p>
    <w:p>
      <w:pPr>
        <w:keepNext w:val="0"/>
        <w:keepLines w:val="0"/>
        <w:widowControl/>
        <w:numPr>
          <w:ilvl w:val="0"/>
          <w:numId w:val="1"/>
        </w:numPr>
        <w:suppressLineNumbers w:val="0"/>
        <w:shd w:val="clear" w:fill="FFFFFF"/>
        <w:snapToGrid w:val="0"/>
        <w:spacing w:before="0" w:beforeAutospacing="0" w:after="0" w:afterAutospacing="0" w:line="580" w:lineRule="atLeast"/>
        <w:ind w:left="0" w:right="0"/>
        <w:jc w:val="left"/>
        <w:rPr>
          <w:rFonts w:hint="default" w:ascii="仿宋_GB2312" w:hAnsi="宋体" w:eastAsia="仿宋_GB2312" w:cs="仿宋_GB2312"/>
          <w:color w:val="000000"/>
          <w:kern w:val="2"/>
          <w:sz w:val="32"/>
          <w:szCs w:val="32"/>
          <w:shd w:val="clear" w:fill="FFFFFF"/>
        </w:rPr>
      </w:pPr>
      <w:r>
        <w:rPr>
          <w:rFonts w:hint="default" w:ascii="仿宋_GB2312" w:hAnsi="宋体" w:eastAsia="仿宋_GB2312" w:cs="仿宋_GB2312"/>
          <w:color w:val="000000"/>
          <w:kern w:val="2"/>
          <w:sz w:val="32"/>
          <w:szCs w:val="32"/>
          <w:shd w:val="clear" w:fill="FFFFFF"/>
          <w:lang w:val="en-US" w:eastAsia="zh-CN" w:bidi="ar"/>
        </w:rPr>
        <w:t>鄂尔多斯市伊金霍洛旗人力资源和社会保障局属单位设置及人员情况：</w:t>
      </w:r>
    </w:p>
    <w:p>
      <w:pPr>
        <w:keepNext w:val="0"/>
        <w:keepLines w:val="0"/>
        <w:widowControl/>
        <w:suppressLineNumbers w:val="0"/>
        <w:shd w:val="clear" w:fill="FFFFFF"/>
        <w:snapToGrid w:val="0"/>
        <w:spacing w:before="0" w:beforeAutospacing="0" w:after="0" w:afterAutospacing="0" w:line="580" w:lineRule="atLeast"/>
        <w:ind w:left="0" w:right="0" w:firstLine="640" w:firstLineChars="200"/>
        <w:jc w:val="left"/>
        <w:rPr>
          <w:rFonts w:hint="eastAsia" w:ascii="仿宋" w:hAnsi="仿宋" w:eastAsia="仿宋" w:cs="宋体"/>
          <w:color w:val="000000"/>
          <w:kern w:val="0"/>
          <w:sz w:val="32"/>
          <w:szCs w:val="32"/>
          <w:shd w:val="clear" w:fill="FFFFFF"/>
        </w:rPr>
      </w:pPr>
      <w:r>
        <w:rPr>
          <w:rFonts w:hint="default" w:ascii="仿宋_GB2312" w:hAnsi="宋体" w:eastAsia="仿宋_GB2312" w:cs="仿宋_GB2312"/>
          <w:color w:val="000000"/>
          <w:kern w:val="2"/>
          <w:sz w:val="32"/>
          <w:szCs w:val="32"/>
          <w:shd w:val="clear" w:fill="FFFFFF"/>
          <w:lang w:val="en-US" w:eastAsia="zh-CN" w:bidi="ar"/>
        </w:rPr>
        <w:t>鄂尔多斯市伊金霍洛旗人力资源和社会保障局</w:t>
      </w:r>
      <w:r>
        <w:rPr>
          <w:rFonts w:hint="eastAsia" w:ascii="仿宋" w:hAnsi="仿宋" w:eastAsia="仿宋" w:cs="仿宋"/>
          <w:color w:val="000000"/>
          <w:kern w:val="0"/>
          <w:sz w:val="32"/>
          <w:szCs w:val="32"/>
          <w:shd w:val="clear" w:fill="FFFFFF"/>
          <w:lang w:val="en-US" w:eastAsia="zh-CN" w:bidi="ar"/>
        </w:rPr>
        <w:t>共设十个内设机构，分别为：办公室、公务员管理办、工资福利股、职业技能鉴定办、职称股、劳动监察大队、劳动人事争议仲裁院、人才交流信息网络中心、人才股、档案管理中心。年末行政人员</w:t>
      </w:r>
      <w:r>
        <w:rPr>
          <w:rFonts w:hint="eastAsia" w:ascii="仿宋" w:hAnsi="仿宋" w:eastAsia="仿宋" w:cs="宋体"/>
          <w:color w:val="000000"/>
          <w:kern w:val="0"/>
          <w:sz w:val="32"/>
          <w:szCs w:val="32"/>
          <w:shd w:val="clear" w:fill="FFFFFF"/>
          <w:lang w:val="en-US" w:eastAsia="zh-CN" w:bidi="ar"/>
        </w:rPr>
        <w:t>28人，事业人员42人，其他人员10人，共计80人。</w:t>
      </w:r>
    </w:p>
    <w:p>
      <w:pPr>
        <w:keepNext w:val="0"/>
        <w:keepLines w:val="0"/>
        <w:widowControl/>
        <w:suppressLineNumbers w:val="0"/>
        <w:snapToGrid w:val="0"/>
        <w:spacing w:before="0" w:beforeLines="0" w:beforeAutospacing="0" w:after="0" w:afterLines="0" w:afterAutospacing="0" w:line="580" w:lineRule="exact"/>
        <w:ind w:left="0" w:right="0"/>
        <w:jc w:val="left"/>
        <w:rPr>
          <w:rFonts w:hint="default" w:ascii="仿宋_GB2312" w:hAnsi="宋体" w:eastAsia="仿宋_GB2312" w:cs="仿宋_GB2312"/>
          <w:color w:val="000000"/>
          <w:kern w:val="2"/>
          <w:sz w:val="32"/>
          <w:szCs w:val="32"/>
        </w:rPr>
      </w:pPr>
      <w:r>
        <w:rPr>
          <w:rFonts w:hint="eastAsia" w:ascii="宋体" w:hAnsi="宋体" w:eastAsia="宋体" w:cs="宋体"/>
          <w:color w:val="000000"/>
          <w:kern w:val="2"/>
          <w:sz w:val="32"/>
          <w:szCs w:val="32"/>
          <w:lang w:val="en-US" w:eastAsia="zh-CN" w:bidi="ar"/>
        </w:rPr>
        <w:t>2.</w:t>
      </w:r>
      <w:r>
        <w:rPr>
          <w:rFonts w:hint="default" w:ascii="仿宋_GB2312" w:hAnsi="宋体" w:eastAsia="仿宋_GB2312" w:cs="仿宋_GB2312"/>
          <w:color w:val="000000"/>
          <w:kern w:val="2"/>
          <w:sz w:val="32"/>
          <w:szCs w:val="32"/>
          <w:lang w:val="en-US" w:eastAsia="zh-CN" w:bidi="ar"/>
        </w:rPr>
        <w:t>纳入2020年部门决算编制范围的二级预算单位情况：无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tLeast"/>
        <w:ind w:left="0" w:right="0"/>
        <w:jc w:val="left"/>
        <w:rPr>
          <w:rFonts w:hint="eastAsia" w:ascii="仿宋" w:hAnsi="仿宋" w:eastAsia="仿宋" w:cs="仿宋"/>
          <w:kern w:val="0"/>
          <w:sz w:val="32"/>
          <w:szCs w:val="32"/>
        </w:rPr>
      </w:pPr>
      <w:r>
        <w:rPr>
          <w:rFonts w:hint="default" w:ascii="仿宋_GB2312" w:hAnsi="宋体" w:eastAsia="仿宋_GB2312" w:cs="仿宋_GB2312"/>
          <w:color w:val="FF0000"/>
          <w:kern w:val="2"/>
          <w:sz w:val="32"/>
          <w:szCs w:val="32"/>
          <w:lang w:val="en-US" w:eastAsia="zh-CN" w:bidi="ar"/>
        </w:rPr>
        <w:t xml:space="preserve"> </w:t>
      </w:r>
      <w:r>
        <w:rPr>
          <w:rFonts w:hint="eastAsia" w:ascii="仿宋" w:hAnsi="仿宋" w:eastAsia="仿宋" w:cs="仿宋"/>
          <w:i w:val="0"/>
          <w:caps w:val="0"/>
          <w:color w:val="333333"/>
          <w:spacing w:val="0"/>
          <w:kern w:val="0"/>
          <w:sz w:val="32"/>
          <w:szCs w:val="32"/>
          <w:shd w:val="clear" w:fill="FFFFFF"/>
          <w:lang w:val="en-US" w:eastAsia="zh-CN" w:bidi="ar"/>
        </w:rPr>
        <w:t>单位情况表</w:t>
      </w:r>
    </w:p>
    <w:tbl>
      <w:tblPr>
        <w:tblStyle w:val="3"/>
        <w:tblW w:w="0" w:type="auto"/>
        <w:tblInd w:w="108" w:type="dxa"/>
        <w:shd w:val="clear" w:color="auto" w:fill="auto"/>
        <w:tblLayout w:type="autofit"/>
        <w:tblCellMar>
          <w:top w:w="0" w:type="dxa"/>
          <w:left w:w="0" w:type="dxa"/>
          <w:bottom w:w="0" w:type="dxa"/>
          <w:right w:w="0" w:type="dxa"/>
        </w:tblCellMar>
      </w:tblPr>
      <w:tblGrid>
        <w:gridCol w:w="1328"/>
        <w:gridCol w:w="2741"/>
        <w:gridCol w:w="3409"/>
      </w:tblGrid>
      <w:tr>
        <w:tblPrEx>
          <w:shd w:val="clear" w:color="auto" w:fill="auto"/>
          <w:tblCellMar>
            <w:top w:w="0" w:type="dxa"/>
            <w:left w:w="0" w:type="dxa"/>
            <w:bottom w:w="0" w:type="dxa"/>
            <w:right w:w="0" w:type="dxa"/>
          </w:tblCellMar>
        </w:tblPrEx>
        <w:tc>
          <w:tcPr>
            <w:tcW w:w="1328"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序号</w:t>
            </w:r>
          </w:p>
        </w:tc>
        <w:tc>
          <w:tcPr>
            <w:tcW w:w="2741"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单位名称</w:t>
            </w:r>
          </w:p>
        </w:tc>
        <w:tc>
          <w:tcPr>
            <w:tcW w:w="3409"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单位性质</w:t>
            </w:r>
          </w:p>
        </w:tc>
      </w:tr>
      <w:tr>
        <w:tblPrEx>
          <w:tblCellMar>
            <w:top w:w="0" w:type="dxa"/>
            <w:left w:w="0" w:type="dxa"/>
            <w:bottom w:w="0" w:type="dxa"/>
            <w:right w:w="0" w:type="dxa"/>
          </w:tblCellMar>
        </w:tblPrEx>
        <w:tc>
          <w:tcPr>
            <w:tcW w:w="1328"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1</w:t>
            </w:r>
          </w:p>
        </w:tc>
        <w:tc>
          <w:tcPr>
            <w:tcW w:w="2741"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p>
        </w:tc>
        <w:tc>
          <w:tcPr>
            <w:tcW w:w="3409"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p>
        </w:tc>
      </w:tr>
      <w:tr>
        <w:tblPrEx>
          <w:tblCellMar>
            <w:top w:w="0" w:type="dxa"/>
            <w:left w:w="0" w:type="dxa"/>
            <w:bottom w:w="0" w:type="dxa"/>
            <w:right w:w="0" w:type="dxa"/>
          </w:tblCellMar>
        </w:tblPrEx>
        <w:tc>
          <w:tcPr>
            <w:tcW w:w="1328"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2</w:t>
            </w:r>
          </w:p>
        </w:tc>
        <w:tc>
          <w:tcPr>
            <w:tcW w:w="2741"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p>
        </w:tc>
        <w:tc>
          <w:tcPr>
            <w:tcW w:w="3409"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p>
        </w:tc>
      </w:tr>
      <w:tr>
        <w:tblPrEx>
          <w:tblCellMar>
            <w:top w:w="0" w:type="dxa"/>
            <w:left w:w="0" w:type="dxa"/>
            <w:bottom w:w="0" w:type="dxa"/>
            <w:right w:w="0" w:type="dxa"/>
          </w:tblCellMar>
        </w:tblPrEx>
        <w:tc>
          <w:tcPr>
            <w:tcW w:w="1328" w:type="dxa"/>
            <w:tcBorders>
              <w:top w:val="nil"/>
              <w:left w:val="nil"/>
              <w:bottom w:val="nil"/>
              <w:right w:val="nil"/>
            </w:tcBorders>
            <w:shd w:val="clear" w:color="auto" w:fill="auto"/>
            <w:vAlign w:val="center"/>
          </w:tcPr>
          <w:p>
            <w:pPr>
              <w:pStyle w:val="2"/>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3</w:t>
            </w:r>
          </w:p>
        </w:tc>
        <w:tc>
          <w:tcPr>
            <w:tcW w:w="274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w:t>
            </w:r>
          </w:p>
        </w:tc>
        <w:tc>
          <w:tcPr>
            <w:tcW w:w="3409"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w:t>
            </w:r>
          </w:p>
        </w:tc>
      </w:tr>
    </w:tbl>
    <w:p>
      <w:pPr>
        <w:keepNext w:val="0"/>
        <w:keepLines w:val="0"/>
        <w:widowControl/>
        <w:suppressLineNumbers w:val="0"/>
        <w:snapToGrid w:val="0"/>
        <w:spacing w:before="0" w:beforeLines="0" w:beforeAutospacing="0" w:after="0" w:afterLines="0" w:afterAutospacing="0" w:line="580" w:lineRule="exact"/>
        <w:ind w:left="0" w:right="0"/>
        <w:jc w:val="left"/>
        <w:rPr>
          <w:rFonts w:hint="default" w:ascii="仿宋_GB2312" w:hAnsi="宋体" w:eastAsia="仿宋_GB2312" w:cs="仿宋_GB2312"/>
          <w:color w:val="FF0000"/>
          <w:kern w:val="2"/>
          <w:sz w:val="32"/>
          <w:szCs w:val="32"/>
        </w:rPr>
      </w:pPr>
      <w:r>
        <w:rPr>
          <w:rFonts w:hint="default" w:ascii="仿宋_GB2312" w:hAnsi="宋体" w:eastAsia="仿宋_GB2312" w:cs="仿宋_GB2312"/>
          <w:color w:val="FF0000"/>
          <w:kern w:val="2"/>
          <w:sz w:val="32"/>
          <w:szCs w:val="32"/>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b/>
          <w:kern w:val="2"/>
          <w:sz w:val="32"/>
          <w:szCs w:val="32"/>
        </w:rPr>
      </w:pPr>
      <w:r>
        <w:rPr>
          <w:rFonts w:hint="default" w:ascii="仿宋_GB2312" w:hAnsi="宋体" w:eastAsia="仿宋_GB2312" w:cs="仿宋_GB2312"/>
          <w:b/>
          <w:kern w:val="2"/>
          <w:sz w:val="32"/>
          <w:szCs w:val="32"/>
          <w:lang w:val="en-US" w:eastAsia="zh-CN" w:bidi="ar"/>
        </w:rPr>
        <w:t>第二部分 2019年度部门决算情况说明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一、关于2019年度预算执行情况分析</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仿宋_GB2312" w:eastAsia="仿宋_GB2312" w:cs="宋体"/>
          <w:kern w:val="0"/>
          <w:sz w:val="32"/>
          <w:szCs w:val="32"/>
        </w:rPr>
      </w:pPr>
      <w:r>
        <w:rPr>
          <w:rFonts w:hint="default" w:ascii="仿宋_GB2312" w:hAnsi="宋体" w:eastAsia="仿宋_GB2312" w:cs="仿宋_GB2312"/>
          <w:kern w:val="0"/>
          <w:sz w:val="32"/>
          <w:szCs w:val="32"/>
          <w:lang w:val="en-US" w:eastAsia="zh-CN" w:bidi="ar"/>
        </w:rPr>
        <w:t>本部门</w:t>
      </w:r>
      <w:r>
        <w:rPr>
          <w:rFonts w:hint="default" w:ascii="仿宋_GB2312" w:hAnsi="宋体" w:eastAsia="仿宋_GB2312" w:cs="宋体"/>
          <w:kern w:val="0"/>
          <w:sz w:val="32"/>
          <w:szCs w:val="32"/>
          <w:lang w:val="en-US" w:eastAsia="zh-CN" w:bidi="ar"/>
        </w:rPr>
        <w:t>2019年度的综合收支、财政拨款收支与年初预算数一致，无增减变化</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FF0000"/>
          <w:kern w:val="2"/>
          <w:sz w:val="32"/>
          <w:szCs w:val="32"/>
        </w:rPr>
      </w:pPr>
      <w:r>
        <w:rPr>
          <w:rFonts w:hint="default" w:ascii="Times New Roman" w:hAnsi="Times New Roman" w:eastAsia="宋体" w:cs="Times New Roman"/>
          <w:color w:val="FF0000"/>
          <w:kern w:val="2"/>
          <w:sz w:val="32"/>
          <w:szCs w:val="32"/>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二、关于2019年度决算情况说明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eastAsia" w:ascii="楷体" w:hAnsi="楷体" w:eastAsia="楷体" w:cs="楷体"/>
          <w:kern w:val="2"/>
          <w:sz w:val="32"/>
          <w:szCs w:val="32"/>
          <w:lang w:val="en-US" w:eastAsia="zh-CN" w:bidi="ar"/>
        </w:rPr>
        <w:t>（一）关于收支情况总体说明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eastAsia" w:ascii="仿宋" w:hAnsi="仿宋" w:eastAsia="仿宋" w:cs="仿宋"/>
          <w:color w:val="000000"/>
          <w:kern w:val="0"/>
          <w:sz w:val="30"/>
          <w:szCs w:val="30"/>
        </w:rPr>
      </w:pPr>
      <w:r>
        <w:rPr>
          <w:rFonts w:hint="default" w:ascii="仿宋_GB2312" w:hAnsi="宋体" w:eastAsia="仿宋_GB2312" w:cs="仿宋_GB2312"/>
          <w:color w:val="000000"/>
          <w:kern w:val="2"/>
          <w:sz w:val="32"/>
          <w:szCs w:val="32"/>
          <w:lang w:val="en-US" w:eastAsia="zh-CN" w:bidi="ar"/>
        </w:rPr>
        <w:t>本部门2019年度收入总计2,228.17万元，其中：本年收入合计1,979.59万元，用事业基金弥补收支差额0.00万元，年初结转和结余248.59万元；支出总计2,228.17万元，其中：结余分配0.00万元，年末结转和结余286.40万元。与2018年度相比，收入总计减少466.41万元，下降17.30%；支出总计减少466.41万元，17.30%。主要原因：</w:t>
      </w:r>
      <w:r>
        <w:rPr>
          <w:rFonts w:hint="eastAsia" w:ascii="仿宋" w:hAnsi="仿宋" w:eastAsia="仿宋" w:cs="仿宋"/>
          <w:color w:val="000000"/>
          <w:kern w:val="0"/>
          <w:sz w:val="30"/>
          <w:szCs w:val="30"/>
          <w:lang w:val="en-US" w:eastAsia="zh-CN" w:bidi="ar"/>
        </w:rPr>
        <w:t>本年度大学生创业园部分管理工作我单位已经不在承担，收入相对减少</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eastAsia" w:ascii="楷体" w:hAnsi="楷体" w:eastAsia="楷体" w:cs="楷体"/>
          <w:color w:val="000000"/>
          <w:kern w:val="2"/>
          <w:sz w:val="32"/>
          <w:szCs w:val="32"/>
          <w:lang w:val="en-US" w:eastAsia="zh-CN" w:bidi="ar"/>
        </w:rPr>
        <w:t>（二）关于2019年度收入决算情况说明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hAnsi="宋体" w:eastAsia="仿宋_GB2312" w:cs="仿宋_GB2312"/>
          <w:color w:val="000000"/>
          <w:kern w:val="2"/>
          <w:sz w:val="32"/>
          <w:szCs w:val="32"/>
        </w:rPr>
      </w:pPr>
      <w:r>
        <w:rPr>
          <w:rFonts w:hint="default" w:ascii="仿宋_GB2312" w:hAnsi="宋体" w:eastAsia="仿宋_GB2312" w:cs="仿宋_GB2312"/>
          <w:color w:val="000000"/>
          <w:kern w:val="2"/>
          <w:sz w:val="32"/>
          <w:szCs w:val="32"/>
          <w:lang w:val="en-US" w:eastAsia="zh-CN" w:bidi="ar"/>
        </w:rPr>
        <w:t>本部门2019年度收入合计1,979.59万元，其中：财政拨款收入1,918.72万元，占96.90%；事业收入0.00万元，占0.00%；经营收入0.00万元，占0.00%；其他收入60.87万元，占3.10%。</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eastAsia" w:ascii="楷体" w:hAnsi="楷体" w:eastAsia="楷体" w:cs="楷体"/>
          <w:color w:val="000000"/>
          <w:kern w:val="2"/>
          <w:sz w:val="32"/>
          <w:szCs w:val="32"/>
          <w:lang w:val="en-US" w:eastAsia="zh-CN" w:bidi="ar"/>
        </w:rPr>
        <w:t>（三）关于2019年度支出决算情况说明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hAnsi="宋体" w:eastAsia="仿宋_GB2312" w:cs="仿宋_GB2312"/>
          <w:color w:val="000000"/>
          <w:kern w:val="2"/>
          <w:sz w:val="32"/>
          <w:szCs w:val="32"/>
        </w:rPr>
      </w:pPr>
      <w:r>
        <w:rPr>
          <w:rFonts w:hint="default" w:ascii="仿宋_GB2312" w:hAnsi="宋体" w:eastAsia="仿宋_GB2312" w:cs="仿宋_GB2312"/>
          <w:color w:val="000000"/>
          <w:kern w:val="2"/>
          <w:sz w:val="32"/>
          <w:szCs w:val="32"/>
          <w:lang w:val="en-US" w:eastAsia="zh-CN" w:bidi="ar"/>
        </w:rPr>
        <w:t>本部门2019年度支出合计1,941.77万元，其中：基本支出979.03万元，占50.40%；项目支出962.74万元，占49.60%；经营支出0.00万元，占0.00%。</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eastAsia" w:ascii="楷体" w:hAnsi="楷体" w:eastAsia="楷体" w:cs="楷体"/>
          <w:kern w:val="2"/>
          <w:sz w:val="32"/>
          <w:szCs w:val="32"/>
          <w:lang w:val="en-US" w:eastAsia="zh-CN" w:bidi="ar"/>
        </w:rPr>
        <w:t>（四）关于2019年度财政拨款收入支出决算总体情况说明</w:t>
      </w:r>
    </w:p>
    <w:p>
      <w:pPr>
        <w:keepNext w:val="0"/>
        <w:keepLines w:val="0"/>
        <w:widowControl/>
        <w:suppressLineNumbers w:val="0"/>
        <w:snapToGrid w:val="0"/>
        <w:spacing w:before="0" w:beforeAutospacing="0" w:after="0" w:afterAutospacing="0" w:line="520" w:lineRule="exact"/>
        <w:ind w:left="0" w:right="0" w:firstLine="640" w:firstLineChars="200"/>
        <w:jc w:val="left"/>
        <w:rPr>
          <w:rFonts w:hint="eastAsia" w:ascii="仿宋" w:hAnsi="仿宋" w:eastAsia="仿宋" w:cs="仿宋"/>
          <w:b/>
          <w:color w:val="000000"/>
          <w:kern w:val="0"/>
          <w:sz w:val="30"/>
          <w:szCs w:val="30"/>
        </w:rPr>
      </w:pPr>
      <w:r>
        <w:rPr>
          <w:rFonts w:hint="default" w:ascii="仿宋_GB2312" w:hAnsi="宋体" w:eastAsia="仿宋_GB2312" w:cs="仿宋_GB2312"/>
          <w:color w:val="000000"/>
          <w:kern w:val="2"/>
          <w:sz w:val="32"/>
          <w:szCs w:val="32"/>
          <w:lang w:val="en-US" w:eastAsia="zh-CN" w:bidi="ar"/>
        </w:rPr>
        <w:t>本部门2019年度财政拨款收入总计2,074.64万元，其中：年初结转和结余155.92万元；支出总计2,074.64万元，其中：年末结转和结余214.21万元。与2018年度相比，收入减少493.27万元，下降19.20%；支出减少493.27万元，下降19.20%。主要原因：</w:t>
      </w:r>
      <w:r>
        <w:rPr>
          <w:rFonts w:hint="eastAsia" w:ascii="仿宋" w:hAnsi="仿宋" w:eastAsia="仿宋" w:cs="仿宋"/>
          <w:color w:val="000000"/>
          <w:kern w:val="0"/>
          <w:sz w:val="30"/>
          <w:szCs w:val="30"/>
          <w:lang w:val="en-US" w:eastAsia="zh-CN" w:bidi="ar"/>
        </w:rPr>
        <w:t>根据要求，本年度大学生创业园部分管理工作我单位已经不在承担，支出相对减少.</w:t>
      </w:r>
    </w:p>
    <w:p>
      <w:pPr>
        <w:keepNext w:val="0"/>
        <w:keepLines w:val="0"/>
        <w:widowControl/>
        <w:suppressLineNumbers w:val="0"/>
        <w:snapToGrid w:val="0"/>
        <w:spacing w:before="0" w:beforeLines="0" w:beforeAutospacing="0" w:after="0" w:afterLines="0" w:afterAutospacing="0" w:line="580" w:lineRule="exact"/>
        <w:ind w:left="0" w:right="0" w:firstLine="640" w:firstLineChars="200"/>
        <w:jc w:val="left"/>
        <w:rPr>
          <w:rFonts w:hint="default" w:ascii="Times New Roman" w:hAnsi="Times New Roman" w:eastAsia="宋体" w:cs="Times New Roman"/>
          <w:color w:val="000000"/>
          <w:kern w:val="2"/>
          <w:sz w:val="32"/>
          <w:szCs w:val="32"/>
        </w:rPr>
      </w:pPr>
      <w:r>
        <w:rPr>
          <w:rFonts w:hint="eastAsia" w:ascii="楷体" w:hAnsi="楷体" w:eastAsia="楷体" w:cs="楷体"/>
          <w:color w:val="000000"/>
          <w:kern w:val="2"/>
          <w:sz w:val="32"/>
          <w:szCs w:val="32"/>
          <w:lang w:val="en-US" w:eastAsia="zh-CN" w:bidi="ar"/>
        </w:rPr>
        <w:t>（五）关于2019年度一般公共预算财政拨款支出决算情况说明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仿宋_GB2312" w:hAnsi="宋体" w:eastAsia="仿宋_GB2312" w:cs="仿宋_GB2312"/>
          <w:color w:val="000000"/>
          <w:kern w:val="2"/>
          <w:sz w:val="32"/>
          <w:szCs w:val="32"/>
          <w:lang w:val="en-US" w:eastAsia="zh-CN" w:bidi="ar"/>
        </w:rPr>
        <w:t>本部门2019年度一般公共预算财政拨款支出合计1,860.43万元，其中：基本支出972.12万元，占52.30%；项目支出888.31万元，占47.70%。</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eastAsia" w:ascii="楷体" w:hAnsi="楷体" w:eastAsia="楷体" w:cs="楷体"/>
          <w:color w:val="000000"/>
          <w:kern w:val="2"/>
          <w:sz w:val="32"/>
          <w:szCs w:val="32"/>
          <w:lang w:val="en-US" w:eastAsia="zh-CN" w:bidi="ar"/>
        </w:rPr>
        <w:t>（六）关于2019年度一般公共预算财政拨款基本支出决算情况说明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仿宋_GB2312" w:hAnsi="宋体" w:eastAsia="仿宋_GB2312" w:cs="仿宋_GB2312"/>
          <w:color w:val="000000"/>
          <w:kern w:val="2"/>
          <w:sz w:val="32"/>
          <w:szCs w:val="32"/>
          <w:lang w:val="en-US" w:eastAsia="zh-CN" w:bidi="ar"/>
        </w:rPr>
        <w:t>本部门2019年度一般公共预算财政拨款基本支出972.12万元，其中：人员经费813.99万元，</w:t>
      </w:r>
      <w:r>
        <w:rPr>
          <w:rFonts w:hint="default" w:ascii="仿宋_GB2312" w:hAnsi="宋体" w:eastAsia="仿宋_GB2312" w:cs="仿宋_GB2312"/>
          <w:color w:val="000000"/>
          <w:kern w:val="0"/>
          <w:sz w:val="32"/>
          <w:szCs w:val="32"/>
          <w:lang w:val="en-US" w:eastAsia="zh-CN" w:bidi="ar"/>
        </w:rPr>
        <w:t xml:space="preserve">主要包括： 基本工资240.86万元、津贴补贴283.26万元、奖金11.37万元、绩效工资85.4万元，其他工资福利支出117.35万元，其他社会保障缴费支出3.84万元，住房公积金68.72万元，其他对个人和家庭的补助支出3.19万元。 </w:t>
      </w:r>
      <w:r>
        <w:rPr>
          <w:rFonts w:hint="default" w:ascii="仿宋_GB2312" w:hAnsi="宋体" w:eastAsia="仿宋_GB2312" w:cs="仿宋_GB2312"/>
          <w:color w:val="000000"/>
          <w:kern w:val="2"/>
          <w:sz w:val="32"/>
          <w:szCs w:val="32"/>
          <w:lang w:val="en-US" w:eastAsia="zh-CN" w:bidi="ar"/>
        </w:rPr>
        <w:t>较上年增加62.31万元，主要原因是：</w:t>
      </w:r>
      <w:r>
        <w:rPr>
          <w:rFonts w:hint="default" w:ascii="仿宋_GB2312" w:hAnsi="宋体" w:eastAsia="仿宋_GB2312" w:cs="仿宋_GB2312"/>
          <w:color w:val="000000"/>
          <w:kern w:val="0"/>
          <w:sz w:val="32"/>
          <w:szCs w:val="32"/>
          <w:lang w:val="en-US" w:eastAsia="zh-CN" w:bidi="ar"/>
        </w:rPr>
        <w:t>1、 本单位新调入1名工作人员造成人员经费增加</w:t>
      </w:r>
      <w:r>
        <w:rPr>
          <w:rFonts w:hint="default" w:ascii="仿宋_GB2312" w:hAnsi="宋体" w:eastAsia="仿宋_GB2312" w:cs="仿宋_GB2312"/>
          <w:color w:val="000000"/>
          <w:kern w:val="2"/>
          <w:sz w:val="32"/>
          <w:szCs w:val="32"/>
          <w:lang w:val="en-US" w:eastAsia="zh-CN" w:bidi="ar"/>
        </w:rPr>
        <w:t>；</w:t>
      </w:r>
      <w:r>
        <w:rPr>
          <w:rFonts w:hint="default" w:ascii="仿宋_GB2312" w:hAnsi="宋体" w:eastAsia="仿宋_GB2312" w:cs="仿宋_GB2312"/>
          <w:color w:val="000000"/>
          <w:kern w:val="0"/>
          <w:sz w:val="32"/>
          <w:szCs w:val="32"/>
          <w:lang w:val="en-US" w:eastAsia="zh-CN" w:bidi="ar"/>
        </w:rPr>
        <w:t>2、三支一扶人员、政府购买人员的新增；</w:t>
      </w:r>
      <w:r>
        <w:rPr>
          <w:rFonts w:hint="default" w:ascii="仿宋_GB2312" w:hAnsi="宋体" w:eastAsia="仿宋_GB2312" w:cs="仿宋_GB2312"/>
          <w:color w:val="000000"/>
          <w:kern w:val="2"/>
          <w:sz w:val="32"/>
          <w:szCs w:val="32"/>
          <w:lang w:val="en-US" w:eastAsia="zh-CN" w:bidi="ar"/>
        </w:rPr>
        <w:t>公用经费158.13万元，</w:t>
      </w:r>
      <w:r>
        <w:rPr>
          <w:rFonts w:hint="default" w:ascii="仿宋_GB2312" w:hAnsi="宋体" w:eastAsia="仿宋_GB2312" w:cs="仿宋_GB2312"/>
          <w:color w:val="000000"/>
          <w:kern w:val="0"/>
          <w:sz w:val="32"/>
          <w:szCs w:val="32"/>
          <w:lang w:val="en-US" w:eastAsia="zh-CN" w:bidi="ar"/>
        </w:rPr>
        <w:t xml:space="preserve">主要包括：办公费、印刷费、电费、邮电费、取暖费、差旅费、维修费、培训费、公务接待费、劳务费、工会经费、公务用车运行维护费、其他交通费用等，较上年减少 70.44万元，主要原因是： 厉行节约节俭，严格控制公用经费的支出。   </w:t>
      </w:r>
      <w:r>
        <w:rPr>
          <w:rFonts w:hint="eastAsia" w:ascii="楷体" w:hAnsi="楷体" w:eastAsia="楷体" w:cs="楷体"/>
          <w:color w:val="000000"/>
          <w:kern w:val="2"/>
          <w:sz w:val="32"/>
          <w:szCs w:val="32"/>
          <w:lang w:val="en-US" w:eastAsia="zh-CN" w:bidi="ar"/>
        </w:rPr>
        <w:t>（七）关于2019年度财政拨款</w:t>
      </w:r>
      <w:r>
        <w:rPr>
          <w:rFonts w:hint="default" w:ascii="Times New Roman" w:hAnsi="Times New Roman" w:eastAsia="宋体" w:cs="Times New Roman"/>
          <w:color w:val="000000"/>
          <w:kern w:val="2"/>
          <w:sz w:val="32"/>
          <w:szCs w:val="32"/>
          <w:lang w:val="en-US" w:eastAsia="zh-CN" w:bidi="ar"/>
        </w:rPr>
        <w:t>“</w:t>
      </w:r>
      <w:r>
        <w:rPr>
          <w:rFonts w:hint="eastAsia" w:ascii="楷体" w:hAnsi="楷体" w:eastAsia="楷体" w:cs="楷体"/>
          <w:color w:val="000000"/>
          <w:kern w:val="2"/>
          <w:sz w:val="32"/>
          <w:szCs w:val="32"/>
          <w:lang w:val="en-US" w:eastAsia="zh-CN" w:bidi="ar"/>
        </w:rPr>
        <w:t>三公</w:t>
      </w:r>
      <w:r>
        <w:rPr>
          <w:rFonts w:hint="default" w:ascii="Times New Roman" w:hAnsi="Times New Roman" w:eastAsia="宋体" w:cs="Times New Roman"/>
          <w:color w:val="000000"/>
          <w:kern w:val="2"/>
          <w:sz w:val="32"/>
          <w:szCs w:val="32"/>
          <w:lang w:val="en-US" w:eastAsia="zh-CN" w:bidi="ar"/>
        </w:rPr>
        <w:t>”</w:t>
      </w:r>
      <w:r>
        <w:rPr>
          <w:rFonts w:hint="eastAsia" w:ascii="楷体" w:hAnsi="楷体" w:eastAsia="楷体" w:cs="楷体"/>
          <w:color w:val="000000"/>
          <w:kern w:val="2"/>
          <w:sz w:val="32"/>
          <w:szCs w:val="32"/>
          <w:lang w:val="en-US" w:eastAsia="zh-CN" w:bidi="ar"/>
        </w:rPr>
        <w:t>经费支出决算情况说明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仿宋_GB2312" w:hAnsi="宋体" w:eastAsia="仿宋_GB2312" w:cs="仿宋_GB2312"/>
          <w:color w:val="000000"/>
          <w:kern w:val="2"/>
          <w:sz w:val="32"/>
          <w:szCs w:val="32"/>
          <w:lang w:val="en-US" w:eastAsia="zh-CN" w:bidi="ar"/>
        </w:rPr>
        <w:t>1、财政拨款</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三公</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经费支出决算总体情况说明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hAnsi="宋体" w:eastAsia="仿宋_GB2312" w:cs="仿宋_GB2312"/>
          <w:color w:val="000000"/>
          <w:kern w:val="2"/>
          <w:sz w:val="32"/>
          <w:szCs w:val="32"/>
        </w:rPr>
      </w:pPr>
      <w:r>
        <w:rPr>
          <w:rFonts w:hint="default" w:ascii="仿宋_GB2312" w:hAnsi="宋体" w:eastAsia="仿宋_GB2312" w:cs="仿宋_GB2312"/>
          <w:color w:val="000000"/>
          <w:kern w:val="2"/>
          <w:sz w:val="32"/>
          <w:szCs w:val="32"/>
          <w:lang w:val="en-US" w:eastAsia="zh-CN" w:bidi="ar"/>
        </w:rPr>
        <w:t>本部门2019年度财政拨款</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三公</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经费预算为8.76万元，支出决算为8.76万元，完成预算的99.90%，其中：因公出国（境）费预算为0.00万元，支出决算为0.00万元，完成预算的0.00%；公务用车购置及运行维护费预算为8.76万元，支出决算为8.76万元，完成预算的99.90%；公务接待费预算为0.00万元，支出决算为0.00万元，完成预算的0.00%。2019年度财政拨款</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三公</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经费支出决算与预算无差异。</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仿宋_GB2312" w:hAnsi="宋体" w:eastAsia="仿宋_GB2312" w:cs="仿宋_GB2312"/>
          <w:color w:val="000000"/>
          <w:kern w:val="2"/>
          <w:sz w:val="32"/>
          <w:szCs w:val="32"/>
          <w:lang w:val="en-US" w:eastAsia="zh-CN" w:bidi="ar"/>
        </w:rPr>
        <w:t>2、财政拨款</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三公</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经费支出决算具体情况说明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仿宋_GB2312" w:hAnsi="宋体" w:eastAsia="仿宋_GB2312" w:cs="仿宋_GB2312"/>
          <w:color w:val="000000"/>
          <w:kern w:val="2"/>
          <w:sz w:val="32"/>
          <w:szCs w:val="32"/>
          <w:lang w:val="en-US" w:eastAsia="zh-CN" w:bidi="ar"/>
        </w:rPr>
        <w:t>本部门2019年度财政拨款</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三公</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经费支出8.76万元，因公出国（境）费支出0.00万元，占0.00%；公务用车购置及运行维护费支出8.76万元，占100.00%；公务接待费支出0.00万元，占0.00%。具体情况如下：</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仿宋_GB2312" w:hAnsi="宋体" w:eastAsia="仿宋_GB2312" w:cs="仿宋_GB2312"/>
          <w:b/>
          <w:color w:val="000000"/>
          <w:kern w:val="2"/>
          <w:sz w:val="32"/>
          <w:szCs w:val="32"/>
          <w:lang w:val="en-US" w:eastAsia="zh-CN" w:bidi="ar"/>
        </w:rPr>
        <w:t>因公出国（境）费支出</w:t>
      </w:r>
      <w:r>
        <w:rPr>
          <w:rFonts w:hint="default" w:ascii="仿宋_GB2312" w:hAnsi="宋体" w:eastAsia="仿宋_GB2312" w:cs="仿宋_GB2312"/>
          <w:color w:val="000000"/>
          <w:kern w:val="2"/>
          <w:sz w:val="32"/>
          <w:szCs w:val="32"/>
          <w:lang w:val="en-US" w:eastAsia="zh-CN" w:bidi="ar"/>
        </w:rPr>
        <w:t>0.00万元。全年因公出国（境）团组0个，累计0人次。较上年增加（减少）0.00万元，增加（下降）0.00%。</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仿宋_GB2312" w:hAnsi="宋体" w:eastAsia="仿宋_GB2312" w:cs="仿宋_GB2312"/>
          <w:b/>
          <w:color w:val="000000"/>
          <w:kern w:val="2"/>
          <w:sz w:val="32"/>
          <w:szCs w:val="32"/>
          <w:lang w:val="en-US" w:eastAsia="zh-CN" w:bidi="ar"/>
        </w:rPr>
        <w:t>公务用车购置及运行维护费支出</w:t>
      </w:r>
      <w:r>
        <w:rPr>
          <w:rFonts w:hint="default" w:ascii="仿宋_GB2312" w:hAnsi="宋体" w:eastAsia="仿宋_GB2312" w:cs="仿宋_GB2312"/>
          <w:color w:val="000000"/>
          <w:kern w:val="2"/>
          <w:sz w:val="32"/>
          <w:szCs w:val="32"/>
          <w:lang w:val="en-US" w:eastAsia="zh-CN" w:bidi="ar"/>
        </w:rPr>
        <w:t>8.76万元。其中：公务用车购置支出0.00万元，车均购置费0.00万元，较上年增加（减少）0.00万元，增加（下降）0.00%。公务用车运行维护费支出8.76万元，用于本单位公务用车燃油费、过桥过路费、维修维护费、保险费，车均运维费2.19万元，较上年增加2.72万元，增加45.10%，主要原因是</w:t>
      </w:r>
      <w:r>
        <w:rPr>
          <w:rFonts w:hint="default" w:ascii="仿宋_GB2312" w:hAnsi="宋体" w:eastAsia="仿宋_GB2312" w:cs="仿宋_GB2312"/>
          <w:color w:val="000000"/>
          <w:kern w:val="0"/>
          <w:sz w:val="32"/>
          <w:szCs w:val="32"/>
          <w:lang w:val="en-US" w:eastAsia="zh-CN" w:bidi="ar"/>
        </w:rPr>
        <w:t>劳动监察综合执法局和仲裁院接收案件多，下乡增加</w:t>
      </w:r>
      <w:r>
        <w:rPr>
          <w:rFonts w:hint="default" w:ascii="仿宋_GB2312" w:hAnsi="宋体" w:eastAsia="仿宋_GB2312" w:cs="仿宋_GB2312"/>
          <w:color w:val="000000"/>
          <w:kern w:val="2"/>
          <w:sz w:val="32"/>
          <w:szCs w:val="32"/>
          <w:lang w:val="en-US" w:eastAsia="zh-CN" w:bidi="ar"/>
        </w:rPr>
        <w:t>，财政拨款开支的公务用车保有量为4辆。</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eastAsia="仿宋_GB2312" w:cs="仿宋_GB2312"/>
          <w:color w:val="000000"/>
          <w:kern w:val="0"/>
          <w:sz w:val="32"/>
          <w:szCs w:val="32"/>
        </w:rPr>
      </w:pPr>
      <w:r>
        <w:rPr>
          <w:rFonts w:hint="default" w:ascii="仿宋_GB2312" w:hAnsi="宋体" w:eastAsia="仿宋_GB2312" w:cs="仿宋_GB2312"/>
          <w:b/>
          <w:color w:val="000000"/>
          <w:kern w:val="2"/>
          <w:sz w:val="32"/>
          <w:szCs w:val="32"/>
          <w:lang w:val="en-US" w:eastAsia="zh-CN" w:bidi="ar"/>
        </w:rPr>
        <w:t>公务接待费支出</w:t>
      </w:r>
      <w:r>
        <w:rPr>
          <w:rFonts w:hint="default" w:ascii="仿宋_GB2312" w:hAnsi="宋体" w:eastAsia="仿宋_GB2312" w:cs="仿宋_GB2312"/>
          <w:color w:val="000000"/>
          <w:kern w:val="2"/>
          <w:sz w:val="32"/>
          <w:szCs w:val="32"/>
          <w:lang w:val="en-US" w:eastAsia="zh-CN" w:bidi="ar"/>
        </w:rPr>
        <w:t>0.00万元。其中：国内公务接待费0.00万元，接待0批次，共接待0人次。国（境）外接待费0.00万元，接待0批次，共接待0人次。较上年减少0.05万元，</w:t>
      </w:r>
      <w:r>
        <w:rPr>
          <w:rFonts w:hint="default" w:ascii="仿宋_GB2312" w:hAnsi="宋体" w:eastAsia="仿宋_GB2312" w:cs="仿宋_GB2312"/>
          <w:color w:val="000000"/>
          <w:kern w:val="0"/>
          <w:sz w:val="30"/>
          <w:szCs w:val="30"/>
          <w:lang w:val="en-US" w:eastAsia="zh-CN" w:bidi="ar"/>
        </w:rPr>
        <w:t>下降100.00%</w:t>
      </w:r>
      <w:r>
        <w:rPr>
          <w:rFonts w:hint="default" w:ascii="仿宋_GB2312" w:hAnsi="宋体" w:eastAsia="仿宋_GB2312" w:cs="仿宋_GB2312"/>
          <w:color w:val="000000"/>
          <w:kern w:val="2"/>
          <w:sz w:val="30"/>
          <w:szCs w:val="30"/>
          <w:lang w:val="en-US" w:eastAsia="zh-CN" w:bidi="ar"/>
        </w:rPr>
        <w:t>，</w:t>
      </w:r>
      <w:r>
        <w:rPr>
          <w:rFonts w:hint="default" w:ascii="仿宋_GB2312" w:hAnsi="宋体" w:eastAsia="仿宋_GB2312" w:cs="仿宋_GB2312"/>
          <w:color w:val="000000"/>
          <w:kern w:val="2"/>
          <w:sz w:val="32"/>
          <w:szCs w:val="32"/>
          <w:lang w:val="en-US" w:eastAsia="zh-CN" w:bidi="ar"/>
        </w:rPr>
        <w:t>主要原因是</w:t>
      </w:r>
      <w:r>
        <w:rPr>
          <w:rFonts w:hint="eastAsia" w:ascii="仿宋_GB2312" w:hAnsi="宋体" w:eastAsia="仿宋_GB2312" w:cs="仿宋_GB2312"/>
          <w:color w:val="000000"/>
          <w:kern w:val="0"/>
          <w:sz w:val="32"/>
          <w:szCs w:val="32"/>
          <w:lang w:val="en-US" w:eastAsia="zh-CN" w:bidi="ar"/>
        </w:rPr>
        <w:t>厉行节约</w:t>
      </w:r>
      <w:r>
        <w:rPr>
          <w:rFonts w:hint="default" w:ascii="仿宋_GB2312" w:hAnsi="宋体" w:eastAsia="仿宋_GB2312" w:cs="仿宋_GB2312"/>
          <w:color w:val="000000"/>
          <w:kern w:val="0"/>
          <w:sz w:val="32"/>
          <w:szCs w:val="32"/>
          <w:lang w:val="en-US" w:eastAsia="zh-CN" w:bidi="ar"/>
        </w:rPr>
        <w:t>制度，严格控制公务接待费用的开支。</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lang w:val="en-US" w:eastAsia="zh-CN" w:bidi="ar"/>
        </w:rPr>
        <w:t>（八）关于2019年度政府性预算财政拨款支出决算情况说明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hAnsi="宋体" w:eastAsia="仿宋_GB2312" w:cs="仿宋_GB2312"/>
          <w:color w:val="000000"/>
          <w:kern w:val="2"/>
          <w:sz w:val="32"/>
          <w:szCs w:val="32"/>
        </w:rPr>
      </w:pPr>
      <w:r>
        <w:rPr>
          <w:rFonts w:hint="default" w:ascii="仿宋_GB2312" w:hAnsi="宋体" w:eastAsia="仿宋_GB2312" w:cs="仿宋_GB2312"/>
          <w:color w:val="000000"/>
          <w:kern w:val="2"/>
          <w:sz w:val="32"/>
          <w:szCs w:val="32"/>
          <w:lang w:val="en-US" w:eastAsia="zh-CN" w:bidi="ar"/>
        </w:rPr>
        <w:t>我单位2019年无政府性基金支出决算。</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color w:val="FF0000"/>
          <w:kern w:val="2"/>
          <w:sz w:val="32"/>
          <w:szCs w:val="32"/>
          <w:lang w:val="en-US" w:eastAsia="zh-CN" w:bidi="ar"/>
        </w:rPr>
        <w:t xml:space="preserve"> </w:t>
      </w:r>
      <w:r>
        <w:rPr>
          <w:rFonts w:hint="default" w:ascii="仿宋_GB2312" w:hAnsi="宋体" w:eastAsia="仿宋_GB2312" w:cs="仿宋_GB2312"/>
          <w:kern w:val="2"/>
          <w:sz w:val="32"/>
          <w:szCs w:val="32"/>
          <w:lang w:val="en-US" w:eastAsia="zh-CN" w:bidi="ar"/>
        </w:rPr>
        <w:t>三、预算绩效情况说明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（一）预算绩效管理工作开展情况</w:t>
      </w:r>
    </w:p>
    <w:p>
      <w:pPr>
        <w:keepNext w:val="0"/>
        <w:keepLines w:val="0"/>
        <w:widowControl/>
        <w:suppressLineNumbers w:val="0"/>
        <w:snapToGrid w:val="0"/>
        <w:spacing w:before="0" w:beforeAutospacing="0" w:after="0" w:afterAutospacing="0" w:line="580" w:lineRule="exact"/>
        <w:ind w:left="0" w:right="0"/>
        <w:jc w:val="left"/>
        <w:rPr>
          <w:rFonts w:hint="eastAsia" w:ascii="仿宋" w:hAnsi="仿宋" w:eastAsia="仿宋" w:cs="仿宋"/>
          <w:kern w:val="0"/>
          <w:sz w:val="32"/>
          <w:szCs w:val="32"/>
        </w:rPr>
      </w:pPr>
      <w:r>
        <w:rPr>
          <w:rFonts w:hint="default" w:ascii="仿宋_GB2312" w:hAnsi="仿宋" w:eastAsia="仿宋_GB2312" w:cs="仿宋_GB2312"/>
          <w:kern w:val="0"/>
          <w:sz w:val="32"/>
          <w:szCs w:val="32"/>
          <w:lang w:val="en-US" w:eastAsia="zh-CN" w:bidi="ar"/>
        </w:rPr>
        <w:t>我单位</w:t>
      </w:r>
      <w:r>
        <w:rPr>
          <w:rFonts w:hint="default" w:ascii="仿宋_GB2312" w:hAnsi="仿宋" w:eastAsia="仿宋_GB2312" w:cs="仿宋"/>
          <w:kern w:val="0"/>
          <w:sz w:val="32"/>
          <w:szCs w:val="32"/>
          <w:lang w:val="en-US" w:eastAsia="zh-CN" w:bidi="ar"/>
        </w:rPr>
        <w:t>2019年共针对2个项目进行了绩效管理，一是</w:t>
      </w:r>
      <w:r>
        <w:rPr>
          <w:rFonts w:hint="default" w:ascii="仿宋_GB2312" w:hAnsi="仿宋" w:eastAsia="仿宋_GB2312" w:cs="仿宋_GB2312"/>
          <w:kern w:val="0"/>
          <w:sz w:val="32"/>
          <w:szCs w:val="32"/>
          <w:lang w:val="en-US" w:eastAsia="zh-CN" w:bidi="ar"/>
        </w:rPr>
        <w:t>大学生创业资助项目，我单位严格按照文件要求对大学生提出的评审，确定的资助资金进行了发放，主要程序是由近五年毕业的大学生创业者提出申请，旗人社局初审，市人社局组织项目答辩、评审和公示，确定资助资金。主要资助在我旗创业的大学生。根据创业项目的科技含量、市场前景等评估认定后，通过初审，答辩公示等环节，给予符合要求的项目</w:t>
      </w:r>
      <w:r>
        <w:rPr>
          <w:rFonts w:hint="default" w:ascii="仿宋_GB2312" w:hAnsi="仿宋" w:eastAsia="仿宋_GB2312" w:cs="仿宋"/>
          <w:kern w:val="0"/>
          <w:sz w:val="32"/>
          <w:szCs w:val="32"/>
          <w:lang w:val="en-US" w:eastAsia="zh-CN" w:bidi="ar"/>
        </w:rPr>
        <w:t>1万元、2万元、5万元、8万元四个等级的创业补贴；二</w:t>
      </w:r>
      <w:r>
        <w:rPr>
          <w:rFonts w:hint="eastAsia" w:ascii="仿宋" w:hAnsi="仿宋" w:eastAsia="仿宋" w:cs="仿宋"/>
          <w:kern w:val="0"/>
          <w:sz w:val="32"/>
          <w:szCs w:val="32"/>
          <w:lang w:val="en-US" w:eastAsia="zh-CN" w:bidi="ar"/>
        </w:rPr>
        <w:t>是</w:t>
      </w:r>
      <w:r>
        <w:rPr>
          <w:rFonts w:hint="eastAsia" w:ascii="仿宋" w:hAnsi="仿宋" w:eastAsia="仿宋" w:cs="仿宋"/>
          <w:kern w:val="0"/>
          <w:sz w:val="32"/>
          <w:szCs w:val="32"/>
          <w:u w:val="single"/>
          <w:lang w:val="en-US" w:eastAsia="zh-CN" w:bidi="ar"/>
        </w:rPr>
        <w:t>储备人才、政府购买服务生活补贴、保险费  ，</w:t>
      </w:r>
      <w:r>
        <w:rPr>
          <w:rFonts w:hint="default" w:ascii="仿宋_GB2312" w:hAnsi="仿宋" w:eastAsia="仿宋_GB2312" w:cs="仿宋_GB2312"/>
          <w:kern w:val="0"/>
          <w:sz w:val="32"/>
          <w:szCs w:val="32"/>
          <w:lang w:val="en-US" w:eastAsia="zh-CN" w:bidi="ar"/>
        </w:rPr>
        <w:t>按照内蒙古自治区关于招募三支一扶和社区民生志愿者，</w:t>
      </w:r>
      <w:r>
        <w:rPr>
          <w:rFonts w:hint="default" w:ascii="仿宋_GB2312" w:hAnsi="宋体" w:eastAsia="仿宋_GB2312" w:cs="仿宋_GB2312"/>
          <w:b w:val="0"/>
          <w:i w:val="0"/>
          <w:caps w:val="0"/>
          <w:color w:val="333333"/>
          <w:spacing w:val="8"/>
          <w:kern w:val="0"/>
          <w:sz w:val="32"/>
          <w:szCs w:val="32"/>
          <w:shd w:val="clear" w:fill="FFFFFF"/>
          <w:lang w:val="en-US" w:eastAsia="zh-CN" w:bidi="ar"/>
        </w:rPr>
        <w:t>服务期间，严格按照由旗县（市、区）人力资源和社会保障部门统一规定，为其发放每人每月2500元生活补贴，同时按照每人2000元标准，给予每名新招募且在岗服务满6个月以上的“三支一扶”人员、社区民生志愿者一次性安家补贴，并按照有关规定办理社会保险。</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（二）部门决算中项目绩效自评结果</w:t>
      </w:r>
    </w:p>
    <w:p>
      <w:pPr>
        <w:keepNext w:val="0"/>
        <w:keepLines w:val="0"/>
        <w:widowControl/>
        <w:suppressLineNumbers w:val="0"/>
        <w:autoSpaceDE w:val="0"/>
        <w:autoSpaceDN/>
        <w:snapToGrid w:val="0"/>
        <w:spacing w:before="0" w:beforeAutospacing="0" w:after="0" w:afterAutospacing="0"/>
        <w:ind w:left="0" w:leftChars="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shd w:val="clear" w:fill="FFFFFF"/>
          <w:lang w:val="en-US" w:eastAsia="zh-CN" w:bidi="ar"/>
        </w:rPr>
        <w:t>综合以上各项指标，我局财务管理健全规范，没有发生违法违规现象，2019年的部门项目支出绩效自我评价结果是优秀。我们将在以后的工作中加强预算管理，严格控制各项经费的开支，提高经费的使用效率。</w:t>
      </w:r>
      <w:r>
        <w:rPr>
          <w:rFonts w:hint="eastAsia" w:ascii="仿宋" w:hAnsi="仿宋" w:eastAsia="仿宋" w:cs="仿宋"/>
          <w:b/>
          <w:kern w:val="0"/>
          <w:sz w:val="32"/>
          <w:szCs w:val="32"/>
          <w:lang w:val="en-US" w:eastAsia="zh-CN" w:bidi="ar"/>
        </w:rPr>
        <w:t>（项目自评表见附件）</w:t>
      </w:r>
    </w:p>
    <w:p>
      <w:pPr>
        <w:keepNext w:val="0"/>
        <w:keepLines w:val="0"/>
        <w:widowControl/>
        <w:suppressLineNumbers w:val="0"/>
        <w:snapToGrid w:val="0"/>
        <w:spacing w:before="0" w:beforeLines="0" w:beforeAutospacing="0" w:after="0" w:afterLines="0" w:afterAutospacing="0" w:line="580" w:lineRule="exact"/>
        <w:ind w:left="0" w:right="0" w:rightChars="0"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四、其他重要事项的情况说明</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lang w:val="en-US" w:eastAsia="zh-CN" w:bidi="ar"/>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widowControl/>
        <w:suppressLineNumbers w:val="0"/>
        <w:snapToGrid w:val="0"/>
        <w:spacing w:before="0" w:beforeLines="0" w:beforeAutospacing="0" w:after="0" w:afterLines="0" w:afterAutospacing="0" w:line="580" w:lineRule="exact"/>
        <w:ind w:left="0" w:right="0" w:firstLine="320" w:firstLineChars="100"/>
        <w:jc w:val="left"/>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lang w:val="en-US" w:eastAsia="zh-CN" w:bidi="ar"/>
        </w:rPr>
        <w:t>（一）机关运行经费支出情况</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eastAsia="仿宋_GB2312" w:cs="仿宋_GB2312"/>
          <w:color w:val="000000"/>
          <w:kern w:val="0"/>
          <w:sz w:val="32"/>
          <w:szCs w:val="32"/>
        </w:rPr>
      </w:pPr>
      <w:r>
        <w:rPr>
          <w:rFonts w:hint="default" w:ascii="仿宋_GB2312" w:hAnsi="宋体" w:eastAsia="仿宋_GB2312" w:cs="仿宋_GB2312"/>
          <w:kern w:val="2"/>
          <w:sz w:val="32"/>
          <w:szCs w:val="32"/>
          <w:lang w:val="en-US" w:eastAsia="zh-CN" w:bidi="ar"/>
        </w:rPr>
        <w:t>本部门2019年度机关运行经费</w:t>
      </w:r>
      <w:r>
        <w:rPr>
          <w:rFonts w:hint="default" w:ascii="仿宋_GB2312" w:hAnsi="宋体" w:eastAsia="仿宋_GB2312" w:cs="仿宋_GB2312"/>
          <w:color w:val="000000"/>
          <w:kern w:val="2"/>
          <w:sz w:val="32"/>
          <w:szCs w:val="32"/>
          <w:lang w:val="en-US" w:eastAsia="zh-CN" w:bidi="ar"/>
        </w:rPr>
        <w:t>支出158.13万元，比2018年减少70.44万元，降低30.80%。主要原因是：主要原因是</w:t>
      </w:r>
      <w:r>
        <w:rPr>
          <w:rFonts w:hint="eastAsia" w:ascii="仿宋_GB2312" w:hAnsi="宋体" w:eastAsia="仿宋_GB2312" w:cs="仿宋_GB2312"/>
          <w:color w:val="000000"/>
          <w:kern w:val="0"/>
          <w:sz w:val="32"/>
          <w:szCs w:val="32"/>
          <w:lang w:val="en-US" w:eastAsia="zh-CN" w:bidi="ar"/>
        </w:rPr>
        <w:t>厉行节约</w:t>
      </w:r>
      <w:r>
        <w:rPr>
          <w:rFonts w:hint="default" w:ascii="仿宋_GB2312" w:hAnsi="宋体" w:eastAsia="仿宋_GB2312" w:cs="仿宋_GB2312"/>
          <w:color w:val="000000"/>
          <w:kern w:val="0"/>
          <w:sz w:val="32"/>
          <w:szCs w:val="32"/>
          <w:lang w:val="en-US" w:eastAsia="zh-CN" w:bidi="ar"/>
        </w:rPr>
        <w:t>制度，严格控制机关运行费用的开支。</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主要包括以下支出：办公费14.34万元、印刷费7.16万元、劳务费2.94万元、邮电费5.46万元、差旅费15.77万元、维修（护）费11.51万元、租赁费0.8万元、培训费5.04万元、工会经费12.86万元、福利费15.59万元、公务用车维护费8.76万元、其他交通费47.45万元、其他商品和服务支出6.34万元、办公设备购置4.11万元。</w:t>
      </w:r>
      <w:r>
        <w:rPr>
          <w:rFonts w:hint="default" w:ascii="Times New Roman" w:hAnsi="Times New Roman" w:eastAsia="宋体" w:cs="Times New Roman"/>
          <w:kern w:val="2"/>
          <w:sz w:val="32"/>
          <w:szCs w:val="32"/>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（二）政府采购支出情况</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仿宋_GB2312" w:hAnsi="宋体" w:eastAsia="仿宋_GB2312" w:cs="仿宋_GB2312"/>
          <w:color w:val="000000"/>
          <w:kern w:val="2"/>
          <w:sz w:val="32"/>
          <w:szCs w:val="32"/>
          <w:lang w:val="en-US" w:eastAsia="zh-CN" w:bidi="ar"/>
        </w:rPr>
        <w:t>本部门2019年度政府采购支出合计0.00万元，其中：政府采购货物支出0.00万元</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比2018年增加（减少）0.00万元，增长（降低）0.00%，政府采购工程支出0.00万元，比2018年增加（减少）0.00万元，增长（降低）0.00%，政府采购服务支出0.00万元，比2018年增加（减少）0.00万元，增长（降低）0.00%，授予中小企业合同金额0.00万元，占政府采购支出总额的0.00%。其中：授予小微企业合同金额0.00万元，占政府采购支出总额的0.00%。</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（三）国有资产占用情况</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仿宋_GB2312" w:hAnsi="宋体" w:eastAsia="仿宋_GB2312" w:cs="仿宋_GB2312"/>
          <w:color w:val="000000"/>
          <w:kern w:val="2"/>
          <w:sz w:val="32"/>
          <w:szCs w:val="32"/>
          <w:lang w:val="en-US" w:eastAsia="zh-CN" w:bidi="ar"/>
        </w:rPr>
        <w:t>截至2019年12月31日，本部门共有车辆4辆，其中，副部（省）级及以上领导用车0辆</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主要领导干部用车0辆，机要通信用车0辆，应急保障用车0辆;执法执勤用车0辆</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特种专业技术用车0辆</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离退休干部用车0辆</w:t>
      </w:r>
      <w:r>
        <w:rPr>
          <w:rFonts w:hint="default" w:ascii="Times New Roman" w:hAnsi="Times New Roman" w:eastAsia="宋体" w:cs="Times New Roman"/>
          <w:color w:val="000000"/>
          <w:kern w:val="2"/>
          <w:sz w:val="32"/>
          <w:szCs w:val="32"/>
          <w:lang w:val="en-US" w:eastAsia="zh-CN" w:bidi="ar"/>
        </w:rPr>
        <w:t>,</w:t>
      </w:r>
      <w:r>
        <w:rPr>
          <w:rFonts w:hint="default" w:ascii="仿宋_GB2312" w:hAnsi="宋体" w:eastAsia="仿宋_GB2312" w:cs="仿宋_GB2312"/>
          <w:color w:val="000000"/>
          <w:kern w:val="2"/>
          <w:sz w:val="32"/>
          <w:szCs w:val="32"/>
          <w:lang w:val="en-US" w:eastAsia="zh-CN" w:bidi="ar"/>
        </w:rPr>
        <w:t>其他用车4辆，主要是用于本单位的日常用车和下乡。单位价值50万元以上通用设备0台（套），比2018年增加（减少）0.00台（套），单位价值100万元以上专用设备0台（套），比2018年增加（减少）0.00台（套），</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color w:val="000000"/>
          <w:kern w:val="2"/>
          <w:sz w:val="32"/>
          <w:szCs w:val="32"/>
        </w:rPr>
      </w:pPr>
      <w:r>
        <w:rPr>
          <w:rFonts w:hint="default" w:ascii="Times New Roman" w:hAnsi="Times New Roman" w:eastAsia="宋体" w:cs="Times New Roman"/>
          <w:color w:val="000000"/>
          <w:kern w:val="2"/>
          <w:sz w:val="32"/>
          <w:szCs w:val="32"/>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b/>
          <w:kern w:val="2"/>
          <w:sz w:val="32"/>
          <w:szCs w:val="32"/>
        </w:rPr>
      </w:pPr>
      <w:r>
        <w:rPr>
          <w:rFonts w:hint="default" w:ascii="仿宋_GB2312" w:hAnsi="宋体" w:eastAsia="仿宋_GB2312" w:cs="仿宋_GB2312"/>
          <w:b/>
          <w:kern w:val="2"/>
          <w:sz w:val="32"/>
          <w:szCs w:val="32"/>
          <w:lang w:val="en-US" w:eastAsia="zh-CN" w:bidi="ar"/>
        </w:rPr>
        <w:t>第三部分 名词解释</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（一）财政拨款收入：指本年度从本级财政部门取得的财政拨款，包括一般公共预算财政拨款和政府性基金预算财政拨款。</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（二）事业收入：指事业单位开展专业业务活动及其辅助活动取得的收入；事业单位收到的财政专户实际核拨的教育收费等资金。</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（三）经营收入：指事业单位在专业业务活动及其辅助活动之外开展非独立核算经营活动取得的收入。</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（五）用事业基金弥补收支差额：指事业单位在当年的“财政拨款收入</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财政拨款结转和结余资金</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事业收入</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事业单位经营收入</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其他收入</w:t>
      </w:r>
      <w:r>
        <w:rPr>
          <w:rFonts w:hint="eastAsia" w:ascii="宋体" w:hAnsi="宋体" w:eastAsia="宋体" w:cs="宋体"/>
          <w:kern w:val="2"/>
          <w:sz w:val="32"/>
          <w:szCs w:val="32"/>
          <w:lang w:val="en-US" w:eastAsia="zh-CN" w:bidi="ar"/>
        </w:rPr>
        <w:t>”</w:t>
      </w:r>
      <w:r>
        <w:rPr>
          <w:rFonts w:hint="default" w:ascii="仿宋_GB2312" w:hAnsi="宋体" w:eastAsia="仿宋_GB2312" w:cs="仿宋_GB2312"/>
          <w:kern w:val="2"/>
          <w:sz w:val="32"/>
          <w:szCs w:val="32"/>
          <w:lang w:val="en-US" w:eastAsia="zh-CN" w:bidi="ar"/>
        </w:rPr>
        <w:t>不足以安排当年支出的情况下，使用以前年度累积的事业基金（当年收支相抵后按国家规定提取、用于弥补以后年度收支差额的基金）弥补本年收支缺口的资金。</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（六）年初结转和结余：</w:t>
      </w:r>
      <w:r>
        <w:rPr>
          <w:rFonts w:hint="default" w:ascii="仿宋_GB2312" w:hAnsi="宋体" w:eastAsia="仿宋_GB2312" w:cs="仿宋_GB2312"/>
          <w:kern w:val="2"/>
          <w:sz w:val="32"/>
          <w:szCs w:val="32"/>
          <w:highlight w:val="white"/>
          <w:lang w:val="en-US" w:eastAsia="zh-CN" w:bidi="ar"/>
        </w:rPr>
        <w:t>指以前年度支出预算因客观条件变化未执行完毕、结转到本年度按有关规定继续使用的资金。</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（七）结余分配</w:t>
      </w:r>
      <w:r>
        <w:rPr>
          <w:rFonts w:hint="default" w:ascii="仿宋_GB2312" w:hAnsi="宋体" w:eastAsia="仿宋_GB2312" w:cs="仿宋_GB2312"/>
          <w:kern w:val="2"/>
          <w:sz w:val="32"/>
          <w:szCs w:val="32"/>
          <w:highlight w:val="white"/>
          <w:lang w:val="en-US" w:eastAsia="zh-CN" w:bidi="ar"/>
        </w:rPr>
        <w:t>：指事业单位按照会计制度规定缴纳的所得税以及从非财政拨款结余中提取的职工福利基金、事业基金等。</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（八）年末结转和结余</w:t>
      </w:r>
      <w:r>
        <w:rPr>
          <w:rFonts w:hint="default" w:ascii="仿宋_GB2312" w:hAnsi="宋体" w:eastAsia="仿宋_GB2312" w:cs="仿宋_GB2312"/>
          <w:kern w:val="2"/>
          <w:sz w:val="32"/>
          <w:szCs w:val="32"/>
          <w:highlight w:val="white"/>
          <w:lang w:val="en-US" w:eastAsia="zh-CN" w:bidi="ar"/>
        </w:rPr>
        <w:t>：指单位本年度或以前年度预算安排、因客观条件发生变化未全部执行或未执行，结转到以后年度继续使用的资金，或项目已完成等产生的结余资金。</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（九）基本支出：指为保障机构正常运转、完成日常工作任务而发生的人员经费和公用经费。其中：人员经费指政府收支分类经济科目中的</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工资福利支出</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和</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对个人和家庭的补助</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；公用经费指政府收支分类经济科目中除</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工资福利支出</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和</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对个人和家庭的补助</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外的其他支出。</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（十）项目支出：指在基本支出之外为完成特定任务和事业发展目标所发生的支出。</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（十一）经营支出：指事业单位在专业业务活动及其辅助活动之外开展非独立核算经营活动发生的支出。</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（十二）</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三公</w:t>
      </w:r>
      <w:r>
        <w:rPr>
          <w:rFonts w:hint="default" w:ascii="Times New Roman" w:hAnsi="Times New Roman" w:eastAsia="宋体"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（十四）工资福利支出（支出经济分类科目类级）：反映单位开支的在职职工和编制外长期聘用人员的各类劳动报酬，以及为上述人员缴纳的各项社会保险费等。</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（十五）商品和服务支出（支出经济分类科目类级）：反映单位购买商品和服务的支出（不包括用于购置固定资产的支出、战略性和应急储备支出）。</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（十六）对个人和家庭的补助（支出经济分类科目类级）：反映用于对个人和家庭的补助支出。</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t xml:space="preserve"> </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b/>
          <w:kern w:val="2"/>
          <w:sz w:val="32"/>
          <w:szCs w:val="32"/>
        </w:rPr>
      </w:pPr>
      <w:r>
        <w:rPr>
          <w:rFonts w:hint="default" w:ascii="仿宋_GB2312" w:hAnsi="宋体" w:eastAsia="仿宋_GB2312" w:cs="仿宋_GB2312"/>
          <w:b/>
          <w:kern w:val="2"/>
          <w:sz w:val="32"/>
          <w:szCs w:val="32"/>
          <w:lang w:val="en-US" w:eastAsia="zh-CN" w:bidi="ar"/>
        </w:rPr>
        <w:t>第四部分 决算公开联系方式及信息反馈渠道</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Times New Roman" w:hAnsi="Times New Roman" w:eastAsia="宋体" w:cs="Times New Roman"/>
          <w:kern w:val="2"/>
          <w:sz w:val="32"/>
          <w:szCs w:val="32"/>
        </w:rPr>
      </w:pPr>
      <w:r>
        <w:rPr>
          <w:rFonts w:hint="default" w:ascii="仿宋_GB2312" w:hAnsi="宋体" w:eastAsia="仿宋_GB2312" w:cs="仿宋_GB2312"/>
          <w:kern w:val="2"/>
          <w:sz w:val="32"/>
          <w:szCs w:val="32"/>
          <w:lang w:val="en-US" w:eastAsia="zh-CN" w:bidi="ar"/>
        </w:rPr>
        <w:t>本单位决算公开信息反馈和联系方式：</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hAnsi="宋体" w:eastAsia="仿宋_GB2312" w:cs="仿宋_GB2312"/>
          <w:color w:val="000000" w:themeColor="text1"/>
          <w:kern w:val="2"/>
          <w:sz w:val="32"/>
          <w:szCs w:val="32"/>
          <w:lang w:val="en-US" w:eastAsia="zh-CN" w:bidi="ar"/>
          <w14:textFill>
            <w14:solidFill>
              <w14:schemeClr w14:val="tx1"/>
            </w14:solidFill>
          </w14:textFill>
        </w:rPr>
      </w:pPr>
      <w:r>
        <w:rPr>
          <w:rFonts w:hint="default" w:ascii="仿宋_GB2312" w:hAnsi="宋体" w:eastAsia="仿宋_GB2312" w:cs="仿宋_GB2312"/>
          <w:color w:val="000000" w:themeColor="text1"/>
          <w:kern w:val="2"/>
          <w:sz w:val="32"/>
          <w:szCs w:val="32"/>
          <w:lang w:val="en-US" w:eastAsia="zh-CN" w:bidi="ar"/>
          <w14:textFill>
            <w14:solidFill>
              <w14:schemeClr w14:val="tx1"/>
            </w14:solidFill>
          </w14:textFill>
        </w:rPr>
        <w:t>联系人：李晓霞    联系电话：0477</w:t>
      </w:r>
      <w:r>
        <w:rPr>
          <w:rFonts w:hint="default" w:ascii="Times New Roman" w:hAnsi="Times New Roman" w:eastAsia="宋体" w:cs="Times New Roman"/>
          <w:color w:val="000000" w:themeColor="text1"/>
          <w:kern w:val="2"/>
          <w:sz w:val="32"/>
          <w:szCs w:val="32"/>
          <w:lang w:val="en-US" w:eastAsia="zh-CN" w:bidi="ar"/>
          <w14:textFill>
            <w14:solidFill>
              <w14:schemeClr w14:val="tx1"/>
            </w14:solidFill>
          </w14:textFill>
        </w:rPr>
        <w:t>-</w:t>
      </w:r>
      <w:r>
        <w:rPr>
          <w:rFonts w:hint="default" w:ascii="仿宋_GB2312" w:hAnsi="宋体" w:eastAsia="仿宋_GB2312" w:cs="仿宋_GB2312"/>
          <w:color w:val="000000" w:themeColor="text1"/>
          <w:kern w:val="2"/>
          <w:sz w:val="32"/>
          <w:szCs w:val="32"/>
          <w:lang w:val="en-US" w:eastAsia="zh-CN" w:bidi="ar"/>
          <w14:textFill>
            <w14:solidFill>
              <w14:schemeClr w14:val="tx1"/>
            </w14:solidFill>
          </w14:textFill>
        </w:rPr>
        <w:t>8691891</w:t>
      </w: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hAnsi="宋体" w:eastAsia="仿宋_GB2312" w:cs="仿宋_GB2312"/>
          <w:color w:val="000000" w:themeColor="text1"/>
          <w:kern w:val="2"/>
          <w:sz w:val="32"/>
          <w:szCs w:val="32"/>
          <w:lang w:val="en-US" w:eastAsia="zh-CN" w:bidi="ar"/>
          <w14:textFill>
            <w14:solidFill>
              <w14:schemeClr w14:val="tx1"/>
            </w14:solidFill>
          </w14:textFill>
        </w:rPr>
      </w:pPr>
    </w:p>
    <w:p>
      <w:pPr>
        <w:keepNext w:val="0"/>
        <w:keepLines w:val="0"/>
        <w:widowControl/>
        <w:suppressLineNumbers w:val="0"/>
        <w:snapToGrid w:val="0"/>
        <w:spacing w:before="0" w:beforeLines="0" w:beforeAutospacing="0" w:after="0" w:afterLines="0" w:afterAutospacing="0" w:line="580" w:lineRule="exact"/>
        <w:ind w:left="0" w:right="0" w:firstLine="600"/>
        <w:jc w:val="left"/>
        <w:rPr>
          <w:rFonts w:hint="default" w:ascii="仿宋_GB2312" w:hAnsi="宋体" w:eastAsia="仿宋_GB2312" w:cs="仿宋_GB2312"/>
          <w:color w:val="FF0000"/>
          <w:kern w:val="2"/>
          <w:sz w:val="32"/>
          <w:szCs w:val="32"/>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rPr>
      </w:pPr>
      <w:r>
        <w:rPr>
          <w:rFonts w:hint="default" w:ascii="Times New Roman" w:hAnsi="Times New Roman" w:eastAsia="宋体" w:cs="Times New Roman"/>
          <w:b/>
          <w:kern w:val="2"/>
          <w:sz w:val="36"/>
          <w:szCs w:val="36"/>
          <w:lang w:val="en-US" w:eastAsia="zh-CN" w:bidi="ar"/>
        </w:rPr>
        <w:t xml:space="preserve"> </w:t>
      </w:r>
    </w:p>
    <w:tbl>
      <w:tblPr>
        <w:tblStyle w:val="3"/>
        <w:tblpPr w:leftFromText="180" w:rightFromText="180" w:vertAnchor="text" w:horzAnchor="page" w:tblpX="1402" w:tblpY="544"/>
        <w:tblOverlap w:val="never"/>
        <w:tblW w:w="8674" w:type="dxa"/>
        <w:tblInd w:w="0" w:type="dxa"/>
        <w:shd w:val="clear" w:color="auto" w:fill="auto"/>
        <w:tblLayout w:type="autofit"/>
        <w:tblCellMar>
          <w:top w:w="0" w:type="dxa"/>
          <w:left w:w="0" w:type="dxa"/>
          <w:bottom w:w="0" w:type="dxa"/>
          <w:right w:w="0" w:type="dxa"/>
        </w:tblCellMar>
      </w:tblPr>
      <w:tblGrid>
        <w:gridCol w:w="979"/>
        <w:gridCol w:w="424"/>
        <w:gridCol w:w="691"/>
        <w:gridCol w:w="599"/>
        <w:gridCol w:w="458"/>
        <w:gridCol w:w="610"/>
        <w:gridCol w:w="879"/>
        <w:gridCol w:w="833"/>
        <w:gridCol w:w="458"/>
        <w:gridCol w:w="527"/>
        <w:gridCol w:w="586"/>
        <w:gridCol w:w="574"/>
        <w:gridCol w:w="470"/>
        <w:gridCol w:w="586"/>
      </w:tblGrid>
      <w:tr>
        <w:tblPrEx>
          <w:shd w:val="clear" w:color="auto" w:fill="auto"/>
          <w:tblCellMar>
            <w:top w:w="0" w:type="dxa"/>
            <w:left w:w="0" w:type="dxa"/>
            <w:bottom w:w="0" w:type="dxa"/>
            <w:right w:w="0" w:type="dxa"/>
          </w:tblCellMar>
        </w:tblPrEx>
        <w:trPr>
          <w:trHeight w:val="169" w:hRule="atLeast"/>
        </w:trPr>
        <w:tc>
          <w:tcPr>
            <w:tcW w:w="9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lang w:val="en-US" w:eastAsia="zh-CN" w:bidi="ar"/>
              </w:rPr>
              <w:t>附件2</w:t>
            </w:r>
          </w:p>
        </w:tc>
        <w:tc>
          <w:tcPr>
            <w:tcW w:w="42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69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59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45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6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8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83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45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52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58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57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4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c>
          <w:tcPr>
            <w:tcW w:w="58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kern w:val="0"/>
                <w:sz w:val="22"/>
                <w:szCs w:val="22"/>
              </w:rPr>
            </w:pPr>
          </w:p>
        </w:tc>
      </w:tr>
      <w:tr>
        <w:tblPrEx>
          <w:shd w:val="clear" w:color="auto" w:fill="auto"/>
          <w:tblCellMar>
            <w:top w:w="0" w:type="dxa"/>
            <w:left w:w="0" w:type="dxa"/>
            <w:bottom w:w="0" w:type="dxa"/>
            <w:right w:w="0" w:type="dxa"/>
          </w:tblCellMar>
        </w:tblPrEx>
        <w:trPr>
          <w:trHeight w:val="169" w:hRule="atLeast"/>
        </w:trPr>
        <w:tc>
          <w:tcPr>
            <w:tcW w:w="8674"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lang w:val="en-US" w:eastAsia="zh-CN" w:bidi="ar"/>
              </w:rPr>
              <w:t xml:space="preserve">项目支出绩效自评表 </w:t>
            </w:r>
          </w:p>
        </w:tc>
      </w:tr>
      <w:tr>
        <w:tblPrEx>
          <w:shd w:val="clear" w:color="auto" w:fill="auto"/>
          <w:tblCellMar>
            <w:top w:w="0" w:type="dxa"/>
            <w:left w:w="0" w:type="dxa"/>
            <w:bottom w:w="0" w:type="dxa"/>
            <w:right w:w="0" w:type="dxa"/>
          </w:tblCellMar>
        </w:tblPrEx>
        <w:trPr>
          <w:trHeight w:val="169" w:hRule="atLeast"/>
        </w:trPr>
        <w:tc>
          <w:tcPr>
            <w:tcW w:w="8674" w:type="dxa"/>
            <w:gridSpan w:val="14"/>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（2019年度）</w:t>
            </w:r>
          </w:p>
        </w:tc>
      </w:tr>
      <w:tr>
        <w:tblPrEx>
          <w:shd w:val="clear" w:color="auto" w:fill="auto"/>
          <w:tblCellMar>
            <w:top w:w="0" w:type="dxa"/>
            <w:left w:w="0" w:type="dxa"/>
            <w:bottom w:w="0" w:type="dxa"/>
            <w:right w:w="0" w:type="dxa"/>
          </w:tblCellMar>
        </w:tblPrEx>
        <w:trPr>
          <w:trHeight w:val="334" w:hRule="atLeast"/>
        </w:trPr>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项目名称</w:t>
            </w:r>
          </w:p>
        </w:tc>
        <w:tc>
          <w:tcPr>
            <w:tcW w:w="254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高校毕业生创业就业专项资金</w:t>
            </w:r>
          </w:p>
        </w:tc>
        <w:tc>
          <w:tcPr>
            <w:tcW w:w="129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项目负责人及电话</w:t>
            </w:r>
          </w:p>
        </w:tc>
        <w:tc>
          <w:tcPr>
            <w:tcW w:w="1113"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丁雪瑞</w:t>
            </w:r>
          </w:p>
        </w:tc>
        <w:tc>
          <w:tcPr>
            <w:tcW w:w="16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15247706007</w:t>
            </w:r>
          </w:p>
        </w:tc>
      </w:tr>
      <w:tr>
        <w:tblPrEx>
          <w:shd w:val="clear" w:color="auto" w:fill="auto"/>
          <w:tblCellMar>
            <w:top w:w="0" w:type="dxa"/>
            <w:left w:w="0" w:type="dxa"/>
            <w:bottom w:w="0" w:type="dxa"/>
            <w:right w:w="0" w:type="dxa"/>
          </w:tblCellMar>
        </w:tblPrEx>
        <w:trPr>
          <w:trHeight w:val="334" w:hRule="atLeast"/>
        </w:trPr>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主管部门</w:t>
            </w:r>
          </w:p>
        </w:tc>
        <w:tc>
          <w:tcPr>
            <w:tcW w:w="254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伊金霍洛旗人力资源和社会保障局</w:t>
            </w:r>
          </w:p>
        </w:tc>
        <w:tc>
          <w:tcPr>
            <w:tcW w:w="129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实施单位</w:t>
            </w:r>
          </w:p>
        </w:tc>
        <w:tc>
          <w:tcPr>
            <w:tcW w:w="274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伊金霍洛旗人力资源和社会保障局</w:t>
            </w:r>
          </w:p>
        </w:tc>
      </w:tr>
      <w:tr>
        <w:tblPrEx>
          <w:shd w:val="clear" w:color="auto" w:fill="auto"/>
          <w:tblCellMar>
            <w:top w:w="0" w:type="dxa"/>
            <w:left w:w="0" w:type="dxa"/>
            <w:bottom w:w="0" w:type="dxa"/>
            <w:right w:w="0" w:type="dxa"/>
          </w:tblCellMar>
        </w:tblPrEx>
        <w:trPr>
          <w:trHeight w:val="494" w:hRule="atLeast"/>
        </w:trPr>
        <w:tc>
          <w:tcPr>
            <w:tcW w:w="209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资金情况（万元）</w:t>
            </w:r>
          </w:p>
        </w:tc>
        <w:tc>
          <w:tcPr>
            <w:tcW w:w="105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年初预算数</w:t>
            </w: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全年预算数（A）</w:t>
            </w:r>
          </w:p>
        </w:tc>
        <w:tc>
          <w:tcPr>
            <w:tcW w:w="129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全年执行数（B）</w:t>
            </w:r>
          </w:p>
        </w:tc>
        <w:tc>
          <w:tcPr>
            <w:tcW w:w="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分值</w:t>
            </w:r>
          </w:p>
        </w:tc>
        <w:tc>
          <w:tcPr>
            <w:tcW w:w="16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执行率（B/A) </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得分</w:t>
            </w:r>
          </w:p>
        </w:tc>
      </w:tr>
      <w:tr>
        <w:tblPrEx>
          <w:shd w:val="clear" w:color="auto" w:fill="auto"/>
          <w:tblCellMar>
            <w:top w:w="0" w:type="dxa"/>
            <w:left w:w="0" w:type="dxa"/>
            <w:bottom w:w="0" w:type="dxa"/>
            <w:right w:w="0" w:type="dxa"/>
          </w:tblCellMar>
        </w:tblPrEx>
        <w:trPr>
          <w:trHeight w:val="334" w:hRule="atLeast"/>
        </w:trPr>
        <w:tc>
          <w:tcPr>
            <w:tcW w:w="209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年度资金总额：</w:t>
            </w:r>
          </w:p>
        </w:tc>
        <w:tc>
          <w:tcPr>
            <w:tcW w:w="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29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18.4</w:t>
            </w:r>
          </w:p>
        </w:tc>
        <w:tc>
          <w:tcPr>
            <w:tcW w:w="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16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18.40%</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1.84</w:t>
            </w:r>
          </w:p>
        </w:tc>
      </w:tr>
      <w:tr>
        <w:tblPrEx>
          <w:shd w:val="clear" w:color="auto" w:fill="auto"/>
          <w:tblCellMar>
            <w:top w:w="0" w:type="dxa"/>
            <w:left w:w="0" w:type="dxa"/>
            <w:bottom w:w="0" w:type="dxa"/>
            <w:right w:w="0" w:type="dxa"/>
          </w:tblCellMar>
        </w:tblPrEx>
        <w:trPr>
          <w:trHeight w:val="334" w:hRule="atLeast"/>
        </w:trPr>
        <w:tc>
          <w:tcPr>
            <w:tcW w:w="209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其中：财政拨款</w:t>
            </w:r>
          </w:p>
        </w:tc>
        <w:tc>
          <w:tcPr>
            <w:tcW w:w="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29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18.4</w:t>
            </w:r>
          </w:p>
        </w:tc>
        <w:tc>
          <w:tcPr>
            <w:tcW w:w="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w:t>
            </w:r>
          </w:p>
        </w:tc>
        <w:tc>
          <w:tcPr>
            <w:tcW w:w="16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18.40%</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w:t>
            </w:r>
          </w:p>
        </w:tc>
      </w:tr>
      <w:tr>
        <w:tblPrEx>
          <w:shd w:val="clear" w:color="auto" w:fill="auto"/>
          <w:tblCellMar>
            <w:top w:w="0" w:type="dxa"/>
            <w:left w:w="0" w:type="dxa"/>
            <w:bottom w:w="0" w:type="dxa"/>
            <w:right w:w="0" w:type="dxa"/>
          </w:tblCellMar>
        </w:tblPrEx>
        <w:trPr>
          <w:trHeight w:val="334" w:hRule="atLeast"/>
        </w:trPr>
        <w:tc>
          <w:tcPr>
            <w:tcW w:w="209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其他资金</w:t>
            </w:r>
          </w:p>
        </w:tc>
        <w:tc>
          <w:tcPr>
            <w:tcW w:w="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129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w:t>
            </w:r>
          </w:p>
        </w:tc>
        <w:tc>
          <w:tcPr>
            <w:tcW w:w="16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w:t>
            </w:r>
          </w:p>
        </w:tc>
      </w:tr>
      <w:tr>
        <w:tblPrEx>
          <w:shd w:val="clear" w:color="auto" w:fill="auto"/>
          <w:tblCellMar>
            <w:top w:w="0" w:type="dxa"/>
            <w:left w:w="0" w:type="dxa"/>
            <w:bottom w:w="0" w:type="dxa"/>
            <w:right w:w="0" w:type="dxa"/>
          </w:tblCellMar>
        </w:tblPrEx>
        <w:trPr>
          <w:trHeight w:val="174"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年度总体目标</w:t>
            </w:r>
          </w:p>
        </w:tc>
        <w:tc>
          <w:tcPr>
            <w:tcW w:w="366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年初设定目标</w:t>
            </w:r>
          </w:p>
        </w:tc>
        <w:tc>
          <w:tcPr>
            <w:tcW w:w="4034"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年度总体目标完成情况综述</w:t>
            </w:r>
          </w:p>
        </w:tc>
      </w:tr>
      <w:tr>
        <w:tblPrEx>
          <w:shd w:val="clear" w:color="auto" w:fill="auto"/>
          <w:tblCellMar>
            <w:top w:w="0" w:type="dxa"/>
            <w:left w:w="0" w:type="dxa"/>
            <w:bottom w:w="0" w:type="dxa"/>
            <w:right w:w="0" w:type="dxa"/>
          </w:tblCellMar>
        </w:tblPrEx>
        <w:trPr>
          <w:trHeight w:val="49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创业就业圆梦行动推动大学生在我市创业就业工作，为我市产业转型升级和多元化发展提供人才支撑，同时提高就业水平。</w:t>
            </w:r>
          </w:p>
        </w:tc>
        <w:tc>
          <w:tcPr>
            <w:tcW w:w="4034"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积极的推动了我旗大学生创业就业工作，为大学生争取了创业起步资金。</w:t>
            </w:r>
          </w:p>
        </w:tc>
      </w:tr>
      <w:tr>
        <w:tblPrEx>
          <w:shd w:val="clear" w:color="auto" w:fill="auto"/>
          <w:tblCellMar>
            <w:top w:w="0" w:type="dxa"/>
            <w:left w:w="0" w:type="dxa"/>
            <w:bottom w:w="0" w:type="dxa"/>
            <w:right w:w="0" w:type="dxa"/>
          </w:tblCellMar>
        </w:tblPrEx>
        <w:trPr>
          <w:trHeight w:val="655"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绩效指标</w:t>
            </w:r>
          </w:p>
        </w:tc>
        <w:tc>
          <w:tcPr>
            <w:tcW w:w="4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一级指标</w:t>
            </w:r>
          </w:p>
        </w:tc>
        <w:tc>
          <w:tcPr>
            <w:tcW w:w="12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二级指标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三级指标</w:t>
            </w: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分值</w:t>
            </w: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年度指标值</w:t>
            </w: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全年实际完成值</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分值</w:t>
            </w: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得分</w:t>
            </w: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lang w:val="en-US" w:eastAsia="zh-CN" w:bidi="ar"/>
              </w:rPr>
              <w:t>未完成原因及拟采取的改进措施</w:t>
            </w:r>
          </w:p>
        </w:tc>
      </w:tr>
      <w:tr>
        <w:tblPrEx>
          <w:shd w:val="clear" w:color="auto" w:fill="auto"/>
          <w:tblCellMar>
            <w:top w:w="0" w:type="dxa"/>
            <w:left w:w="0" w:type="dxa"/>
            <w:bottom w:w="0" w:type="dxa"/>
            <w:right w:w="0" w:type="dxa"/>
          </w:tblCellMar>
        </w:tblPrEx>
        <w:trPr>
          <w:trHeight w:val="33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产出指标(50分) </w:t>
            </w:r>
          </w:p>
        </w:tc>
        <w:tc>
          <w:tcPr>
            <w:tcW w:w="129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数量指标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补助创业就业人员数量</w:t>
            </w: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30</w:t>
            </w: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10人</w:t>
            </w: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26人</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30</w:t>
            </w: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7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49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质量指标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提高大学生创业就业增长率</w:t>
            </w: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12%</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7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49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时效指标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大学生创业就业补助提供及时性</w:t>
            </w: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＜30天</w:t>
            </w: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＜30天</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7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7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成本指标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7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7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效益指标(30分) </w:t>
            </w:r>
          </w:p>
        </w:tc>
        <w:tc>
          <w:tcPr>
            <w:tcW w:w="12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经济效益指标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49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社会效益指标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大学生创业企业增加数量</w:t>
            </w: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20</w:t>
            </w: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27家</w:t>
            </w: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68家</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20</w:t>
            </w: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7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生态效益指标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334"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可持续影响指标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推动自主创业持续发展</w:t>
            </w: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＞2年</w:t>
            </w: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＞2年</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136"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满意度指标(10分) </w:t>
            </w:r>
          </w:p>
        </w:tc>
        <w:tc>
          <w:tcPr>
            <w:tcW w:w="12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服务对象满意度指标</w:t>
            </w:r>
          </w:p>
        </w:tc>
        <w:tc>
          <w:tcPr>
            <w:tcW w:w="106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大学生创业就业人员满意度</w:t>
            </w:r>
          </w:p>
        </w:tc>
        <w:tc>
          <w:tcPr>
            <w:tcW w:w="8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90%</w:t>
            </w:r>
          </w:p>
        </w:tc>
        <w:tc>
          <w:tcPr>
            <w:tcW w:w="9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90%</w:t>
            </w:r>
          </w:p>
        </w:tc>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5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05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74" w:hRule="atLeast"/>
        </w:trPr>
        <w:tc>
          <w:tcPr>
            <w:tcW w:w="31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总分</w:t>
            </w:r>
          </w:p>
        </w:tc>
        <w:tc>
          <w:tcPr>
            <w:tcW w:w="610"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9"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81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FF0000"/>
                <w:kern w:val="0"/>
                <w:sz w:val="20"/>
                <w:szCs w:val="20"/>
              </w:rPr>
            </w:pPr>
          </w:p>
        </w:tc>
        <w:tc>
          <w:tcPr>
            <w:tcW w:w="586"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74"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6" w:type="dxa"/>
            <w:gridSpan w:val="2"/>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74"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单位盖章：</w:t>
            </w:r>
          </w:p>
        </w:tc>
        <w:tc>
          <w:tcPr>
            <w:tcW w:w="1714"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1947"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单位领导签字：</w:t>
            </w:r>
          </w:p>
        </w:tc>
        <w:tc>
          <w:tcPr>
            <w:tcW w:w="833"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填表人：</w:t>
            </w:r>
          </w:p>
        </w:tc>
        <w:tc>
          <w:tcPr>
            <w:tcW w:w="985"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2216"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填报时间：2020.4.10</w:t>
            </w:r>
          </w:p>
        </w:tc>
      </w:tr>
      <w:tr>
        <w:tblPrEx>
          <w:shd w:val="clear" w:color="auto" w:fill="auto"/>
          <w:tblCellMar>
            <w:top w:w="0" w:type="dxa"/>
            <w:left w:w="0" w:type="dxa"/>
            <w:bottom w:w="0" w:type="dxa"/>
            <w:right w:w="0" w:type="dxa"/>
          </w:tblCellMar>
        </w:tblPrEx>
        <w:trPr>
          <w:trHeight w:val="655" w:hRule="atLeast"/>
        </w:trPr>
        <w:tc>
          <w:tcPr>
            <w:tcW w:w="8674" w:type="dxa"/>
            <w:gridSpan w:val="14"/>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lang w:val="en-US" w:eastAsia="zh-CN" w:bidi="ar"/>
              </w:rPr>
              <w:t>注：1.绩效自评采取打分评价的形式，满分为100分，各部门（单位）可根据指标的重要程度自主确定各项三级指标的权重分值，各项指标得分加总得出该项目绩效自评的总分。原则上一级指标分值统一设置为：产出指标50分、效益指标30分、满意度指标10分、预算资金执行率10分。如有特殊情况，除预算资金执行率外，其他指标权重可做适当调整，但加总后应等于100分。各项三级指标得分最高不能超过该指标分值上限。</w:t>
            </w:r>
          </w:p>
        </w:tc>
      </w:tr>
      <w:tr>
        <w:tblPrEx>
          <w:shd w:val="clear" w:color="auto" w:fill="auto"/>
          <w:tblCellMar>
            <w:top w:w="0" w:type="dxa"/>
            <w:left w:w="0" w:type="dxa"/>
            <w:bottom w:w="0" w:type="dxa"/>
            <w:right w:w="0" w:type="dxa"/>
          </w:tblCellMar>
        </w:tblPrEx>
        <w:trPr>
          <w:trHeight w:val="169" w:hRule="atLeast"/>
        </w:trPr>
        <w:tc>
          <w:tcPr>
            <w:tcW w:w="8674"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lang w:val="en-US" w:eastAsia="zh-CN" w:bidi="ar"/>
              </w:rPr>
              <w:t xml:space="preserve">   2.未完成原因分析：说明偏离目标、不能完成目标的原因及拟采取的措施。</w:t>
            </w:r>
          </w:p>
        </w:tc>
      </w:tr>
      <w:tr>
        <w:tblPrEx>
          <w:shd w:val="clear" w:color="auto" w:fill="auto"/>
          <w:tblCellMar>
            <w:top w:w="0" w:type="dxa"/>
            <w:left w:w="0" w:type="dxa"/>
            <w:bottom w:w="0" w:type="dxa"/>
            <w:right w:w="0" w:type="dxa"/>
          </w:tblCellMar>
        </w:tblPrEx>
        <w:trPr>
          <w:trHeight w:val="489" w:hRule="atLeast"/>
        </w:trPr>
        <w:tc>
          <w:tcPr>
            <w:tcW w:w="8674"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lang w:val="en-US" w:eastAsia="zh-CN" w:bidi="ar"/>
              </w:rPr>
              <w:t xml:space="preserve">   3.定性指标根据指标完成情况分为：达成预期指标、部分达成预期指标并具有一定效果、未达成预期指标且效果较差三档，分别按照该指标对应分值区间100-81%、80-51%、50-0%合理确定得分。定量指标完成指标值的，记该指标所赋全部分值；未完成的，按照完成值与指标值的比例计分。</w:t>
            </w:r>
          </w:p>
        </w:tc>
      </w:tr>
    </w:tbl>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r>
        <w:rPr>
          <w:rFonts w:hint="default" w:ascii="Times New Roman" w:hAnsi="Times New Roman" w:eastAsia="宋体" w:cs="Times New Roman"/>
          <w:b/>
          <w:kern w:val="2"/>
          <w:sz w:val="36"/>
          <w:szCs w:val="36"/>
          <w:lang w:val="en-US" w:eastAsia="zh-CN" w:bidi="ar"/>
        </w:rPr>
        <w:t xml:space="preserve"> </w:t>
      </w: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lang w:val="en-US" w:eastAsia="zh-CN" w:bidi="ar"/>
        </w:rPr>
      </w:pPr>
    </w:p>
    <w:p>
      <w:pPr>
        <w:rPr>
          <w:vanish/>
          <w:sz w:val="24"/>
          <w:szCs w:val="24"/>
        </w:rPr>
      </w:pPr>
    </w:p>
    <w:tbl>
      <w:tblPr>
        <w:tblStyle w:val="3"/>
        <w:tblW w:w="8525" w:type="dxa"/>
        <w:tblInd w:w="93" w:type="dxa"/>
        <w:shd w:val="clear" w:color="auto" w:fill="auto"/>
        <w:tblLayout w:type="autofit"/>
        <w:tblCellMar>
          <w:top w:w="0" w:type="dxa"/>
          <w:left w:w="0" w:type="dxa"/>
          <w:bottom w:w="0" w:type="dxa"/>
          <w:right w:w="0" w:type="dxa"/>
        </w:tblCellMar>
      </w:tblPr>
      <w:tblGrid>
        <w:gridCol w:w="1034"/>
        <w:gridCol w:w="423"/>
        <w:gridCol w:w="505"/>
        <w:gridCol w:w="597"/>
        <w:gridCol w:w="456"/>
        <w:gridCol w:w="608"/>
        <w:gridCol w:w="874"/>
        <w:gridCol w:w="837"/>
        <w:gridCol w:w="456"/>
        <w:gridCol w:w="525"/>
        <w:gridCol w:w="585"/>
        <w:gridCol w:w="571"/>
        <w:gridCol w:w="469"/>
        <w:gridCol w:w="585"/>
      </w:tblGrid>
      <w:tr>
        <w:tblPrEx>
          <w:shd w:val="clear" w:color="auto" w:fill="auto"/>
          <w:tblCellMar>
            <w:top w:w="0" w:type="dxa"/>
            <w:left w:w="0" w:type="dxa"/>
            <w:bottom w:w="0" w:type="dxa"/>
            <w:right w:w="0" w:type="dxa"/>
          </w:tblCellMar>
        </w:tblPrEx>
        <w:trPr>
          <w:trHeight w:val="175" w:hRule="atLeast"/>
        </w:trPr>
        <w:tc>
          <w:tcPr>
            <w:tcW w:w="8525"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lang w:val="en-US" w:eastAsia="zh-CN" w:bidi="ar"/>
              </w:rPr>
              <w:t xml:space="preserve">项目支出绩效自评表 </w:t>
            </w:r>
          </w:p>
        </w:tc>
      </w:tr>
      <w:tr>
        <w:tblPrEx>
          <w:shd w:val="clear" w:color="auto" w:fill="auto"/>
          <w:tblCellMar>
            <w:top w:w="0" w:type="dxa"/>
            <w:left w:w="0" w:type="dxa"/>
            <w:bottom w:w="0" w:type="dxa"/>
            <w:right w:w="0" w:type="dxa"/>
          </w:tblCellMar>
        </w:tblPrEx>
        <w:trPr>
          <w:trHeight w:val="147" w:hRule="atLeast"/>
        </w:trPr>
        <w:tc>
          <w:tcPr>
            <w:tcW w:w="8525" w:type="dxa"/>
            <w:gridSpan w:val="14"/>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（XX年度）</w:t>
            </w:r>
          </w:p>
        </w:tc>
      </w:tr>
      <w:tr>
        <w:tblPrEx>
          <w:shd w:val="clear" w:color="auto" w:fill="auto"/>
          <w:tblCellMar>
            <w:top w:w="0" w:type="dxa"/>
            <w:left w:w="0" w:type="dxa"/>
            <w:bottom w:w="0" w:type="dxa"/>
            <w:right w:w="0" w:type="dxa"/>
          </w:tblCellMar>
        </w:tblPrEx>
        <w:trPr>
          <w:trHeight w:val="291" w:hRule="atLeast"/>
        </w:trPr>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项目名称</w:t>
            </w:r>
          </w:p>
        </w:tc>
        <w:tc>
          <w:tcPr>
            <w:tcW w:w="2535"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储备人才、政府购买服务生活补贴、保险费</w:t>
            </w:r>
          </w:p>
        </w:tc>
        <w:tc>
          <w:tcPr>
            <w:tcW w:w="129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项目负责人及电话</w:t>
            </w:r>
          </w:p>
        </w:tc>
        <w:tc>
          <w:tcPr>
            <w:tcW w:w="111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张健</w:t>
            </w:r>
          </w:p>
        </w:tc>
        <w:tc>
          <w:tcPr>
            <w:tcW w:w="16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15044747675</w:t>
            </w:r>
          </w:p>
        </w:tc>
      </w:tr>
      <w:tr>
        <w:tblPrEx>
          <w:shd w:val="clear" w:color="auto" w:fill="auto"/>
          <w:tblCellMar>
            <w:top w:w="0" w:type="dxa"/>
            <w:left w:w="0" w:type="dxa"/>
            <w:bottom w:w="0" w:type="dxa"/>
            <w:right w:w="0" w:type="dxa"/>
          </w:tblCellMar>
        </w:tblPrEx>
        <w:trPr>
          <w:trHeight w:val="291" w:hRule="atLeast"/>
        </w:trPr>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主管部门</w:t>
            </w:r>
          </w:p>
        </w:tc>
        <w:tc>
          <w:tcPr>
            <w:tcW w:w="2535"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伊金霍洛旗人力资源和社会保障局</w:t>
            </w:r>
          </w:p>
        </w:tc>
        <w:tc>
          <w:tcPr>
            <w:tcW w:w="129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实施单位</w:t>
            </w:r>
          </w:p>
        </w:tc>
        <w:tc>
          <w:tcPr>
            <w:tcW w:w="2735"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伊金霍洛旗人力资源和社会保障局</w:t>
            </w:r>
          </w:p>
        </w:tc>
      </w:tr>
      <w:tr>
        <w:tblPrEx>
          <w:shd w:val="clear" w:color="auto" w:fill="auto"/>
          <w:tblCellMar>
            <w:top w:w="0" w:type="dxa"/>
            <w:left w:w="0" w:type="dxa"/>
            <w:bottom w:w="0" w:type="dxa"/>
            <w:right w:w="0" w:type="dxa"/>
          </w:tblCellMar>
        </w:tblPrEx>
        <w:trPr>
          <w:trHeight w:val="430" w:hRule="atLeast"/>
        </w:trPr>
        <w:tc>
          <w:tcPr>
            <w:tcW w:w="196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资金情况（万元）</w:t>
            </w:r>
          </w:p>
        </w:tc>
        <w:tc>
          <w:tcPr>
            <w:tcW w:w="105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6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年初预算数</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全年预算数（A）</w:t>
            </w:r>
          </w:p>
        </w:tc>
        <w:tc>
          <w:tcPr>
            <w:tcW w:w="129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全年执行数（B）</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分值</w:t>
            </w:r>
          </w:p>
        </w:tc>
        <w:tc>
          <w:tcPr>
            <w:tcW w:w="16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执行率（B/A) </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得分</w:t>
            </w:r>
          </w:p>
        </w:tc>
      </w:tr>
      <w:tr>
        <w:tblPrEx>
          <w:shd w:val="clear" w:color="auto" w:fill="auto"/>
          <w:tblCellMar>
            <w:top w:w="0" w:type="dxa"/>
            <w:left w:w="0" w:type="dxa"/>
            <w:bottom w:w="0" w:type="dxa"/>
            <w:right w:w="0" w:type="dxa"/>
          </w:tblCellMar>
        </w:tblPrEx>
        <w:trPr>
          <w:trHeight w:val="291" w:hRule="atLeast"/>
        </w:trPr>
        <w:tc>
          <w:tcPr>
            <w:tcW w:w="196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年度资金总额：</w:t>
            </w:r>
          </w:p>
        </w:tc>
        <w:tc>
          <w:tcPr>
            <w:tcW w:w="6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615</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786.75</w:t>
            </w:r>
          </w:p>
        </w:tc>
        <w:tc>
          <w:tcPr>
            <w:tcW w:w="129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767.15</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16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291" w:hRule="atLeast"/>
        </w:trPr>
        <w:tc>
          <w:tcPr>
            <w:tcW w:w="196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其中：财政拨款</w:t>
            </w:r>
          </w:p>
        </w:tc>
        <w:tc>
          <w:tcPr>
            <w:tcW w:w="6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615</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786.75</w:t>
            </w:r>
          </w:p>
        </w:tc>
        <w:tc>
          <w:tcPr>
            <w:tcW w:w="129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767.15</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w:t>
            </w:r>
          </w:p>
        </w:tc>
        <w:tc>
          <w:tcPr>
            <w:tcW w:w="16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w:t>
            </w:r>
          </w:p>
        </w:tc>
      </w:tr>
      <w:tr>
        <w:tblPrEx>
          <w:shd w:val="clear" w:color="auto" w:fill="auto"/>
          <w:tblCellMar>
            <w:top w:w="0" w:type="dxa"/>
            <w:left w:w="0" w:type="dxa"/>
            <w:bottom w:w="0" w:type="dxa"/>
            <w:right w:w="0" w:type="dxa"/>
          </w:tblCellMar>
        </w:tblPrEx>
        <w:trPr>
          <w:trHeight w:val="291" w:hRule="atLeast"/>
        </w:trPr>
        <w:tc>
          <w:tcPr>
            <w:tcW w:w="196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其他资金</w:t>
            </w:r>
          </w:p>
        </w:tc>
        <w:tc>
          <w:tcPr>
            <w:tcW w:w="6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129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w:t>
            </w:r>
          </w:p>
        </w:tc>
        <w:tc>
          <w:tcPr>
            <w:tcW w:w="16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 </w:t>
            </w:r>
          </w:p>
        </w:tc>
      </w:tr>
      <w:tr>
        <w:tblPrEx>
          <w:shd w:val="clear" w:color="auto" w:fill="auto"/>
          <w:tblCellMar>
            <w:top w:w="0" w:type="dxa"/>
            <w:left w:w="0" w:type="dxa"/>
            <w:bottom w:w="0" w:type="dxa"/>
            <w:right w:w="0" w:type="dxa"/>
          </w:tblCellMar>
        </w:tblPrEx>
        <w:trPr>
          <w:trHeight w:val="152" w:hRule="atLeast"/>
        </w:trPr>
        <w:tc>
          <w:tcPr>
            <w:tcW w:w="103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年度总体目标</w:t>
            </w:r>
          </w:p>
        </w:tc>
        <w:tc>
          <w:tcPr>
            <w:tcW w:w="346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年初设定目标</w:t>
            </w:r>
          </w:p>
        </w:tc>
        <w:tc>
          <w:tcPr>
            <w:tcW w:w="4028"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年度总体目标完成情况综述</w:t>
            </w:r>
          </w:p>
        </w:tc>
      </w:tr>
      <w:tr>
        <w:tblPrEx>
          <w:shd w:val="clear" w:color="auto" w:fill="auto"/>
          <w:tblCellMar>
            <w:top w:w="0" w:type="dxa"/>
            <w:left w:w="0" w:type="dxa"/>
            <w:bottom w:w="0" w:type="dxa"/>
            <w:right w:w="0" w:type="dxa"/>
          </w:tblCellMar>
        </w:tblPrEx>
        <w:trPr>
          <w:trHeight w:val="569"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6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落实“三支一扶”及社区民生志愿者服务,为项目人员政府购买服务人员提供社会保险及生活补助，降低行政成本，推进用人单位制度改革。</w:t>
            </w:r>
          </w:p>
        </w:tc>
        <w:tc>
          <w:tcPr>
            <w:tcW w:w="4028"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2019年总体按照目标已完成</w:t>
            </w:r>
          </w:p>
        </w:tc>
      </w:tr>
      <w:tr>
        <w:tblPrEx>
          <w:shd w:val="clear" w:color="auto" w:fill="auto"/>
          <w:tblCellMar>
            <w:top w:w="0" w:type="dxa"/>
            <w:left w:w="0" w:type="dxa"/>
            <w:bottom w:w="0" w:type="dxa"/>
            <w:right w:w="0" w:type="dxa"/>
          </w:tblCellMar>
        </w:tblPrEx>
        <w:trPr>
          <w:trHeight w:val="388" w:hRule="atLeast"/>
        </w:trPr>
        <w:tc>
          <w:tcPr>
            <w:tcW w:w="103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绩效指标</w:t>
            </w:r>
          </w:p>
        </w:tc>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一级指标</w:t>
            </w:r>
          </w:p>
        </w:tc>
        <w:tc>
          <w:tcPr>
            <w:tcW w:w="11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二级指标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三级指标</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分值</w:t>
            </w: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年度指标值</w:t>
            </w: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全年实际完成值</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分值</w:t>
            </w: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得分</w:t>
            </w: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lang w:val="en-US" w:eastAsia="zh-CN" w:bidi="ar"/>
              </w:rPr>
              <w:t>未完成原因及拟采取的改进措施</w:t>
            </w:r>
          </w:p>
        </w:tc>
      </w:tr>
      <w:tr>
        <w:tblPrEx>
          <w:shd w:val="clear" w:color="auto" w:fill="auto"/>
          <w:tblCellMar>
            <w:top w:w="0" w:type="dxa"/>
            <w:left w:w="0" w:type="dxa"/>
            <w:bottom w:w="0" w:type="dxa"/>
            <w:right w:w="0" w:type="dxa"/>
          </w:tblCellMar>
        </w:tblPrEx>
        <w:trPr>
          <w:trHeight w:val="291"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产出指标(50分) </w:t>
            </w:r>
          </w:p>
        </w:tc>
        <w:tc>
          <w:tcPr>
            <w:tcW w:w="110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数量指标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岗位人员总数量</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20</w:t>
            </w: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123人</w:t>
            </w: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150人</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52"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52"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质量指标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52"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430"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时效指标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发放工资及保险及时性</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20</w:t>
            </w: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每月20日以前发放</w:t>
            </w: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每月20日以前发放</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52"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401"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成本指标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发放工资及保险人均成本</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w:t>
            </w: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政府购买人员每人每年38145.84元；自治区项目人员每人每年40595.84元</w:t>
            </w: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政府购买人员每人每年38145.84元；自治区项目人员每人每年40595.84元</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99%</w:t>
            </w: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52"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PrEx>
        <w:trPr>
          <w:trHeight w:val="291"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效益指标(30分) </w:t>
            </w:r>
          </w:p>
        </w:tc>
        <w:tc>
          <w:tcPr>
            <w:tcW w:w="11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经济效益指标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430"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社会效益指标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解决就业需求，提供就业机会</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30</w:t>
            </w: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解决123人就业</w:t>
            </w: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解决150人就业</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98%</w:t>
            </w: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291"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生态效益指标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291"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可持续影响指标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707" w:hRule="atLeast"/>
        </w:trPr>
        <w:tc>
          <w:tcPr>
            <w:tcW w:w="10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 xml:space="preserve">满意度指标(10分) </w:t>
            </w:r>
          </w:p>
        </w:tc>
        <w:tc>
          <w:tcPr>
            <w:tcW w:w="11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服务对象满意度指标</w:t>
            </w:r>
          </w:p>
        </w:tc>
        <w:tc>
          <w:tcPr>
            <w:tcW w:w="10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岗位人员满意度</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20</w:t>
            </w:r>
          </w:p>
        </w:tc>
        <w:tc>
          <w:tcPr>
            <w:tcW w:w="83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98%</w:t>
            </w:r>
          </w:p>
        </w:tc>
        <w:tc>
          <w:tcPr>
            <w:tcW w:w="98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98%</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98%</w:t>
            </w:r>
          </w:p>
        </w:tc>
        <w:tc>
          <w:tcPr>
            <w:tcW w:w="5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52" w:hRule="atLeast"/>
        </w:trPr>
        <w:tc>
          <w:tcPr>
            <w:tcW w:w="30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总分</w:t>
            </w:r>
          </w:p>
        </w:tc>
        <w:tc>
          <w:tcPr>
            <w:tcW w:w="608"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874"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100</w:t>
            </w:r>
          </w:p>
        </w:tc>
        <w:tc>
          <w:tcPr>
            <w:tcW w:w="181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8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571"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i w:val="0"/>
                <w:color w:val="000000"/>
                <w:kern w:val="0"/>
                <w:sz w:val="20"/>
                <w:szCs w:val="20"/>
              </w:rPr>
            </w:pPr>
          </w:p>
        </w:tc>
        <w:tc>
          <w:tcPr>
            <w:tcW w:w="1054" w:type="dxa"/>
            <w:gridSpan w:val="2"/>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r>
      <w:tr>
        <w:tblPrEx>
          <w:shd w:val="clear" w:color="auto" w:fill="auto"/>
          <w:tblCellMar>
            <w:top w:w="0" w:type="dxa"/>
            <w:left w:w="0" w:type="dxa"/>
            <w:bottom w:w="0" w:type="dxa"/>
            <w:right w:w="0" w:type="dxa"/>
          </w:tblCellMar>
        </w:tblPrEx>
        <w:trPr>
          <w:trHeight w:val="15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单位盖章：</w:t>
            </w:r>
          </w:p>
        </w:tc>
        <w:tc>
          <w:tcPr>
            <w:tcW w:w="1525"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1938"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单位领导签字：</w:t>
            </w:r>
          </w:p>
        </w:tc>
        <w:tc>
          <w:tcPr>
            <w:tcW w:w="83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填表人：</w:t>
            </w:r>
          </w:p>
        </w:tc>
        <w:tc>
          <w:tcPr>
            <w:tcW w:w="981"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kern w:val="0"/>
                <w:sz w:val="20"/>
                <w:szCs w:val="20"/>
              </w:rPr>
            </w:pPr>
          </w:p>
        </w:tc>
        <w:tc>
          <w:tcPr>
            <w:tcW w:w="2210"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lang w:val="en-US" w:eastAsia="zh-CN" w:bidi="ar"/>
              </w:rPr>
              <w:t>填报时间：2020.4.10</w:t>
            </w:r>
          </w:p>
        </w:tc>
      </w:tr>
      <w:tr>
        <w:tblPrEx>
          <w:shd w:val="clear" w:color="auto" w:fill="auto"/>
          <w:tblCellMar>
            <w:top w:w="0" w:type="dxa"/>
            <w:left w:w="0" w:type="dxa"/>
            <w:bottom w:w="0" w:type="dxa"/>
            <w:right w:w="0" w:type="dxa"/>
          </w:tblCellMar>
        </w:tblPrEx>
        <w:trPr>
          <w:trHeight w:val="513" w:hRule="atLeast"/>
        </w:trPr>
        <w:tc>
          <w:tcPr>
            <w:tcW w:w="8525" w:type="dxa"/>
            <w:gridSpan w:val="14"/>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lang w:val="en-US" w:eastAsia="zh-CN" w:bidi="ar"/>
              </w:rPr>
              <w:t>注：1.绩效自评采取打分评价的形式，满分为100分，各部门（单位）可根据指标的重要程度自主确定各项三级指标的权重分值，各项指标得分加总得出该项目绩效自评的总分。原则上一级指标分值统一设置为：产出指标50分、效益指标30分、满意度指标10分、预算资金执行率10分。如有特殊情况，除预算资金执行率外，其他指标权重可做适当调整，但加总后应等于100分。各项三级指标得分最高不能超过该指标分值上限。</w:t>
            </w:r>
          </w:p>
        </w:tc>
      </w:tr>
      <w:tr>
        <w:tblPrEx>
          <w:shd w:val="clear" w:color="auto" w:fill="auto"/>
          <w:tblCellMar>
            <w:top w:w="0" w:type="dxa"/>
            <w:left w:w="0" w:type="dxa"/>
            <w:bottom w:w="0" w:type="dxa"/>
            <w:right w:w="0" w:type="dxa"/>
          </w:tblCellMar>
        </w:tblPrEx>
        <w:trPr>
          <w:trHeight w:val="133" w:hRule="atLeast"/>
        </w:trPr>
        <w:tc>
          <w:tcPr>
            <w:tcW w:w="8525"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lang w:val="en-US" w:eastAsia="zh-CN" w:bidi="ar"/>
              </w:rPr>
              <w:t xml:space="preserve">   2.未完成原因分析：说明偏离目标、不能完成目标的原因及拟采取的措施。</w:t>
            </w:r>
          </w:p>
        </w:tc>
      </w:tr>
      <w:tr>
        <w:tblPrEx>
          <w:tblCellMar>
            <w:top w:w="0" w:type="dxa"/>
            <w:left w:w="0" w:type="dxa"/>
            <w:bottom w:w="0" w:type="dxa"/>
            <w:right w:w="0" w:type="dxa"/>
          </w:tblCellMar>
        </w:tblPrEx>
        <w:trPr>
          <w:trHeight w:val="383" w:hRule="atLeast"/>
        </w:trPr>
        <w:tc>
          <w:tcPr>
            <w:tcW w:w="8525"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lang w:val="en-US" w:eastAsia="zh-CN" w:bidi="ar"/>
              </w:rPr>
              <w:t xml:space="preserve">   3.定性指标根据指标完成情况分为：达成预期指标、部分达成预期指标并具有一定效果、未达成预期指标且效果较差三档，分别按照该指标对应分值区间100-81%、80-51%、50-0%合理确定得分。定量指标完成指标值的，记该指标所赋全部分值；未完成的，按照完成值与指标值的比例计分。</w:t>
            </w:r>
          </w:p>
        </w:tc>
      </w:tr>
    </w:tbl>
    <w:p>
      <w:pPr>
        <w:keepNext w:val="0"/>
        <w:keepLines w:val="0"/>
        <w:widowControl/>
        <w:suppressLineNumbers w:val="0"/>
        <w:snapToGrid w:val="0"/>
        <w:spacing w:before="0" w:beforeLines="0" w:beforeAutospacing="0" w:after="0" w:afterLines="0" w:afterAutospacing="0"/>
        <w:ind w:left="0" w:right="0"/>
        <w:jc w:val="left"/>
        <w:rPr>
          <w:rFonts w:hint="default" w:ascii="Times New Roman" w:hAnsi="Times New Roman" w:eastAsia="宋体" w:cs="Times New Roman"/>
          <w:b/>
          <w:kern w:val="2"/>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EF45B"/>
    <w:multiLevelType w:val="multilevel"/>
    <w:tmpl w:val="06DEF45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Yjk2OGQ1YzBkZjk1YWM0MjY2ODBhN2RmNzMzNTcifQ=="/>
  </w:docVars>
  <w:rsids>
    <w:rsidRoot w:val="00000000"/>
    <w:rsid w:val="03DF6011"/>
    <w:rsid w:val="1A1B6166"/>
    <w:rsid w:val="30AE48A8"/>
    <w:rsid w:val="616109BA"/>
    <w:rsid w:val="6F760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rFonts w:hint="default" w:ascii="宋体" w:hAnsi="宋体" w:eastAsia="宋体" w:cs="宋体"/>
      <w:kern w:val="0"/>
      <w:sz w:val="24"/>
      <w:lang w:val="en-US" w:eastAsia="zh-CN" w:bidi="ar"/>
    </w:rPr>
  </w:style>
  <w:style w:type="character" w:customStyle="1" w:styleId="5">
    <w:name w:val="10"/>
    <w:basedOn w:val="4"/>
    <w:qFormat/>
    <w:uiPriority w:val="0"/>
    <w:rPr>
      <w:rFonts w:hint="default" w:ascii="Wingdings" w:hAnsi="Wingdings" w:cs="Wingdings"/>
    </w:rPr>
  </w:style>
  <w:style w:type="character" w:customStyle="1" w:styleId="6">
    <w:name w:val="15"/>
    <w:basedOn w:val="4"/>
    <w:qFormat/>
    <w:uiPriority w:val="0"/>
    <w:rPr>
      <w:rFonts w:hint="default" w:ascii="Wingdings" w:hAnsi="Wingdings" w:cs="Wingdings"/>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7166</Words>
  <Characters>8112</Characters>
  <Lines>0</Lines>
  <Paragraphs>0</Paragraphs>
  <TotalTime>2</TotalTime>
  <ScaleCrop>false</ScaleCrop>
  <LinksUpToDate>false</LinksUpToDate>
  <CharactersWithSpaces>8248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2020-09-02T03:05:00Z</dcterms:created>
  <dc:creator>Lenovo</dc:creator>
  <cp:lastModifiedBy>189804874</cp:lastModifiedBy>
  <dcterms:modified xsi:type="dcterms:W3CDTF">2022-10-03T12:09:16Z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5980841B213049C0AE5B9DCEFFC4D5E6</vt:lpwstr>
  </property>
</Properties>
</file>